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color w:val="000000" w:themeColor="text1"/>
          <w:sz w:val="84"/>
          <w:szCs w:val="84"/>
          <w14:textFill>
            <w14:solidFill>
              <w14:schemeClr w14:val="tx1"/>
            </w14:solidFill>
          </w14:textFill>
        </w:rPr>
      </w:pPr>
      <w:bookmarkStart w:id="349" w:name="_GoBack"/>
      <w:bookmarkEnd w:id="349"/>
    </w:p>
    <w:p>
      <w:pPr>
        <w:adjustRightInd w:val="0"/>
        <w:snapToGrid w:val="0"/>
        <w:spacing w:after="60"/>
        <w:ind w:right="-178" w:rightChars="-85"/>
        <w:jc w:val="center"/>
        <w:rPr>
          <w:rFonts w:ascii="宋体" w:hAnsi="宋体"/>
          <w:b/>
          <w:bCs/>
          <w:color w:val="000000" w:themeColor="text1"/>
          <w:sz w:val="52"/>
          <w:szCs w:val="52"/>
          <w14:textFill>
            <w14:solidFill>
              <w14:schemeClr w14:val="tx1"/>
            </w14:solidFill>
          </w14:textFill>
        </w:rPr>
      </w:pPr>
      <w:bookmarkStart w:id="0" w:name="_Hlk1990161"/>
      <w:r>
        <w:rPr>
          <w:rFonts w:hint="eastAsia" w:ascii="宋体" w:hAnsi="宋体"/>
          <w:b/>
          <w:bCs/>
          <w:color w:val="000000" w:themeColor="text1"/>
          <w:sz w:val="52"/>
          <w:szCs w:val="52"/>
          <w14:textFill>
            <w14:solidFill>
              <w14:schemeClr w14:val="tx1"/>
            </w14:solidFill>
          </w14:textFill>
        </w:rPr>
        <w:t>数据互联定级备案及网络安全符合性评测和安全风险评估服务项目</w:t>
      </w:r>
    </w:p>
    <w:bookmarkEnd w:id="0"/>
    <w:p>
      <w:pPr>
        <w:jc w:val="center"/>
        <w:rPr>
          <w:rFonts w:ascii="Times New Roman" w:hAnsi="Times New Roman"/>
          <w:b/>
          <w:bCs/>
          <w:color w:val="000000" w:themeColor="text1"/>
          <w:sz w:val="84"/>
          <w:szCs w:val="84"/>
          <w14:textFill>
            <w14:solidFill>
              <w14:schemeClr w14:val="tx1"/>
            </w14:solidFill>
          </w14:textFill>
        </w:rPr>
      </w:pPr>
    </w:p>
    <w:p>
      <w:pPr>
        <w:tabs>
          <w:tab w:val="left" w:pos="6015"/>
        </w:tabs>
        <w:spacing w:after="240" w:afterLines="100"/>
        <w:jc w:val="center"/>
        <w:rPr>
          <w:rFonts w:ascii="宋体" w:hAnsi="宋体"/>
          <w:b/>
          <w:bCs/>
          <w:color w:val="000000" w:themeColor="text1"/>
          <w:spacing w:val="20"/>
          <w:sz w:val="52"/>
          <w:szCs w:val="52"/>
          <w14:textFill>
            <w14:solidFill>
              <w14:schemeClr w14:val="tx1"/>
            </w14:solidFill>
          </w14:textFill>
        </w:rPr>
      </w:pPr>
      <w:r>
        <w:rPr>
          <w:rFonts w:ascii="宋体" w:hAnsi="宋体"/>
          <w:b/>
          <w:bCs/>
          <w:color w:val="000000" w:themeColor="text1"/>
          <w:spacing w:val="20"/>
          <w:sz w:val="52"/>
          <w:szCs w:val="52"/>
          <w14:textFill>
            <w14:solidFill>
              <w14:schemeClr w14:val="tx1"/>
            </w14:solidFill>
          </w14:textFill>
        </w:rPr>
        <w:t>招标文件</w:t>
      </w: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bCs/>
          <w:color w:val="000000" w:themeColor="text1"/>
          <w:sz w:val="31"/>
          <w:szCs w:val="18"/>
          <w:u w:val="single"/>
          <w14:textFill>
            <w14:solidFill>
              <w14:schemeClr w14:val="tx1"/>
            </w14:solidFill>
          </w14:textFill>
        </w:rPr>
      </w:pPr>
      <w:r>
        <w:rPr>
          <w:rFonts w:hint="eastAsia" w:ascii="宋体" w:hAnsi="宋体"/>
          <w:b/>
          <w:color w:val="000000" w:themeColor="text1"/>
          <w:sz w:val="31"/>
          <w:szCs w:val="18"/>
          <w14:textFill>
            <w14:solidFill>
              <w14:schemeClr w14:val="tx1"/>
            </w14:solidFill>
          </w14:textFill>
        </w:rPr>
        <w:t>项目编号：</w:t>
      </w:r>
      <w:r>
        <w:rPr>
          <w:rFonts w:ascii="宋体" w:hAnsi="宋体"/>
          <w:b/>
          <w:color w:val="000000" w:themeColor="text1"/>
          <w:sz w:val="31"/>
          <w:szCs w:val="18"/>
          <w:u w:val="single"/>
          <w14:textFill>
            <w14:solidFill>
              <w14:schemeClr w14:val="tx1"/>
            </w14:solidFill>
          </w14:textFill>
        </w:rPr>
        <w:t>SL-CG2022024</w:t>
      </w:r>
    </w:p>
    <w:p>
      <w:pPr>
        <w:snapToGrid w:val="0"/>
        <w:spacing w:line="360" w:lineRule="auto"/>
        <w:ind w:firstLine="921" w:firstLineChars="296"/>
        <w:jc w:val="left"/>
        <w:rPr>
          <w:rFonts w:ascii="宋体" w:hAnsi="宋体"/>
          <w:b/>
          <w:color w:val="000000" w:themeColor="text1"/>
          <w:sz w:val="31"/>
          <w:szCs w:val="18"/>
          <w:u w:val="single"/>
          <w14:textFill>
            <w14:solidFill>
              <w14:schemeClr w14:val="tx1"/>
            </w14:solidFill>
          </w14:textFill>
        </w:rPr>
      </w:pPr>
      <w:r>
        <w:rPr>
          <w:rFonts w:hint="eastAsia" w:ascii="宋体" w:hAnsi="宋体"/>
          <w:b/>
          <w:color w:val="000000" w:themeColor="text1"/>
          <w:sz w:val="31"/>
          <w:szCs w:val="18"/>
          <w14:textFill>
            <w14:solidFill>
              <w14:schemeClr w14:val="tx1"/>
            </w14:solidFill>
          </w14:textFill>
        </w:rPr>
        <w:t>招标</w:t>
      </w:r>
      <w:r>
        <w:rPr>
          <w:rFonts w:ascii="宋体" w:hAnsi="宋体"/>
          <w:b/>
          <w:color w:val="000000" w:themeColor="text1"/>
          <w:sz w:val="31"/>
          <w:szCs w:val="18"/>
          <w14:textFill>
            <w14:solidFill>
              <w14:schemeClr w14:val="tx1"/>
            </w14:solidFill>
          </w14:textFill>
        </w:rPr>
        <w:t>单位：</w:t>
      </w:r>
      <w:r>
        <w:rPr>
          <w:rFonts w:hint="eastAsia" w:ascii="宋体" w:hAnsi="宋体"/>
          <w:b/>
          <w:bCs/>
          <w:color w:val="000000" w:themeColor="text1"/>
          <w:sz w:val="31"/>
          <w:szCs w:val="18"/>
          <w:u w:val="single"/>
          <w14:textFill>
            <w14:solidFill>
              <w14:schemeClr w14:val="tx1"/>
            </w14:solidFill>
          </w14:textFill>
        </w:rPr>
        <w:t>东莞市数据互联有限公司</w:t>
      </w:r>
    </w:p>
    <w:p>
      <w:pPr>
        <w:snapToGrid w:val="0"/>
        <w:spacing w:line="360" w:lineRule="auto"/>
        <w:ind w:firstLine="934" w:firstLineChars="300"/>
        <w:rPr>
          <w:rFonts w:ascii="宋体" w:hAnsi="宋体"/>
          <w:b/>
          <w:bCs/>
          <w:color w:val="000000" w:themeColor="text1"/>
          <w:sz w:val="31"/>
          <w:szCs w:val="18"/>
          <w:u w:val="single"/>
          <w14:textFill>
            <w14:solidFill>
              <w14:schemeClr w14:val="tx1"/>
            </w14:solidFill>
          </w14:textFill>
        </w:rPr>
      </w:pPr>
      <w:r>
        <w:rPr>
          <w:rFonts w:hint="eastAsia" w:ascii="宋体" w:hAnsi="宋体"/>
          <w:b/>
          <w:bCs/>
          <w:color w:val="000000" w:themeColor="text1"/>
          <w:sz w:val="31"/>
          <w:szCs w:val="18"/>
          <w14:textFill>
            <w14:solidFill>
              <w14:schemeClr w14:val="tx1"/>
            </w14:solidFill>
          </w14:textFill>
        </w:rPr>
        <w:t>监督单位：</w:t>
      </w:r>
      <w:bookmarkStart w:id="1" w:name="_Hlk1990192"/>
      <w:r>
        <w:rPr>
          <w:rFonts w:hint="eastAsia" w:ascii="宋体" w:hAnsi="宋体"/>
          <w:b/>
          <w:bCs/>
          <w:color w:val="000000" w:themeColor="text1"/>
          <w:sz w:val="31"/>
          <w:szCs w:val="18"/>
          <w14:textFill>
            <w14:solidFill>
              <w14:schemeClr w14:val="tx1"/>
            </w14:solidFill>
          </w14:textFill>
        </w:rPr>
        <w:t>东莞市数据互联有限公司综合管理部</w:t>
      </w:r>
      <w:bookmarkEnd w:id="1"/>
    </w:p>
    <w:p>
      <w:pPr>
        <w:spacing w:line="600" w:lineRule="exact"/>
        <w:jc w:val="center"/>
        <w:rPr>
          <w:rFonts w:ascii="Times New Roman" w:hAnsi="Times New Roman"/>
          <w:b/>
          <w:bCs/>
          <w:color w:val="000000" w:themeColor="text1"/>
          <w:spacing w:val="26"/>
          <w:sz w:val="31"/>
          <w14:textFill>
            <w14:solidFill>
              <w14:schemeClr w14:val="tx1"/>
            </w14:solidFill>
          </w14:textFill>
        </w:rPr>
      </w:pPr>
      <w:r>
        <w:rPr>
          <w:rFonts w:hint="eastAsia" w:ascii="Times New Roman" w:hAnsi="Times New Roman"/>
          <w:b/>
          <w:bCs/>
          <w:color w:val="000000" w:themeColor="text1"/>
          <w:spacing w:val="26"/>
          <w:sz w:val="31"/>
          <w14:textFill>
            <w14:solidFill>
              <w14:schemeClr w14:val="tx1"/>
            </w14:solidFill>
          </w14:textFill>
        </w:rPr>
        <w:t xml:space="preserve"> </w:t>
      </w:r>
      <w:r>
        <w:rPr>
          <w:rFonts w:ascii="Times New Roman" w:hAnsi="Times New Roman"/>
          <w:b/>
          <w:bCs/>
          <w:color w:val="000000" w:themeColor="text1"/>
          <w:spacing w:val="26"/>
          <w:sz w:val="31"/>
          <w14:textFill>
            <w14:solidFill>
              <w14:schemeClr w14:val="tx1"/>
            </w14:solidFill>
          </w14:textFill>
        </w:rPr>
        <w:t xml:space="preserve"> </w:t>
      </w:r>
      <w:r>
        <w:rPr>
          <w:rFonts w:hint="eastAsia" w:ascii="Times New Roman" w:hAnsi="Times New Roman"/>
          <w:b/>
          <w:bCs/>
          <w:color w:val="000000" w:themeColor="text1"/>
          <w:spacing w:val="26"/>
          <w:sz w:val="31"/>
          <w14:textFill>
            <w14:solidFill>
              <w14:schemeClr w14:val="tx1"/>
            </w14:solidFill>
          </w14:textFill>
        </w:rPr>
        <w:t>2022</w:t>
      </w:r>
      <w:r>
        <w:rPr>
          <w:rFonts w:ascii="Times New Roman" w:hAnsi="Times New Roman"/>
          <w:b/>
          <w:bCs/>
          <w:color w:val="000000" w:themeColor="text1"/>
          <w:spacing w:val="26"/>
          <w:sz w:val="31"/>
          <w14:textFill>
            <w14:solidFill>
              <w14:schemeClr w14:val="tx1"/>
            </w14:solidFill>
          </w14:textFill>
        </w:rPr>
        <w:t>年</w:t>
      </w:r>
      <w:r>
        <w:rPr>
          <w:rFonts w:hint="eastAsia" w:ascii="Times New Roman" w:hAnsi="Times New Roman"/>
          <w:b/>
          <w:bCs/>
          <w:color w:val="000000" w:themeColor="text1"/>
          <w:spacing w:val="26"/>
          <w:sz w:val="31"/>
          <w14:textFill>
            <w14:solidFill>
              <w14:schemeClr w14:val="tx1"/>
            </w14:solidFill>
          </w14:textFill>
        </w:rPr>
        <w:t>七</w:t>
      </w:r>
      <w:r>
        <w:rPr>
          <w:rFonts w:ascii="Times New Roman" w:hAnsi="Times New Roman"/>
          <w:b/>
          <w:bCs/>
          <w:color w:val="000000" w:themeColor="text1"/>
          <w:spacing w:val="26"/>
          <w:sz w:val="31"/>
          <w14:textFill>
            <w14:solidFill>
              <w14:schemeClr w14:val="tx1"/>
            </w14:solidFill>
          </w14:textFill>
        </w:rPr>
        <w:t>月</w:t>
      </w:r>
      <w:r>
        <w:rPr>
          <w:rFonts w:ascii="Times New Roman" w:hAnsi="Times New Roman" w:eastAsiaTheme="minorEastAsia"/>
          <w:b/>
          <w:bCs/>
          <w:color w:val="000000" w:themeColor="text1"/>
          <w:sz w:val="32"/>
          <w:szCs w:val="32"/>
          <w14:textFill>
            <w14:solidFill>
              <w14:schemeClr w14:val="tx1"/>
            </w14:solidFill>
          </w14:textFill>
        </w:rPr>
        <w:br w:type="page"/>
      </w:r>
    </w:p>
    <w:sdt>
      <w:sdtPr>
        <w:rPr>
          <w:rFonts w:ascii="Times New Roman" w:hAnsi="Times New Roman" w:eastAsia="宋体" w:cs="Times New Roman"/>
          <w:b w:val="0"/>
          <w:bCs w:val="0"/>
          <w:color w:val="000000" w:themeColor="text1"/>
          <w:kern w:val="2"/>
          <w:sz w:val="21"/>
          <w:szCs w:val="24"/>
          <w:lang w:val="zh-CN"/>
          <w14:textFill>
            <w14:solidFill>
              <w14:schemeClr w14:val="tx1"/>
            </w14:solidFill>
          </w14:textFill>
        </w:rPr>
        <w:id w:val="786984627"/>
      </w:sdtPr>
      <w:sdtEndPr>
        <w:rPr>
          <w:rFonts w:ascii="宋体" w:hAnsi="宋体" w:eastAsia="宋体" w:cs="Times New Roman"/>
          <w:b w:val="0"/>
          <w:bCs w:val="0"/>
          <w:color w:val="000000" w:themeColor="text1"/>
          <w:kern w:val="2"/>
          <w:sz w:val="22"/>
          <w:szCs w:val="22"/>
          <w:lang w:val="en-US"/>
          <w14:textFill>
            <w14:solidFill>
              <w14:schemeClr w14:val="tx1"/>
            </w14:solidFill>
          </w14:textFill>
        </w:rPr>
      </w:sdtEndPr>
      <w:sdtContent>
        <w:p>
          <w:pPr>
            <w:pStyle w:val="89"/>
            <w:tabs>
              <w:tab w:val="center" w:pos="4575"/>
              <w:tab w:val="left" w:pos="6390"/>
            </w:tabs>
            <w:spacing w:line="360" w:lineRule="auto"/>
            <w:rPr>
              <w:rFonts w:ascii="宋体" w:hAnsi="宋体" w:eastAsia="宋体" w:cs="Times New Roman"/>
              <w:b w:val="0"/>
              <w:color w:val="000000" w:themeColor="text1"/>
              <w:sz w:val="22"/>
              <w:szCs w:val="22"/>
              <w14:textFill>
                <w14:solidFill>
                  <w14:schemeClr w14:val="tx1"/>
                </w14:solidFill>
              </w14:textFill>
            </w:rPr>
          </w:pPr>
          <w:r>
            <w:rPr>
              <w:rFonts w:ascii="Times New Roman" w:hAnsi="Times New Roman" w:eastAsia="宋体" w:cs="Times New Roman"/>
              <w:b w:val="0"/>
              <w:bCs w:val="0"/>
              <w:color w:val="000000" w:themeColor="text1"/>
              <w:kern w:val="2"/>
              <w:sz w:val="21"/>
              <w:szCs w:val="24"/>
              <w:lang w:val="zh-CN"/>
              <w14:textFill>
                <w14:solidFill>
                  <w14:schemeClr w14:val="tx1"/>
                </w14:solidFill>
              </w14:textFill>
            </w:rPr>
            <w:tab/>
          </w:r>
          <w:r>
            <w:rPr>
              <w:rFonts w:ascii="宋体" w:hAnsi="宋体" w:eastAsia="宋体" w:cs="Times New Roman"/>
              <w:b w:val="0"/>
              <w:color w:val="000000" w:themeColor="text1"/>
              <w:sz w:val="22"/>
              <w:szCs w:val="22"/>
              <w:lang w:val="zh-CN"/>
              <w14:textFill>
                <w14:solidFill>
                  <w14:schemeClr w14:val="tx1"/>
                </w14:solidFill>
              </w14:textFill>
            </w:rPr>
            <w:t>目录</w:t>
          </w:r>
        </w:p>
        <w:p>
          <w:pPr>
            <w:pStyle w:val="34"/>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TOC \o "1-3" \h \z \u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_Toc24471 </w:instrText>
          </w:r>
          <w:r>
            <w:rPr>
              <w:rFonts w:ascii="宋体" w:hAnsi="宋体"/>
              <w:szCs w:val="21"/>
            </w:rPr>
            <w:fldChar w:fldCharType="separate"/>
          </w:r>
          <w:r>
            <w:rPr>
              <w:rFonts w:eastAsiaTheme="minorEastAsia"/>
            </w:rPr>
            <w:t>第一章  投标邀请</w:t>
          </w:r>
          <w:r>
            <w:tab/>
          </w:r>
          <w:r>
            <w:fldChar w:fldCharType="begin"/>
          </w:r>
          <w:r>
            <w:instrText xml:space="preserve"> PAGEREF _Toc24471 \h </w:instrText>
          </w:r>
          <w:r>
            <w:fldChar w:fldCharType="separate"/>
          </w:r>
          <w:r>
            <w:t>5</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_Toc16427 </w:instrText>
          </w:r>
          <w:r>
            <w:rPr>
              <w:rFonts w:ascii="宋体" w:hAnsi="宋体"/>
              <w:szCs w:val="21"/>
            </w:rPr>
            <w:fldChar w:fldCharType="separate"/>
          </w:r>
          <w:r>
            <w:rPr>
              <w:rFonts w:ascii="Times New Roman" w:hAnsi="Times New Roman"/>
              <w:bCs/>
              <w:szCs w:val="32"/>
            </w:rPr>
            <w:t>一、 投标邀请函</w:t>
          </w:r>
          <w:r>
            <w:tab/>
          </w:r>
          <w:r>
            <w:fldChar w:fldCharType="begin"/>
          </w:r>
          <w:r>
            <w:instrText xml:space="preserve"> PAGEREF _Toc16427 \h </w:instrText>
          </w:r>
          <w:r>
            <w:fldChar w:fldCharType="separate"/>
          </w:r>
          <w:r>
            <w:t>6</w:t>
          </w:r>
          <w:r>
            <w:fldChar w:fldCharType="end"/>
          </w:r>
          <w:r>
            <w:rPr>
              <w:rFonts w:ascii="宋体" w:hAnsi="宋体"/>
              <w:color w:val="000000" w:themeColor="text1"/>
              <w:szCs w:val="21"/>
              <w14:textFill>
                <w14:solidFill>
                  <w14:schemeClr w14:val="tx1"/>
                </w14:solidFill>
              </w14:textFill>
            </w:rPr>
            <w:fldChar w:fldCharType="end"/>
          </w:r>
        </w:p>
        <w:p>
          <w:pPr>
            <w:pStyle w:val="34"/>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_Toc20433 </w:instrText>
          </w:r>
          <w:r>
            <w:rPr>
              <w:rFonts w:ascii="宋体" w:hAnsi="宋体"/>
              <w:szCs w:val="21"/>
            </w:rPr>
            <w:fldChar w:fldCharType="separate"/>
          </w:r>
          <w:r>
            <w:rPr>
              <w:rFonts w:eastAsiaTheme="minorEastAsia"/>
            </w:rPr>
            <w:t>第二章 投标人须知</w:t>
          </w:r>
          <w:r>
            <w:tab/>
          </w:r>
          <w:r>
            <w:fldChar w:fldCharType="begin"/>
          </w:r>
          <w:r>
            <w:instrText xml:space="preserve"> PAGEREF _Toc20433 \h </w:instrText>
          </w:r>
          <w:r>
            <w:fldChar w:fldCharType="separate"/>
          </w:r>
          <w:r>
            <w:t>8</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_Toc15982 </w:instrText>
          </w:r>
          <w:r>
            <w:rPr>
              <w:rFonts w:ascii="宋体" w:hAnsi="宋体"/>
              <w:szCs w:val="21"/>
            </w:rPr>
            <w:fldChar w:fldCharType="separate"/>
          </w:r>
          <w:r>
            <w:rPr>
              <w:rFonts w:ascii="Times New Roman" w:hAnsi="Times New Roman"/>
              <w:bCs/>
              <w:kern w:val="44"/>
              <w:lang w:val="zh-CN"/>
            </w:rPr>
            <w:t>一、投标人须知前附表</w:t>
          </w:r>
          <w:r>
            <w:tab/>
          </w:r>
          <w:r>
            <w:fldChar w:fldCharType="begin"/>
          </w:r>
          <w:r>
            <w:instrText xml:space="preserve"> PAGEREF _Toc15982 \h </w:instrText>
          </w:r>
          <w:r>
            <w:fldChar w:fldCharType="separate"/>
          </w:r>
          <w:r>
            <w:t>9</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_Toc17629 </w:instrText>
          </w:r>
          <w:r>
            <w:rPr>
              <w:rFonts w:ascii="宋体" w:hAnsi="宋体"/>
              <w:szCs w:val="21"/>
            </w:rPr>
            <w:fldChar w:fldCharType="separate"/>
          </w:r>
          <w:r>
            <w:rPr>
              <w:rFonts w:ascii="Times New Roman" w:hAnsi="Times New Roman"/>
              <w:bCs/>
              <w:kern w:val="44"/>
              <w:lang w:val="zh-CN"/>
            </w:rPr>
            <w:t>二、投标人须知</w:t>
          </w:r>
          <w:r>
            <w:tab/>
          </w:r>
          <w:r>
            <w:fldChar w:fldCharType="begin"/>
          </w:r>
          <w:r>
            <w:instrText xml:space="preserve"> PAGEREF _Toc17629 \h </w:instrText>
          </w:r>
          <w:r>
            <w:fldChar w:fldCharType="separate"/>
          </w:r>
          <w:r>
            <w:t>10</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_Toc31213 </w:instrText>
          </w:r>
          <w:r>
            <w:rPr>
              <w:rFonts w:ascii="宋体" w:hAnsi="宋体"/>
              <w:szCs w:val="21"/>
            </w:rPr>
            <w:fldChar w:fldCharType="separate"/>
          </w:r>
          <w:r>
            <w:rPr>
              <w:rFonts w:ascii="Times New Roman" w:hAnsi="Times New Roman"/>
              <w:szCs w:val="28"/>
              <w:lang w:val="zh-CN"/>
            </w:rPr>
            <w:t>（一）总则</w:t>
          </w:r>
          <w:r>
            <w:tab/>
          </w:r>
          <w:r>
            <w:fldChar w:fldCharType="begin"/>
          </w:r>
          <w:r>
            <w:instrText xml:space="preserve"> PAGEREF _Toc31213 \h </w:instrText>
          </w:r>
          <w:r>
            <w:fldChar w:fldCharType="separate"/>
          </w:r>
          <w:r>
            <w:t>10</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_Toc1044 </w:instrText>
          </w:r>
          <w:r>
            <w:rPr>
              <w:rFonts w:ascii="宋体" w:hAnsi="宋体"/>
              <w:szCs w:val="21"/>
            </w:rPr>
            <w:fldChar w:fldCharType="separate"/>
          </w:r>
          <w:r>
            <w:rPr>
              <w:rFonts w:ascii="宋体" w:hAnsi="宋体"/>
              <w:bCs/>
            </w:rPr>
            <w:t>1. 招标范围及资金来源</w:t>
          </w:r>
          <w:r>
            <w:tab/>
          </w:r>
          <w:r>
            <w:fldChar w:fldCharType="begin"/>
          </w:r>
          <w:r>
            <w:instrText xml:space="preserve"> PAGEREF _Toc1044 \h </w:instrText>
          </w:r>
          <w:r>
            <w:fldChar w:fldCharType="separate"/>
          </w:r>
          <w:r>
            <w:t>10</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_Toc8779 </w:instrText>
          </w:r>
          <w:r>
            <w:rPr>
              <w:rFonts w:ascii="宋体" w:hAnsi="宋体"/>
              <w:szCs w:val="21"/>
            </w:rPr>
            <w:fldChar w:fldCharType="separate"/>
          </w:r>
          <w:r>
            <w:rPr>
              <w:rFonts w:ascii="宋体" w:hAnsi="宋体"/>
              <w:bCs/>
            </w:rPr>
            <w:t>2. 定义</w:t>
          </w:r>
          <w:r>
            <w:tab/>
          </w:r>
          <w:r>
            <w:fldChar w:fldCharType="begin"/>
          </w:r>
          <w:r>
            <w:instrText xml:space="preserve"> PAGEREF _Toc8779 \h </w:instrText>
          </w:r>
          <w:r>
            <w:fldChar w:fldCharType="separate"/>
          </w:r>
          <w:r>
            <w:t>10</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_Toc10129 </w:instrText>
          </w:r>
          <w:r>
            <w:rPr>
              <w:rFonts w:ascii="宋体" w:hAnsi="宋体"/>
              <w:szCs w:val="21"/>
            </w:rPr>
            <w:fldChar w:fldCharType="separate"/>
          </w:r>
          <w:r>
            <w:rPr>
              <w:rFonts w:ascii="Times New Roman" w:hAnsi="Times New Roman"/>
              <w:bCs/>
            </w:rPr>
            <w:t>3. 合格的投标人</w:t>
          </w:r>
          <w:r>
            <w:tab/>
          </w:r>
          <w:r>
            <w:fldChar w:fldCharType="begin"/>
          </w:r>
          <w:r>
            <w:instrText xml:space="preserve"> PAGEREF _Toc10129 \h </w:instrText>
          </w:r>
          <w:r>
            <w:fldChar w:fldCharType="separate"/>
          </w:r>
          <w:r>
            <w:t>10</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_Toc30257 </w:instrText>
          </w:r>
          <w:r>
            <w:rPr>
              <w:rFonts w:ascii="宋体" w:hAnsi="宋体"/>
              <w:szCs w:val="21"/>
            </w:rPr>
            <w:fldChar w:fldCharType="separate"/>
          </w:r>
          <w:r>
            <w:rPr>
              <w:rFonts w:ascii="宋体" w:hAnsi="宋体"/>
              <w:bCs/>
            </w:rPr>
            <w:t>4. 合格的货物和服务及验收</w:t>
          </w:r>
          <w:r>
            <w:tab/>
          </w:r>
          <w:r>
            <w:fldChar w:fldCharType="begin"/>
          </w:r>
          <w:r>
            <w:instrText xml:space="preserve"> PAGEREF _Toc30257 \h </w:instrText>
          </w:r>
          <w:r>
            <w:fldChar w:fldCharType="separate"/>
          </w:r>
          <w:r>
            <w:t>11</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_Toc13418 </w:instrText>
          </w:r>
          <w:r>
            <w:rPr>
              <w:rFonts w:ascii="宋体" w:hAnsi="宋体"/>
              <w:szCs w:val="21"/>
            </w:rPr>
            <w:fldChar w:fldCharType="separate"/>
          </w:r>
          <w:r>
            <w:rPr>
              <w:rFonts w:ascii="宋体" w:hAnsi="宋体"/>
              <w:bCs/>
            </w:rPr>
            <w:t>5. 投标费用</w:t>
          </w:r>
          <w:r>
            <w:tab/>
          </w:r>
          <w:r>
            <w:fldChar w:fldCharType="begin"/>
          </w:r>
          <w:r>
            <w:instrText xml:space="preserve"> PAGEREF _Toc13418 \h </w:instrText>
          </w:r>
          <w:r>
            <w:fldChar w:fldCharType="separate"/>
          </w:r>
          <w:r>
            <w:t>12</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_Toc27428 </w:instrText>
          </w:r>
          <w:r>
            <w:rPr>
              <w:rFonts w:ascii="宋体" w:hAnsi="宋体"/>
              <w:szCs w:val="21"/>
            </w:rPr>
            <w:fldChar w:fldCharType="separate"/>
          </w:r>
          <w:r>
            <w:rPr>
              <w:rFonts w:ascii="宋体" w:hAnsi="宋体"/>
              <w:bCs/>
            </w:rPr>
            <w:t>6. 踏勘现场</w:t>
          </w:r>
          <w:r>
            <w:tab/>
          </w:r>
          <w:r>
            <w:fldChar w:fldCharType="begin"/>
          </w:r>
          <w:r>
            <w:instrText xml:space="preserve"> PAGEREF _Toc27428 \h </w:instrText>
          </w:r>
          <w:r>
            <w:fldChar w:fldCharType="separate"/>
          </w:r>
          <w:r>
            <w:t>12</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_Toc25520 </w:instrText>
          </w:r>
          <w:r>
            <w:rPr>
              <w:rFonts w:ascii="宋体" w:hAnsi="宋体"/>
              <w:szCs w:val="21"/>
            </w:rPr>
            <w:fldChar w:fldCharType="separate"/>
          </w:r>
          <w:r>
            <w:rPr>
              <w:rFonts w:ascii="Times New Roman" w:hAnsi="Times New Roman"/>
              <w:szCs w:val="28"/>
              <w:lang w:val="zh-CN"/>
            </w:rPr>
            <w:t>（二）招标文件</w:t>
          </w:r>
          <w:r>
            <w:tab/>
          </w:r>
          <w:r>
            <w:fldChar w:fldCharType="begin"/>
          </w:r>
          <w:r>
            <w:instrText xml:space="preserve"> PAGEREF _Toc25520 \h </w:instrText>
          </w:r>
          <w:r>
            <w:fldChar w:fldCharType="separate"/>
          </w:r>
          <w:r>
            <w:t>12</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_Toc4368 </w:instrText>
          </w:r>
          <w:r>
            <w:rPr>
              <w:rFonts w:ascii="宋体" w:hAnsi="宋体"/>
              <w:szCs w:val="21"/>
            </w:rPr>
            <w:fldChar w:fldCharType="separate"/>
          </w:r>
          <w:r>
            <w:rPr>
              <w:rFonts w:ascii="Times New Roman" w:hAnsi="Times New Roman"/>
              <w:bCs/>
            </w:rPr>
            <w:t>7. 招标文件的组成</w:t>
          </w:r>
          <w:r>
            <w:tab/>
          </w:r>
          <w:r>
            <w:fldChar w:fldCharType="begin"/>
          </w:r>
          <w:r>
            <w:instrText xml:space="preserve"> PAGEREF _Toc4368 \h </w:instrText>
          </w:r>
          <w:r>
            <w:fldChar w:fldCharType="separate"/>
          </w:r>
          <w:r>
            <w:t>12</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_Toc15446 </w:instrText>
          </w:r>
          <w:r>
            <w:rPr>
              <w:rFonts w:ascii="宋体" w:hAnsi="宋体"/>
              <w:szCs w:val="21"/>
            </w:rPr>
            <w:fldChar w:fldCharType="separate"/>
          </w:r>
          <w:r>
            <w:rPr>
              <w:rFonts w:ascii="宋体" w:hAnsi="宋体"/>
              <w:bCs/>
            </w:rPr>
            <w:t>8. 招标文件的</w:t>
          </w:r>
          <w:r>
            <w:rPr>
              <w:rFonts w:hint="eastAsia" w:ascii="宋体" w:hAnsi="宋体"/>
              <w:bCs/>
            </w:rPr>
            <w:t>异议</w:t>
          </w:r>
          <w:r>
            <w:tab/>
          </w:r>
          <w:r>
            <w:fldChar w:fldCharType="begin"/>
          </w:r>
          <w:r>
            <w:instrText xml:space="preserve"> PAGEREF _Toc15446 \h </w:instrText>
          </w:r>
          <w:r>
            <w:fldChar w:fldCharType="separate"/>
          </w:r>
          <w:r>
            <w:t>12</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_Toc30466 </w:instrText>
          </w:r>
          <w:r>
            <w:rPr>
              <w:rFonts w:ascii="宋体" w:hAnsi="宋体"/>
              <w:szCs w:val="21"/>
            </w:rPr>
            <w:fldChar w:fldCharType="separate"/>
          </w:r>
          <w:r>
            <w:rPr>
              <w:rFonts w:ascii="宋体" w:hAnsi="宋体"/>
              <w:bCs/>
            </w:rPr>
            <w:t>9. 招标文件的</w:t>
          </w:r>
          <w:r>
            <w:rPr>
              <w:rFonts w:hint="eastAsia" w:ascii="宋体" w:hAnsi="宋体"/>
              <w:bCs/>
            </w:rPr>
            <w:t>澄清及</w:t>
          </w:r>
          <w:r>
            <w:rPr>
              <w:rFonts w:ascii="宋体" w:hAnsi="宋体"/>
              <w:bCs/>
            </w:rPr>
            <w:t>修改</w:t>
          </w:r>
          <w:r>
            <w:tab/>
          </w:r>
          <w:r>
            <w:fldChar w:fldCharType="begin"/>
          </w:r>
          <w:r>
            <w:instrText xml:space="preserve"> PAGEREF _Toc30466 \h </w:instrText>
          </w:r>
          <w:r>
            <w:fldChar w:fldCharType="separate"/>
          </w:r>
          <w:r>
            <w:t>13</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_Toc19828 </w:instrText>
          </w:r>
          <w:r>
            <w:rPr>
              <w:rFonts w:ascii="宋体" w:hAnsi="宋体"/>
              <w:szCs w:val="21"/>
            </w:rPr>
            <w:fldChar w:fldCharType="separate"/>
          </w:r>
          <w:r>
            <w:rPr>
              <w:rFonts w:ascii="宋体" w:hAnsi="宋体" w:eastAsia="宋体"/>
              <w:lang w:val="zh-CN"/>
            </w:rPr>
            <w:t>（三）投标文件编制</w:t>
          </w:r>
          <w:r>
            <w:tab/>
          </w:r>
          <w:r>
            <w:fldChar w:fldCharType="begin"/>
          </w:r>
          <w:r>
            <w:instrText xml:space="preserve"> PAGEREF _Toc19828 \h </w:instrText>
          </w:r>
          <w:r>
            <w:fldChar w:fldCharType="separate"/>
          </w:r>
          <w:r>
            <w:t>13</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_Toc17133 </w:instrText>
          </w:r>
          <w:r>
            <w:rPr>
              <w:rFonts w:ascii="宋体" w:hAnsi="宋体"/>
              <w:szCs w:val="21"/>
            </w:rPr>
            <w:fldChar w:fldCharType="separate"/>
          </w:r>
          <w:r>
            <w:rPr>
              <w:rFonts w:ascii="宋体" w:hAnsi="宋体"/>
              <w:bCs/>
            </w:rPr>
            <w:t>10. 投标文件的语言及度量衡单位</w:t>
          </w:r>
          <w:r>
            <w:tab/>
          </w:r>
          <w:r>
            <w:fldChar w:fldCharType="begin"/>
          </w:r>
          <w:r>
            <w:instrText xml:space="preserve"> PAGEREF _Toc17133 \h </w:instrText>
          </w:r>
          <w:r>
            <w:fldChar w:fldCharType="separate"/>
          </w:r>
          <w:r>
            <w:t>13</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_Toc4994 </w:instrText>
          </w:r>
          <w:r>
            <w:rPr>
              <w:rFonts w:ascii="宋体" w:hAnsi="宋体"/>
              <w:szCs w:val="21"/>
            </w:rPr>
            <w:fldChar w:fldCharType="separate"/>
          </w:r>
          <w:r>
            <w:rPr>
              <w:rFonts w:ascii="宋体" w:hAnsi="宋体"/>
              <w:bCs/>
            </w:rPr>
            <w:t>11. 投标文件构成</w:t>
          </w:r>
          <w:r>
            <w:tab/>
          </w:r>
          <w:r>
            <w:fldChar w:fldCharType="begin"/>
          </w:r>
          <w:r>
            <w:instrText xml:space="preserve"> PAGEREF _Toc4994 \h </w:instrText>
          </w:r>
          <w:r>
            <w:fldChar w:fldCharType="separate"/>
          </w:r>
          <w:r>
            <w:t>13</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_Toc31861 </w:instrText>
          </w:r>
          <w:r>
            <w:rPr>
              <w:rFonts w:ascii="宋体" w:hAnsi="宋体"/>
              <w:szCs w:val="21"/>
            </w:rPr>
            <w:fldChar w:fldCharType="separate"/>
          </w:r>
          <w:r>
            <w:rPr>
              <w:rFonts w:ascii="宋体" w:hAnsi="宋体"/>
              <w:bCs/>
            </w:rPr>
            <w:t>12. 投标文件格式</w:t>
          </w:r>
          <w:r>
            <w:tab/>
          </w:r>
          <w:r>
            <w:fldChar w:fldCharType="begin"/>
          </w:r>
          <w:r>
            <w:instrText xml:space="preserve"> PAGEREF _Toc31861 \h </w:instrText>
          </w:r>
          <w:r>
            <w:fldChar w:fldCharType="separate"/>
          </w:r>
          <w:r>
            <w:t>14</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_Toc10361 </w:instrText>
          </w:r>
          <w:r>
            <w:rPr>
              <w:rFonts w:ascii="宋体" w:hAnsi="宋体"/>
              <w:szCs w:val="21"/>
            </w:rPr>
            <w:fldChar w:fldCharType="separate"/>
          </w:r>
          <w:r>
            <w:rPr>
              <w:rFonts w:ascii="宋体" w:hAnsi="宋体"/>
              <w:bCs/>
            </w:rPr>
            <w:t>13. 投标文件的份数和签署</w:t>
          </w:r>
          <w:r>
            <w:tab/>
          </w:r>
          <w:r>
            <w:fldChar w:fldCharType="begin"/>
          </w:r>
          <w:r>
            <w:instrText xml:space="preserve"> PAGEREF _Toc10361 \h </w:instrText>
          </w:r>
          <w:r>
            <w:fldChar w:fldCharType="separate"/>
          </w:r>
          <w:r>
            <w:t>14</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_Toc19206 </w:instrText>
          </w:r>
          <w:r>
            <w:rPr>
              <w:rFonts w:ascii="宋体" w:hAnsi="宋体"/>
              <w:szCs w:val="21"/>
            </w:rPr>
            <w:fldChar w:fldCharType="separate"/>
          </w:r>
          <w:r>
            <w:rPr>
              <w:rFonts w:ascii="宋体" w:hAnsi="宋体"/>
              <w:bCs/>
            </w:rPr>
            <w:t>14. 投标报价和货币</w:t>
          </w:r>
          <w:r>
            <w:tab/>
          </w:r>
          <w:r>
            <w:fldChar w:fldCharType="begin"/>
          </w:r>
          <w:r>
            <w:instrText xml:space="preserve"> PAGEREF _Toc19206 \h </w:instrText>
          </w:r>
          <w:r>
            <w:fldChar w:fldCharType="separate"/>
          </w:r>
          <w:r>
            <w:t>14</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_Toc7683 </w:instrText>
          </w:r>
          <w:r>
            <w:rPr>
              <w:rFonts w:ascii="宋体" w:hAnsi="宋体"/>
              <w:szCs w:val="21"/>
            </w:rPr>
            <w:fldChar w:fldCharType="separate"/>
          </w:r>
          <w:r>
            <w:rPr>
              <w:rFonts w:ascii="宋体" w:hAnsi="宋体"/>
            </w:rPr>
            <w:t xml:space="preserve">15. </w:t>
          </w:r>
          <w:r>
            <w:rPr>
              <w:rFonts w:ascii="宋体" w:hAnsi="宋体"/>
              <w:bCs/>
            </w:rPr>
            <w:t>证明</w:t>
          </w:r>
          <w:r>
            <w:rPr>
              <w:rFonts w:hint="eastAsia" w:ascii="宋体" w:hAnsi="宋体"/>
              <w:bCs/>
            </w:rPr>
            <w:t>货物和服务</w:t>
          </w:r>
          <w:r>
            <w:rPr>
              <w:rFonts w:ascii="宋体" w:hAnsi="宋体"/>
              <w:bCs/>
            </w:rPr>
            <w:t>的合格性和符合招标文件规定的文件</w:t>
          </w:r>
          <w:r>
            <w:tab/>
          </w:r>
          <w:r>
            <w:fldChar w:fldCharType="begin"/>
          </w:r>
          <w:r>
            <w:instrText xml:space="preserve"> PAGEREF _Toc7683 \h </w:instrText>
          </w:r>
          <w:r>
            <w:fldChar w:fldCharType="separate"/>
          </w:r>
          <w:r>
            <w:t>15</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_Toc10701 </w:instrText>
          </w:r>
          <w:r>
            <w:rPr>
              <w:rFonts w:ascii="宋体" w:hAnsi="宋体"/>
              <w:szCs w:val="21"/>
            </w:rPr>
            <w:fldChar w:fldCharType="separate"/>
          </w:r>
          <w:r>
            <w:rPr>
              <w:rFonts w:ascii="宋体" w:hAnsi="宋体"/>
              <w:bCs/>
            </w:rPr>
            <w:t>16. 投标保证金</w:t>
          </w:r>
          <w:r>
            <w:tab/>
          </w:r>
          <w:r>
            <w:fldChar w:fldCharType="begin"/>
          </w:r>
          <w:r>
            <w:instrText xml:space="preserve"> PAGEREF _Toc10701 \h </w:instrText>
          </w:r>
          <w:r>
            <w:fldChar w:fldCharType="separate"/>
          </w:r>
          <w:r>
            <w:t>15</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_Toc6686 </w:instrText>
          </w:r>
          <w:r>
            <w:rPr>
              <w:rFonts w:ascii="宋体" w:hAnsi="宋体"/>
              <w:szCs w:val="21"/>
            </w:rPr>
            <w:fldChar w:fldCharType="separate"/>
          </w:r>
          <w:r>
            <w:rPr>
              <w:rFonts w:ascii="宋体" w:hAnsi="宋体"/>
              <w:bCs/>
            </w:rPr>
            <w:t>17. 投标有效期</w:t>
          </w:r>
          <w:r>
            <w:tab/>
          </w:r>
          <w:r>
            <w:fldChar w:fldCharType="begin"/>
          </w:r>
          <w:r>
            <w:instrText xml:space="preserve"> PAGEREF _Toc6686 \h </w:instrText>
          </w:r>
          <w:r>
            <w:fldChar w:fldCharType="separate"/>
          </w:r>
          <w:r>
            <w:t>15</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_Toc26698 </w:instrText>
          </w:r>
          <w:r>
            <w:rPr>
              <w:rFonts w:ascii="宋体" w:hAnsi="宋体"/>
              <w:szCs w:val="21"/>
            </w:rPr>
            <w:fldChar w:fldCharType="separate"/>
          </w:r>
          <w:r>
            <w:rPr>
              <w:rFonts w:ascii="宋体" w:hAnsi="宋体" w:eastAsia="宋体"/>
              <w:lang w:val="zh-CN"/>
            </w:rPr>
            <w:t>（四）投标文件的递交</w:t>
          </w:r>
          <w:r>
            <w:tab/>
          </w:r>
          <w:r>
            <w:fldChar w:fldCharType="begin"/>
          </w:r>
          <w:r>
            <w:instrText xml:space="preserve"> PAGEREF _Toc26698 \h </w:instrText>
          </w:r>
          <w:r>
            <w:fldChar w:fldCharType="separate"/>
          </w:r>
          <w:r>
            <w:t>15</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_Toc20957 </w:instrText>
          </w:r>
          <w:r>
            <w:rPr>
              <w:rFonts w:ascii="宋体" w:hAnsi="宋体"/>
              <w:szCs w:val="21"/>
            </w:rPr>
            <w:fldChar w:fldCharType="separate"/>
          </w:r>
          <w:r>
            <w:rPr>
              <w:rFonts w:ascii="宋体" w:hAnsi="宋体"/>
              <w:bCs/>
            </w:rPr>
            <w:t>18. 投标文件的装订、密封和标记</w:t>
          </w:r>
          <w:r>
            <w:tab/>
          </w:r>
          <w:r>
            <w:fldChar w:fldCharType="begin"/>
          </w:r>
          <w:r>
            <w:instrText xml:space="preserve"> PAGEREF _Toc20957 \h </w:instrText>
          </w:r>
          <w:r>
            <w:fldChar w:fldCharType="separate"/>
          </w:r>
          <w:r>
            <w:t>15</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_Toc17549 </w:instrText>
          </w:r>
          <w:r>
            <w:rPr>
              <w:rFonts w:ascii="宋体" w:hAnsi="宋体"/>
              <w:szCs w:val="21"/>
            </w:rPr>
            <w:fldChar w:fldCharType="separate"/>
          </w:r>
          <w:r>
            <w:rPr>
              <w:rFonts w:ascii="宋体" w:hAnsi="宋体"/>
              <w:bCs/>
            </w:rPr>
            <w:t>19. 投标截止时间</w:t>
          </w:r>
          <w:r>
            <w:tab/>
          </w:r>
          <w:r>
            <w:fldChar w:fldCharType="begin"/>
          </w:r>
          <w:r>
            <w:instrText xml:space="preserve"> PAGEREF _Toc17549 \h </w:instrText>
          </w:r>
          <w:r>
            <w:fldChar w:fldCharType="separate"/>
          </w:r>
          <w:r>
            <w:t>16</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_Toc6958 </w:instrText>
          </w:r>
          <w:r>
            <w:rPr>
              <w:rFonts w:ascii="宋体" w:hAnsi="宋体"/>
              <w:szCs w:val="21"/>
            </w:rPr>
            <w:fldChar w:fldCharType="separate"/>
          </w:r>
          <w:r>
            <w:rPr>
              <w:rFonts w:ascii="宋体" w:hAnsi="宋体"/>
              <w:bCs/>
            </w:rPr>
            <w:t>20. 迟交的投标文件</w:t>
          </w:r>
          <w:r>
            <w:tab/>
          </w:r>
          <w:r>
            <w:fldChar w:fldCharType="begin"/>
          </w:r>
          <w:r>
            <w:instrText xml:space="preserve"> PAGEREF _Toc6958 \h </w:instrText>
          </w:r>
          <w:r>
            <w:fldChar w:fldCharType="separate"/>
          </w:r>
          <w:r>
            <w:t>16</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_Toc5227 </w:instrText>
          </w:r>
          <w:r>
            <w:rPr>
              <w:rFonts w:ascii="宋体" w:hAnsi="宋体"/>
              <w:szCs w:val="21"/>
            </w:rPr>
            <w:fldChar w:fldCharType="separate"/>
          </w:r>
          <w:r>
            <w:rPr>
              <w:rFonts w:ascii="宋体" w:hAnsi="宋体"/>
              <w:bCs/>
            </w:rPr>
            <w:t>21. 投标文件的修改与撤回</w:t>
          </w:r>
          <w:r>
            <w:tab/>
          </w:r>
          <w:r>
            <w:fldChar w:fldCharType="begin"/>
          </w:r>
          <w:r>
            <w:instrText xml:space="preserve"> PAGEREF _Toc5227 \h </w:instrText>
          </w:r>
          <w:r>
            <w:fldChar w:fldCharType="separate"/>
          </w:r>
          <w:r>
            <w:t>16</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_Toc21962 </w:instrText>
          </w:r>
          <w:r>
            <w:rPr>
              <w:rFonts w:ascii="宋体" w:hAnsi="宋体"/>
              <w:szCs w:val="21"/>
            </w:rPr>
            <w:fldChar w:fldCharType="separate"/>
          </w:r>
          <w:r>
            <w:rPr>
              <w:rFonts w:ascii="宋体" w:hAnsi="宋体" w:eastAsia="宋体"/>
              <w:lang w:val="zh-CN"/>
            </w:rPr>
            <w:t>（五）开标与评标</w:t>
          </w:r>
          <w:r>
            <w:rPr>
              <w:rFonts w:hint="eastAsia" w:ascii="宋体" w:hAnsi="宋体" w:eastAsia="宋体"/>
              <w:lang w:val="zh-CN"/>
            </w:rPr>
            <w:t>、</w:t>
          </w:r>
          <w:r>
            <w:rPr>
              <w:rFonts w:ascii="宋体" w:hAnsi="宋体" w:eastAsia="宋体"/>
              <w:lang w:val="zh-CN"/>
            </w:rPr>
            <w:t>定标</w:t>
          </w:r>
          <w:r>
            <w:tab/>
          </w:r>
          <w:r>
            <w:fldChar w:fldCharType="begin"/>
          </w:r>
          <w:r>
            <w:instrText xml:space="preserve"> PAGEREF _Toc21962 \h </w:instrText>
          </w:r>
          <w:r>
            <w:fldChar w:fldCharType="separate"/>
          </w:r>
          <w:r>
            <w:t>16</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_Toc23837 </w:instrText>
          </w:r>
          <w:r>
            <w:rPr>
              <w:rFonts w:ascii="宋体" w:hAnsi="宋体"/>
              <w:szCs w:val="21"/>
            </w:rPr>
            <w:fldChar w:fldCharType="separate"/>
          </w:r>
          <w:r>
            <w:rPr>
              <w:rFonts w:ascii="宋体" w:hAnsi="宋体"/>
              <w:bCs/>
            </w:rPr>
            <w:t>22. 开标</w:t>
          </w:r>
          <w:r>
            <w:tab/>
          </w:r>
          <w:r>
            <w:fldChar w:fldCharType="begin"/>
          </w:r>
          <w:r>
            <w:instrText xml:space="preserve"> PAGEREF _Toc23837 \h </w:instrText>
          </w:r>
          <w:r>
            <w:fldChar w:fldCharType="separate"/>
          </w:r>
          <w:r>
            <w:t>16</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_Toc11456 </w:instrText>
          </w:r>
          <w:r>
            <w:rPr>
              <w:rFonts w:ascii="宋体" w:hAnsi="宋体"/>
              <w:szCs w:val="21"/>
            </w:rPr>
            <w:fldChar w:fldCharType="separate"/>
          </w:r>
          <w:r>
            <w:rPr>
              <w:rFonts w:ascii="宋体" w:hAnsi="宋体"/>
              <w:bCs/>
            </w:rPr>
            <w:t>23. 评标委员会</w:t>
          </w:r>
          <w:r>
            <w:tab/>
          </w:r>
          <w:r>
            <w:fldChar w:fldCharType="begin"/>
          </w:r>
          <w:r>
            <w:instrText xml:space="preserve"> PAGEREF _Toc11456 \h </w:instrText>
          </w:r>
          <w:r>
            <w:fldChar w:fldCharType="separate"/>
          </w:r>
          <w:r>
            <w:t>17</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_Toc30003 </w:instrText>
          </w:r>
          <w:r>
            <w:rPr>
              <w:rFonts w:ascii="宋体" w:hAnsi="宋体"/>
              <w:szCs w:val="21"/>
            </w:rPr>
            <w:fldChar w:fldCharType="separate"/>
          </w:r>
          <w:r>
            <w:rPr>
              <w:rFonts w:ascii="宋体" w:hAnsi="宋体"/>
              <w:bCs/>
            </w:rPr>
            <w:t>24. 评标过程的保密性</w:t>
          </w:r>
          <w:r>
            <w:tab/>
          </w:r>
          <w:r>
            <w:fldChar w:fldCharType="begin"/>
          </w:r>
          <w:r>
            <w:instrText xml:space="preserve"> PAGEREF _Toc30003 \h </w:instrText>
          </w:r>
          <w:r>
            <w:fldChar w:fldCharType="separate"/>
          </w:r>
          <w:r>
            <w:t>17</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_Toc32055 </w:instrText>
          </w:r>
          <w:r>
            <w:rPr>
              <w:rFonts w:ascii="宋体" w:hAnsi="宋体"/>
              <w:szCs w:val="21"/>
            </w:rPr>
            <w:fldChar w:fldCharType="separate"/>
          </w:r>
          <w:r>
            <w:rPr>
              <w:rFonts w:ascii="宋体" w:hAnsi="宋体"/>
              <w:bCs/>
            </w:rPr>
            <w:t>25. 投标文件</w:t>
          </w:r>
          <w:r>
            <w:rPr>
              <w:rFonts w:hint="eastAsia" w:ascii="宋体" w:hAnsi="宋体"/>
              <w:bCs/>
            </w:rPr>
            <w:t>评审</w:t>
          </w:r>
          <w:r>
            <w:tab/>
          </w:r>
          <w:r>
            <w:fldChar w:fldCharType="begin"/>
          </w:r>
          <w:r>
            <w:instrText xml:space="preserve"> PAGEREF _Toc32055 \h </w:instrText>
          </w:r>
          <w:r>
            <w:fldChar w:fldCharType="separate"/>
          </w:r>
          <w:r>
            <w:t>17</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_Toc27327 </w:instrText>
          </w:r>
          <w:r>
            <w:rPr>
              <w:rFonts w:ascii="宋体" w:hAnsi="宋体"/>
              <w:szCs w:val="21"/>
            </w:rPr>
            <w:fldChar w:fldCharType="separate"/>
          </w:r>
          <w:r>
            <w:rPr>
              <w:rFonts w:ascii="宋体" w:hAnsi="宋体"/>
              <w:bCs/>
            </w:rPr>
            <w:t>26. 投标文件的澄清</w:t>
          </w:r>
          <w:r>
            <w:tab/>
          </w:r>
          <w:r>
            <w:fldChar w:fldCharType="begin"/>
          </w:r>
          <w:r>
            <w:instrText xml:space="preserve"> PAGEREF _Toc27327 \h </w:instrText>
          </w:r>
          <w:r>
            <w:fldChar w:fldCharType="separate"/>
          </w:r>
          <w:r>
            <w:t>17</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_Toc21595 </w:instrText>
          </w:r>
          <w:r>
            <w:rPr>
              <w:rFonts w:ascii="宋体" w:hAnsi="宋体"/>
              <w:szCs w:val="21"/>
            </w:rPr>
            <w:fldChar w:fldCharType="separate"/>
          </w:r>
          <w:r>
            <w:rPr>
              <w:rFonts w:ascii="宋体" w:hAnsi="宋体"/>
              <w:bCs/>
            </w:rPr>
            <w:t>27. 对投标文件的比较和评价</w:t>
          </w:r>
          <w:r>
            <w:tab/>
          </w:r>
          <w:r>
            <w:fldChar w:fldCharType="begin"/>
          </w:r>
          <w:r>
            <w:instrText xml:space="preserve"> PAGEREF _Toc21595 \h </w:instrText>
          </w:r>
          <w:r>
            <w:fldChar w:fldCharType="separate"/>
          </w:r>
          <w:r>
            <w:t>18</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_Toc30747 </w:instrText>
          </w:r>
          <w:r>
            <w:rPr>
              <w:rFonts w:ascii="宋体" w:hAnsi="宋体"/>
              <w:szCs w:val="21"/>
            </w:rPr>
            <w:fldChar w:fldCharType="separate"/>
          </w:r>
          <w:r>
            <w:rPr>
              <w:rFonts w:ascii="宋体" w:hAnsi="宋体"/>
              <w:bCs/>
            </w:rPr>
            <w:t>28. 评标原则及方法</w:t>
          </w:r>
          <w:r>
            <w:tab/>
          </w:r>
          <w:r>
            <w:fldChar w:fldCharType="begin"/>
          </w:r>
          <w:r>
            <w:instrText xml:space="preserve"> PAGEREF _Toc30747 \h </w:instrText>
          </w:r>
          <w:r>
            <w:fldChar w:fldCharType="separate"/>
          </w:r>
          <w:r>
            <w:t>18</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_Toc17808 </w:instrText>
          </w:r>
          <w:r>
            <w:rPr>
              <w:rFonts w:ascii="宋体" w:hAnsi="宋体"/>
              <w:szCs w:val="21"/>
            </w:rPr>
            <w:fldChar w:fldCharType="separate"/>
          </w:r>
          <w:r>
            <w:rPr>
              <w:rFonts w:ascii="宋体" w:hAnsi="宋体"/>
              <w:bCs/>
            </w:rPr>
            <w:t>29. 评标</w:t>
          </w:r>
          <w:r>
            <w:rPr>
              <w:rFonts w:hint="eastAsia" w:ascii="宋体" w:hAnsi="宋体"/>
              <w:bCs/>
            </w:rPr>
            <w:t>、</w:t>
          </w:r>
          <w:r>
            <w:rPr>
              <w:rFonts w:ascii="宋体" w:hAnsi="宋体"/>
              <w:bCs/>
            </w:rPr>
            <w:t>定标结果公示</w:t>
          </w:r>
          <w:r>
            <w:rPr>
              <w:rFonts w:hint="eastAsia" w:ascii="宋体" w:hAnsi="宋体"/>
              <w:bCs/>
            </w:rPr>
            <w:t>及异议、投诉</w:t>
          </w:r>
          <w:r>
            <w:tab/>
          </w:r>
          <w:r>
            <w:fldChar w:fldCharType="begin"/>
          </w:r>
          <w:r>
            <w:instrText xml:space="preserve"> PAGEREF _Toc17808 \h </w:instrText>
          </w:r>
          <w:r>
            <w:fldChar w:fldCharType="separate"/>
          </w:r>
          <w:r>
            <w:t>18</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_Toc25540 </w:instrText>
          </w:r>
          <w:r>
            <w:rPr>
              <w:rFonts w:ascii="宋体" w:hAnsi="宋体"/>
              <w:szCs w:val="21"/>
            </w:rPr>
            <w:fldChar w:fldCharType="separate"/>
          </w:r>
          <w:r>
            <w:rPr>
              <w:rFonts w:ascii="宋体" w:hAnsi="宋体"/>
              <w:bCs/>
            </w:rPr>
            <w:t xml:space="preserve">30. </w:t>
          </w:r>
          <w:r>
            <w:rPr>
              <w:rFonts w:hint="eastAsia" w:ascii="宋体" w:hAnsi="宋体"/>
              <w:bCs/>
            </w:rPr>
            <w:t>真实性审查</w:t>
          </w:r>
          <w:r>
            <w:tab/>
          </w:r>
          <w:r>
            <w:fldChar w:fldCharType="begin"/>
          </w:r>
          <w:r>
            <w:instrText xml:space="preserve"> PAGEREF _Toc25540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_Toc9054 </w:instrText>
          </w:r>
          <w:r>
            <w:rPr>
              <w:rFonts w:ascii="宋体" w:hAnsi="宋体"/>
              <w:szCs w:val="21"/>
            </w:rPr>
            <w:fldChar w:fldCharType="separate"/>
          </w:r>
          <w:r>
            <w:rPr>
              <w:rFonts w:ascii="宋体" w:hAnsi="宋体"/>
              <w:bCs/>
            </w:rPr>
            <w:t>31. 中标通知书</w:t>
          </w:r>
          <w:r>
            <w:tab/>
          </w:r>
          <w:r>
            <w:fldChar w:fldCharType="begin"/>
          </w:r>
          <w:r>
            <w:instrText xml:space="preserve"> PAGEREF _Toc9054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_Toc19482 </w:instrText>
          </w:r>
          <w:r>
            <w:rPr>
              <w:rFonts w:ascii="宋体" w:hAnsi="宋体"/>
              <w:szCs w:val="21"/>
            </w:rPr>
            <w:fldChar w:fldCharType="separate"/>
          </w:r>
          <w:r>
            <w:rPr>
              <w:rFonts w:ascii="宋体" w:hAnsi="宋体" w:eastAsia="宋体"/>
              <w:lang w:val="zh-CN"/>
            </w:rPr>
            <w:t>（六）合同的授予</w:t>
          </w:r>
          <w:r>
            <w:tab/>
          </w:r>
          <w:r>
            <w:fldChar w:fldCharType="begin"/>
          </w:r>
          <w:r>
            <w:instrText xml:space="preserve"> PAGEREF _Toc19482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_Toc14525 </w:instrText>
          </w:r>
          <w:r>
            <w:rPr>
              <w:rFonts w:ascii="宋体" w:hAnsi="宋体"/>
              <w:szCs w:val="21"/>
            </w:rPr>
            <w:fldChar w:fldCharType="separate"/>
          </w:r>
          <w:r>
            <w:rPr>
              <w:rFonts w:ascii="宋体" w:hAnsi="宋体"/>
              <w:bCs/>
            </w:rPr>
            <w:t>32. 合同授予标准</w:t>
          </w:r>
          <w:r>
            <w:tab/>
          </w:r>
          <w:r>
            <w:fldChar w:fldCharType="begin"/>
          </w:r>
          <w:r>
            <w:instrText xml:space="preserve"> PAGEREF _Toc14525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_Toc9728 </w:instrText>
          </w:r>
          <w:r>
            <w:rPr>
              <w:rFonts w:ascii="宋体" w:hAnsi="宋体"/>
              <w:szCs w:val="21"/>
            </w:rPr>
            <w:fldChar w:fldCharType="separate"/>
          </w:r>
          <w:r>
            <w:rPr>
              <w:rFonts w:ascii="宋体" w:hAnsi="宋体"/>
              <w:bCs/>
            </w:rPr>
            <w:t>33. 接受和拒绝任何或所有投标的权利</w:t>
          </w:r>
          <w:r>
            <w:tab/>
          </w:r>
          <w:r>
            <w:fldChar w:fldCharType="begin"/>
          </w:r>
          <w:r>
            <w:instrText xml:space="preserve"> PAGEREF _Toc9728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_Toc19871 </w:instrText>
          </w:r>
          <w:r>
            <w:rPr>
              <w:rFonts w:ascii="宋体" w:hAnsi="宋体"/>
              <w:szCs w:val="21"/>
            </w:rPr>
            <w:fldChar w:fldCharType="separate"/>
          </w:r>
          <w:r>
            <w:rPr>
              <w:rFonts w:ascii="宋体" w:hAnsi="宋体"/>
              <w:bCs/>
            </w:rPr>
            <w:t>34. 授标时更改采购数量的权利</w:t>
          </w:r>
          <w:r>
            <w:tab/>
          </w:r>
          <w:r>
            <w:fldChar w:fldCharType="begin"/>
          </w:r>
          <w:r>
            <w:instrText xml:space="preserve"> PAGEREF _Toc19871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_Toc11707 </w:instrText>
          </w:r>
          <w:r>
            <w:rPr>
              <w:rFonts w:ascii="宋体" w:hAnsi="宋体"/>
              <w:szCs w:val="21"/>
            </w:rPr>
            <w:fldChar w:fldCharType="separate"/>
          </w:r>
          <w:r>
            <w:rPr>
              <w:rFonts w:ascii="宋体" w:hAnsi="宋体"/>
              <w:bCs/>
            </w:rPr>
            <w:t>35. 履约</w:t>
          </w:r>
          <w:r>
            <w:rPr>
              <w:rFonts w:hint="eastAsia" w:ascii="宋体" w:hAnsi="宋体"/>
              <w:bCs/>
            </w:rPr>
            <w:t>担保</w:t>
          </w:r>
          <w:r>
            <w:tab/>
          </w:r>
          <w:r>
            <w:fldChar w:fldCharType="begin"/>
          </w:r>
          <w:r>
            <w:instrText xml:space="preserve"> PAGEREF _Toc11707 \h </w:instrText>
          </w:r>
          <w:r>
            <w:fldChar w:fldCharType="separate"/>
          </w:r>
          <w:r>
            <w:t>20</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_Toc22765 </w:instrText>
          </w:r>
          <w:r>
            <w:rPr>
              <w:rFonts w:ascii="宋体" w:hAnsi="宋体"/>
              <w:szCs w:val="21"/>
            </w:rPr>
            <w:fldChar w:fldCharType="separate"/>
          </w:r>
          <w:r>
            <w:rPr>
              <w:rFonts w:ascii="宋体" w:hAnsi="宋体"/>
              <w:bCs/>
            </w:rPr>
            <w:t>36. 合同协议书的签订</w:t>
          </w:r>
          <w:r>
            <w:tab/>
          </w:r>
          <w:r>
            <w:fldChar w:fldCharType="begin"/>
          </w:r>
          <w:r>
            <w:instrText xml:space="preserve"> PAGEREF _Toc22765 \h </w:instrText>
          </w:r>
          <w:r>
            <w:fldChar w:fldCharType="separate"/>
          </w:r>
          <w:r>
            <w:t>20</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_Toc17275 </w:instrText>
          </w:r>
          <w:r>
            <w:rPr>
              <w:rFonts w:ascii="宋体" w:hAnsi="宋体"/>
              <w:szCs w:val="21"/>
            </w:rPr>
            <w:fldChar w:fldCharType="separate"/>
          </w:r>
          <w:r>
            <w:rPr>
              <w:rFonts w:ascii="宋体" w:hAnsi="宋体"/>
              <w:bCs/>
            </w:rPr>
            <w:t>37. 其他</w:t>
          </w:r>
          <w:r>
            <w:tab/>
          </w:r>
          <w:r>
            <w:fldChar w:fldCharType="begin"/>
          </w:r>
          <w:r>
            <w:instrText xml:space="preserve"> PAGEREF _Toc17275 \h </w:instrText>
          </w:r>
          <w:r>
            <w:fldChar w:fldCharType="separate"/>
          </w:r>
          <w:r>
            <w:t>20</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_Toc4947 </w:instrText>
          </w:r>
          <w:r>
            <w:rPr>
              <w:rFonts w:ascii="宋体" w:hAnsi="宋体"/>
              <w:szCs w:val="21"/>
            </w:rPr>
            <w:fldChar w:fldCharType="separate"/>
          </w:r>
          <w:r>
            <w:rPr>
              <w:rFonts w:ascii="宋体" w:hAnsi="宋体"/>
              <w:bCs/>
            </w:rPr>
            <w:t>38. 招标文件的解释权</w:t>
          </w:r>
          <w:r>
            <w:tab/>
          </w:r>
          <w:r>
            <w:fldChar w:fldCharType="begin"/>
          </w:r>
          <w:r>
            <w:instrText xml:space="preserve"> PAGEREF _Toc4947 \h </w:instrText>
          </w:r>
          <w:r>
            <w:fldChar w:fldCharType="separate"/>
          </w:r>
          <w:r>
            <w:t>20</w:t>
          </w:r>
          <w:r>
            <w:fldChar w:fldCharType="end"/>
          </w:r>
          <w:r>
            <w:rPr>
              <w:rFonts w:ascii="宋体" w:hAnsi="宋体"/>
              <w:color w:val="000000" w:themeColor="text1"/>
              <w:szCs w:val="21"/>
              <w14:textFill>
                <w14:solidFill>
                  <w14:schemeClr w14:val="tx1"/>
                </w14:solidFill>
              </w14:textFill>
            </w:rPr>
            <w:fldChar w:fldCharType="end"/>
          </w:r>
        </w:p>
        <w:p>
          <w:pPr>
            <w:pStyle w:val="34"/>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_Toc14706 </w:instrText>
          </w:r>
          <w:r>
            <w:rPr>
              <w:rFonts w:ascii="宋体" w:hAnsi="宋体"/>
              <w:szCs w:val="21"/>
            </w:rPr>
            <w:fldChar w:fldCharType="separate"/>
          </w:r>
          <w:r>
            <w:rPr>
              <w:rFonts w:eastAsiaTheme="minorEastAsia"/>
            </w:rPr>
            <w:t>第三章 评标办法</w:t>
          </w:r>
          <w:r>
            <w:tab/>
          </w:r>
          <w:r>
            <w:fldChar w:fldCharType="begin"/>
          </w:r>
          <w:r>
            <w:instrText xml:space="preserve"> PAGEREF _Toc14706 \h </w:instrText>
          </w:r>
          <w:r>
            <w:fldChar w:fldCharType="separate"/>
          </w:r>
          <w:r>
            <w:t>21</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_Toc31122 </w:instrText>
          </w:r>
          <w:r>
            <w:rPr>
              <w:rFonts w:ascii="宋体" w:hAnsi="宋体"/>
              <w:szCs w:val="21"/>
            </w:rPr>
            <w:fldChar w:fldCharType="separate"/>
          </w:r>
          <w:r>
            <w:rPr>
              <w:rFonts w:ascii="Times New Roman" w:hAnsi="Times New Roman"/>
            </w:rPr>
            <w:t>一、评标</w:t>
          </w:r>
          <w:r>
            <w:rPr>
              <w:rFonts w:hint="eastAsia" w:ascii="Times New Roman" w:hAnsi="Times New Roman"/>
            </w:rPr>
            <w:t>、</w:t>
          </w:r>
          <w:r>
            <w:rPr>
              <w:rFonts w:ascii="Times New Roman" w:hAnsi="Times New Roman"/>
            </w:rPr>
            <w:t>定标原则和目的</w:t>
          </w:r>
          <w:r>
            <w:tab/>
          </w:r>
          <w:r>
            <w:fldChar w:fldCharType="begin"/>
          </w:r>
          <w:r>
            <w:instrText xml:space="preserve"> PAGEREF _Toc31122 \h </w:instrText>
          </w:r>
          <w:r>
            <w:fldChar w:fldCharType="separate"/>
          </w:r>
          <w:r>
            <w:t>22</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_Toc1897 </w:instrText>
          </w:r>
          <w:r>
            <w:rPr>
              <w:rFonts w:ascii="宋体" w:hAnsi="宋体"/>
              <w:szCs w:val="21"/>
            </w:rPr>
            <w:fldChar w:fldCharType="separate"/>
          </w:r>
          <w:r>
            <w:rPr>
              <w:rFonts w:ascii="宋体" w:hAnsi="宋体" w:eastAsia="宋体"/>
            </w:rPr>
            <w:t>二、评标程序</w:t>
          </w:r>
          <w:r>
            <w:tab/>
          </w:r>
          <w:r>
            <w:fldChar w:fldCharType="begin"/>
          </w:r>
          <w:r>
            <w:instrText xml:space="preserve"> PAGEREF _Toc1897 \h </w:instrText>
          </w:r>
          <w:r>
            <w:fldChar w:fldCharType="separate"/>
          </w:r>
          <w:r>
            <w:t>22</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_Toc558 </w:instrText>
          </w:r>
          <w:r>
            <w:rPr>
              <w:rFonts w:ascii="宋体" w:hAnsi="宋体"/>
              <w:szCs w:val="21"/>
            </w:rPr>
            <w:fldChar w:fldCharType="separate"/>
          </w:r>
          <w:r>
            <w:rPr>
              <w:rFonts w:ascii="Times New Roman" w:hAnsi="Times New Roman"/>
            </w:rPr>
            <w:t>三、评分标准和细则</w:t>
          </w:r>
          <w:r>
            <w:tab/>
          </w:r>
          <w:r>
            <w:fldChar w:fldCharType="begin"/>
          </w:r>
          <w:r>
            <w:instrText xml:space="preserve"> PAGEREF _Toc558 \h </w:instrText>
          </w:r>
          <w:r>
            <w:fldChar w:fldCharType="separate"/>
          </w:r>
          <w:r>
            <w:t>25</w:t>
          </w:r>
          <w:r>
            <w:fldChar w:fldCharType="end"/>
          </w:r>
          <w:r>
            <w:rPr>
              <w:rFonts w:ascii="宋体" w:hAnsi="宋体"/>
              <w:color w:val="000000" w:themeColor="text1"/>
              <w:szCs w:val="21"/>
              <w14:textFill>
                <w14:solidFill>
                  <w14:schemeClr w14:val="tx1"/>
                </w14:solidFill>
              </w14:textFill>
            </w:rPr>
            <w:fldChar w:fldCharType="end"/>
          </w:r>
        </w:p>
        <w:p>
          <w:pPr>
            <w:pStyle w:val="34"/>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_Toc14384 </w:instrText>
          </w:r>
          <w:r>
            <w:rPr>
              <w:rFonts w:ascii="宋体" w:hAnsi="宋体"/>
              <w:szCs w:val="21"/>
            </w:rPr>
            <w:fldChar w:fldCharType="separate"/>
          </w:r>
          <w:r>
            <w:rPr>
              <w:rFonts w:eastAsiaTheme="minorEastAsia"/>
            </w:rPr>
            <w:t>第四章 用户需求书</w:t>
          </w:r>
          <w:r>
            <w:tab/>
          </w:r>
          <w:r>
            <w:fldChar w:fldCharType="begin"/>
          </w:r>
          <w:r>
            <w:instrText xml:space="preserve"> PAGEREF _Toc14384 \h </w:instrText>
          </w:r>
          <w:r>
            <w:fldChar w:fldCharType="separate"/>
          </w:r>
          <w:r>
            <w:t>28</w:t>
          </w:r>
          <w:r>
            <w:fldChar w:fldCharType="end"/>
          </w:r>
          <w:r>
            <w:rPr>
              <w:rFonts w:ascii="宋体" w:hAnsi="宋体"/>
              <w:color w:val="000000" w:themeColor="text1"/>
              <w:szCs w:val="21"/>
              <w14:textFill>
                <w14:solidFill>
                  <w14:schemeClr w14:val="tx1"/>
                </w14:solidFill>
              </w14:textFill>
            </w:rPr>
            <w:fldChar w:fldCharType="end"/>
          </w:r>
        </w:p>
        <w:p>
          <w:pPr>
            <w:pStyle w:val="34"/>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_Toc10668 </w:instrText>
          </w:r>
          <w:r>
            <w:rPr>
              <w:rFonts w:ascii="宋体" w:hAnsi="宋体"/>
              <w:szCs w:val="21"/>
            </w:rPr>
            <w:fldChar w:fldCharType="separate"/>
          </w:r>
          <w:r>
            <w:rPr>
              <w:rFonts w:eastAsiaTheme="minorEastAsia"/>
            </w:rPr>
            <w:t>第五章 合同格式</w:t>
          </w:r>
          <w:r>
            <w:tab/>
          </w:r>
          <w:r>
            <w:fldChar w:fldCharType="begin"/>
          </w:r>
          <w:r>
            <w:instrText xml:space="preserve"> PAGEREF _Toc10668 \h </w:instrText>
          </w:r>
          <w:r>
            <w:fldChar w:fldCharType="separate"/>
          </w:r>
          <w:r>
            <w:t>33</w:t>
          </w:r>
          <w:r>
            <w:fldChar w:fldCharType="end"/>
          </w:r>
          <w:r>
            <w:rPr>
              <w:rFonts w:ascii="宋体" w:hAnsi="宋体"/>
              <w:color w:val="000000" w:themeColor="text1"/>
              <w:szCs w:val="21"/>
              <w14:textFill>
                <w14:solidFill>
                  <w14:schemeClr w14:val="tx1"/>
                </w14:solidFill>
              </w14:textFill>
            </w:rPr>
            <w:fldChar w:fldCharType="end"/>
          </w:r>
        </w:p>
        <w:p>
          <w:pPr>
            <w:pStyle w:val="34"/>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_Toc21689 </w:instrText>
          </w:r>
          <w:r>
            <w:rPr>
              <w:rFonts w:ascii="宋体" w:hAnsi="宋体"/>
              <w:szCs w:val="21"/>
            </w:rPr>
            <w:fldChar w:fldCharType="separate"/>
          </w:r>
          <w:r>
            <w:rPr>
              <w:rFonts w:eastAsiaTheme="minorEastAsia"/>
            </w:rPr>
            <w:t>第六章 投标文件格式</w:t>
          </w:r>
          <w:r>
            <w:tab/>
          </w:r>
          <w:r>
            <w:fldChar w:fldCharType="begin"/>
          </w:r>
          <w:r>
            <w:instrText xml:space="preserve"> PAGEREF _Toc21689 \h </w:instrText>
          </w:r>
          <w:r>
            <w:fldChar w:fldCharType="separate"/>
          </w:r>
          <w:r>
            <w:t>46</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_Toc24397 </w:instrText>
          </w:r>
          <w:r>
            <w:rPr>
              <w:rFonts w:ascii="宋体" w:hAnsi="宋体"/>
              <w:szCs w:val="21"/>
            </w:rPr>
            <w:fldChar w:fldCharType="separate"/>
          </w:r>
          <w:r>
            <w:rPr>
              <w:rFonts w:ascii="Times New Roman" w:hAnsi="Times New Roman"/>
              <w:bCs/>
              <w:spacing w:val="-6"/>
              <w:szCs w:val="48"/>
            </w:rPr>
            <w:t>一、价格部分文件</w:t>
          </w:r>
          <w:r>
            <w:tab/>
          </w:r>
          <w:r>
            <w:fldChar w:fldCharType="begin"/>
          </w:r>
          <w:r>
            <w:instrText xml:space="preserve"> PAGEREF _Toc24397 \h </w:instrText>
          </w:r>
          <w:r>
            <w:fldChar w:fldCharType="separate"/>
          </w:r>
          <w:r>
            <w:t>47</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_Toc5158 </w:instrText>
          </w:r>
          <w:r>
            <w:rPr>
              <w:rFonts w:ascii="宋体" w:hAnsi="宋体"/>
              <w:szCs w:val="21"/>
            </w:rPr>
            <w:fldChar w:fldCharType="separate"/>
          </w:r>
          <w:r>
            <w:rPr>
              <w:rFonts w:ascii="宋体" w:hAnsi="宋体"/>
            </w:rPr>
            <w:t>1、投标报价一览表</w:t>
          </w:r>
          <w:r>
            <w:tab/>
          </w:r>
          <w:r>
            <w:fldChar w:fldCharType="begin"/>
          </w:r>
          <w:r>
            <w:instrText xml:space="preserve"> PAGEREF _Toc5158 \h </w:instrText>
          </w:r>
          <w:r>
            <w:fldChar w:fldCharType="separate"/>
          </w:r>
          <w:r>
            <w:t>48</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_Toc29775 </w:instrText>
          </w:r>
          <w:r>
            <w:rPr>
              <w:rFonts w:ascii="宋体" w:hAnsi="宋体"/>
              <w:szCs w:val="21"/>
            </w:rPr>
            <w:fldChar w:fldCharType="separate"/>
          </w:r>
          <w:r>
            <w:rPr>
              <w:rFonts w:ascii="Times New Roman" w:hAnsi="Times New Roman"/>
              <w:bCs/>
              <w:spacing w:val="-6"/>
              <w:szCs w:val="48"/>
            </w:rPr>
            <w:t>二、商务、技术部分文件</w:t>
          </w:r>
          <w:r>
            <w:tab/>
          </w:r>
          <w:r>
            <w:fldChar w:fldCharType="begin"/>
          </w:r>
          <w:r>
            <w:instrText xml:space="preserve"> PAGEREF _Toc29775 \h </w:instrText>
          </w:r>
          <w:r>
            <w:fldChar w:fldCharType="separate"/>
          </w:r>
          <w:r>
            <w:t>49</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_Toc8809 </w:instrText>
          </w:r>
          <w:r>
            <w:rPr>
              <w:rFonts w:ascii="宋体" w:hAnsi="宋体"/>
              <w:szCs w:val="21"/>
            </w:rPr>
            <w:fldChar w:fldCharType="separate"/>
          </w:r>
          <w:r>
            <w:rPr>
              <w:rFonts w:ascii="宋体" w:hAnsi="宋体"/>
            </w:rPr>
            <w:t>1、投标函</w:t>
          </w:r>
          <w:r>
            <w:tab/>
          </w:r>
          <w:r>
            <w:fldChar w:fldCharType="begin"/>
          </w:r>
          <w:r>
            <w:instrText xml:space="preserve"> PAGEREF _Toc8809 \h </w:instrText>
          </w:r>
          <w:r>
            <w:fldChar w:fldCharType="separate"/>
          </w:r>
          <w:r>
            <w:t>50</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_Toc3143 </w:instrText>
          </w:r>
          <w:r>
            <w:rPr>
              <w:rFonts w:ascii="宋体" w:hAnsi="宋体"/>
              <w:szCs w:val="21"/>
            </w:rPr>
            <w:fldChar w:fldCharType="separate"/>
          </w:r>
          <w:r>
            <w:rPr>
              <w:rFonts w:ascii="宋体" w:hAnsi="宋体"/>
            </w:rPr>
            <w:t>2、承诺书</w:t>
          </w:r>
          <w:r>
            <w:tab/>
          </w:r>
          <w:r>
            <w:fldChar w:fldCharType="begin"/>
          </w:r>
          <w:r>
            <w:instrText xml:space="preserve"> PAGEREF _Toc3143 \h </w:instrText>
          </w:r>
          <w:r>
            <w:fldChar w:fldCharType="separate"/>
          </w:r>
          <w:r>
            <w:t>51</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_Toc4703 </w:instrText>
          </w:r>
          <w:r>
            <w:rPr>
              <w:rFonts w:ascii="宋体" w:hAnsi="宋体"/>
              <w:szCs w:val="21"/>
            </w:rPr>
            <w:fldChar w:fldCharType="separate"/>
          </w:r>
          <w:r>
            <w:rPr>
              <w:rFonts w:ascii="宋体" w:hAnsi="宋体"/>
            </w:rPr>
            <w:t>3、法定代表人身份证明书</w:t>
          </w:r>
          <w:r>
            <w:tab/>
          </w:r>
          <w:r>
            <w:fldChar w:fldCharType="begin"/>
          </w:r>
          <w:r>
            <w:instrText xml:space="preserve"> PAGEREF _Toc4703 \h </w:instrText>
          </w:r>
          <w:r>
            <w:fldChar w:fldCharType="separate"/>
          </w:r>
          <w:r>
            <w:t>52</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_Toc5235 </w:instrText>
          </w:r>
          <w:r>
            <w:rPr>
              <w:rFonts w:ascii="宋体" w:hAnsi="宋体"/>
              <w:szCs w:val="21"/>
            </w:rPr>
            <w:fldChar w:fldCharType="separate"/>
          </w:r>
          <w:r>
            <w:rPr>
              <w:rFonts w:ascii="Times New Roman" w:hAnsi="Times New Roman"/>
            </w:rPr>
            <w:t>4、法</w:t>
          </w:r>
          <w:r>
            <w:rPr>
              <w:rFonts w:hint="eastAsia" w:ascii="Times New Roman" w:hAnsi="Times New Roman"/>
            </w:rPr>
            <w:t>定代表</w:t>
          </w:r>
          <w:r>
            <w:rPr>
              <w:rFonts w:ascii="Times New Roman" w:hAnsi="Times New Roman"/>
            </w:rPr>
            <w:t>人授权委托书</w:t>
          </w:r>
          <w:r>
            <w:tab/>
          </w:r>
          <w:r>
            <w:fldChar w:fldCharType="begin"/>
          </w:r>
          <w:r>
            <w:instrText xml:space="preserve"> PAGEREF _Toc5235 \h </w:instrText>
          </w:r>
          <w:r>
            <w:fldChar w:fldCharType="separate"/>
          </w:r>
          <w:r>
            <w:t>53</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_Toc29393 </w:instrText>
          </w:r>
          <w:r>
            <w:rPr>
              <w:rFonts w:ascii="宋体" w:hAnsi="宋体"/>
              <w:szCs w:val="21"/>
            </w:rPr>
            <w:fldChar w:fldCharType="separate"/>
          </w:r>
          <w:r>
            <w:rPr>
              <w:rFonts w:ascii="宋体" w:hAnsi="宋体"/>
            </w:rPr>
            <w:t>5、资格文件声明函</w:t>
          </w:r>
          <w:r>
            <w:tab/>
          </w:r>
          <w:r>
            <w:fldChar w:fldCharType="begin"/>
          </w:r>
          <w:r>
            <w:instrText xml:space="preserve"> PAGEREF _Toc29393 \h </w:instrText>
          </w:r>
          <w:r>
            <w:fldChar w:fldCharType="separate"/>
          </w:r>
          <w:r>
            <w:t>54</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_Toc1241 </w:instrText>
          </w:r>
          <w:r>
            <w:rPr>
              <w:rFonts w:ascii="宋体" w:hAnsi="宋体"/>
              <w:szCs w:val="21"/>
            </w:rPr>
            <w:fldChar w:fldCharType="separate"/>
          </w:r>
          <w:r>
            <w:rPr>
              <w:rFonts w:ascii="宋体" w:hAnsi="宋体"/>
            </w:rPr>
            <w:t>6、投标单位基本情况</w:t>
          </w:r>
          <w:r>
            <w:rPr>
              <w:rFonts w:hint="eastAsia" w:ascii="宋体" w:hAnsi="宋体"/>
            </w:rPr>
            <w:t>、简介</w:t>
          </w:r>
          <w:r>
            <w:tab/>
          </w:r>
          <w:r>
            <w:fldChar w:fldCharType="begin"/>
          </w:r>
          <w:r>
            <w:instrText xml:space="preserve"> PAGEREF _Toc1241 \h </w:instrText>
          </w:r>
          <w:r>
            <w:fldChar w:fldCharType="separate"/>
          </w:r>
          <w:r>
            <w:t>55</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_Toc30346 </w:instrText>
          </w:r>
          <w:r>
            <w:rPr>
              <w:rFonts w:ascii="宋体" w:hAnsi="宋体"/>
              <w:szCs w:val="21"/>
            </w:rPr>
            <w:fldChar w:fldCharType="separate"/>
          </w:r>
          <w:r>
            <w:rPr>
              <w:rFonts w:ascii="宋体" w:hAnsi="宋体"/>
            </w:rPr>
            <w:t>7、投标人资格证明文件</w:t>
          </w:r>
          <w:r>
            <w:tab/>
          </w:r>
          <w:r>
            <w:fldChar w:fldCharType="begin"/>
          </w:r>
          <w:r>
            <w:instrText xml:space="preserve"> PAGEREF _Toc30346 \h </w:instrText>
          </w:r>
          <w:r>
            <w:fldChar w:fldCharType="separate"/>
          </w:r>
          <w:r>
            <w:t>56</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_Toc23690 </w:instrText>
          </w:r>
          <w:r>
            <w:rPr>
              <w:rFonts w:ascii="宋体" w:hAnsi="宋体"/>
              <w:szCs w:val="21"/>
            </w:rPr>
            <w:fldChar w:fldCharType="separate"/>
          </w:r>
          <w:r>
            <w:rPr>
              <w:rFonts w:ascii="宋体" w:hAnsi="宋体"/>
            </w:rPr>
            <w:t>8、</w:t>
          </w:r>
          <w:r>
            <w:rPr>
              <w:rFonts w:hint="eastAsia" w:ascii="宋体" w:hAnsi="宋体"/>
            </w:rPr>
            <w:t>投标人承诺</w:t>
          </w:r>
          <w:r>
            <w:tab/>
          </w:r>
          <w:r>
            <w:fldChar w:fldCharType="begin"/>
          </w:r>
          <w:r>
            <w:instrText xml:space="preserve"> PAGEREF _Toc23690 \h </w:instrText>
          </w:r>
          <w:r>
            <w:fldChar w:fldCharType="separate"/>
          </w:r>
          <w:r>
            <w:t>57</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_Toc8707 </w:instrText>
          </w:r>
          <w:r>
            <w:rPr>
              <w:rFonts w:ascii="宋体" w:hAnsi="宋体"/>
              <w:szCs w:val="21"/>
            </w:rPr>
            <w:fldChar w:fldCharType="separate"/>
          </w:r>
          <w:r>
            <w:rPr>
              <w:rFonts w:ascii="宋体" w:hAnsi="宋体"/>
            </w:rPr>
            <w:t>9、业绩情况一览表</w:t>
          </w:r>
          <w:r>
            <w:tab/>
          </w:r>
          <w:r>
            <w:fldChar w:fldCharType="begin"/>
          </w:r>
          <w:r>
            <w:instrText xml:space="preserve"> PAGEREF _Toc8707 \h </w:instrText>
          </w:r>
          <w:r>
            <w:fldChar w:fldCharType="separate"/>
          </w:r>
          <w:r>
            <w:t>59</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_Toc12572 </w:instrText>
          </w:r>
          <w:r>
            <w:rPr>
              <w:rFonts w:ascii="宋体" w:hAnsi="宋体"/>
              <w:szCs w:val="21"/>
            </w:rPr>
            <w:fldChar w:fldCharType="separate"/>
          </w:r>
          <w:r>
            <w:rPr>
              <w:rFonts w:hint="eastAsia" w:ascii="宋体" w:hAnsi="宋体"/>
            </w:rPr>
            <w:t>1</w:t>
          </w:r>
          <w:r>
            <w:rPr>
              <w:rFonts w:ascii="宋体" w:hAnsi="宋体"/>
            </w:rPr>
            <w:t>0</w:t>
          </w:r>
          <w:r>
            <w:rPr>
              <w:rFonts w:hint="eastAsia" w:ascii="宋体" w:hAnsi="宋体"/>
            </w:rPr>
            <w:t>、拟投入本项目的服务团队人员情况表格式</w:t>
          </w:r>
          <w:r>
            <w:tab/>
          </w:r>
          <w:r>
            <w:fldChar w:fldCharType="begin"/>
          </w:r>
          <w:r>
            <w:instrText xml:space="preserve"> PAGEREF _Toc12572 \h </w:instrText>
          </w:r>
          <w:r>
            <w:fldChar w:fldCharType="separate"/>
          </w:r>
          <w:r>
            <w:t>60</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_Toc21360 </w:instrText>
          </w:r>
          <w:r>
            <w:rPr>
              <w:rFonts w:ascii="宋体" w:hAnsi="宋体"/>
              <w:szCs w:val="21"/>
            </w:rPr>
            <w:fldChar w:fldCharType="separate"/>
          </w:r>
          <w:r>
            <w:rPr>
              <w:rFonts w:ascii="Times New Roman" w:hAnsi="Times New Roman"/>
            </w:rPr>
            <w:t>11、投标方案</w:t>
          </w:r>
          <w:r>
            <w:tab/>
          </w:r>
          <w:r>
            <w:fldChar w:fldCharType="begin"/>
          </w:r>
          <w:r>
            <w:instrText xml:space="preserve"> PAGEREF _Toc21360 \h </w:instrText>
          </w:r>
          <w:r>
            <w:fldChar w:fldCharType="separate"/>
          </w:r>
          <w:r>
            <w:t>62</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_Toc29448 </w:instrText>
          </w:r>
          <w:r>
            <w:rPr>
              <w:rFonts w:ascii="宋体" w:hAnsi="宋体"/>
              <w:szCs w:val="21"/>
            </w:rPr>
            <w:fldChar w:fldCharType="separate"/>
          </w:r>
          <w:r>
            <w:rPr>
              <w:rFonts w:ascii="Times New Roman" w:hAnsi="Times New Roman"/>
            </w:rPr>
            <w:t>12、</w:t>
          </w:r>
          <w:r>
            <w:rPr>
              <w:rFonts w:hint="eastAsia" w:ascii="Times New Roman" w:hAnsi="Times New Roman"/>
            </w:rPr>
            <w:t>用户需求</w:t>
          </w:r>
          <w:r>
            <w:rPr>
              <w:rFonts w:ascii="Times New Roman" w:hAnsi="Times New Roman"/>
            </w:rPr>
            <w:t>偏离表</w:t>
          </w:r>
          <w:r>
            <w:tab/>
          </w:r>
          <w:r>
            <w:fldChar w:fldCharType="begin"/>
          </w:r>
          <w:r>
            <w:instrText xml:space="preserve"> PAGEREF _Toc29448 \h </w:instrText>
          </w:r>
          <w:r>
            <w:fldChar w:fldCharType="separate"/>
          </w:r>
          <w:r>
            <w:t>63</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_Toc24630 </w:instrText>
          </w:r>
          <w:r>
            <w:rPr>
              <w:rFonts w:ascii="宋体" w:hAnsi="宋体"/>
              <w:szCs w:val="21"/>
            </w:rPr>
            <w:fldChar w:fldCharType="separate"/>
          </w:r>
          <w:r>
            <w:rPr>
              <w:rFonts w:ascii="Times New Roman" w:hAnsi="Times New Roman"/>
            </w:rPr>
            <w:t>13、</w:t>
          </w:r>
          <w:r>
            <w:rPr>
              <w:rFonts w:hint="eastAsia" w:ascii="宋体" w:hAnsi="宋体"/>
            </w:rPr>
            <w:t>★</w:t>
          </w:r>
          <w:r>
            <w:rPr>
              <w:rFonts w:hint="eastAsia" w:ascii="Times New Roman" w:hAnsi="Times New Roman"/>
            </w:rPr>
            <w:t>号</w:t>
          </w:r>
          <w:r>
            <w:rPr>
              <w:rFonts w:ascii="Times New Roman" w:hAnsi="Times New Roman"/>
            </w:rPr>
            <w:t>条款</w:t>
          </w:r>
          <w:r>
            <w:rPr>
              <w:rFonts w:hint="eastAsia" w:ascii="Times New Roman" w:hAnsi="Times New Roman"/>
            </w:rPr>
            <w:t>响应</w:t>
          </w:r>
          <w:r>
            <w:rPr>
              <w:rFonts w:ascii="Times New Roman" w:hAnsi="Times New Roman"/>
            </w:rPr>
            <w:t>表</w:t>
          </w:r>
          <w:r>
            <w:tab/>
          </w:r>
          <w:r>
            <w:fldChar w:fldCharType="begin"/>
          </w:r>
          <w:r>
            <w:instrText xml:space="preserve"> PAGEREF _Toc24630 \h </w:instrText>
          </w:r>
          <w:r>
            <w:fldChar w:fldCharType="separate"/>
          </w:r>
          <w:r>
            <w:t>64</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_Toc21952 </w:instrText>
          </w:r>
          <w:r>
            <w:rPr>
              <w:rFonts w:ascii="宋体" w:hAnsi="宋体"/>
              <w:szCs w:val="21"/>
            </w:rPr>
            <w:fldChar w:fldCharType="separate"/>
          </w:r>
          <w:r>
            <w:rPr>
              <w:rFonts w:ascii="Times New Roman" w:hAnsi="Times New Roman"/>
            </w:rPr>
            <w:t>14</w:t>
          </w:r>
          <w:r>
            <w:rPr>
              <w:rFonts w:hint="eastAsia" w:ascii="Times New Roman" w:hAnsi="Times New Roman"/>
            </w:rPr>
            <w:t>、合同条款偏离表</w:t>
          </w:r>
          <w:r>
            <w:tab/>
          </w:r>
          <w:r>
            <w:fldChar w:fldCharType="begin"/>
          </w:r>
          <w:r>
            <w:instrText xml:space="preserve"> PAGEREF _Toc21952 \h </w:instrText>
          </w:r>
          <w:r>
            <w:fldChar w:fldCharType="separate"/>
          </w:r>
          <w:r>
            <w:t>65</w:t>
          </w:r>
          <w:r>
            <w:fldChar w:fldCharType="end"/>
          </w:r>
          <w:r>
            <w:rPr>
              <w:rFonts w:ascii="宋体" w:hAnsi="宋体"/>
              <w:color w:val="000000" w:themeColor="text1"/>
              <w:szCs w:val="21"/>
              <w14:textFill>
                <w14:solidFill>
                  <w14:schemeClr w14:val="tx1"/>
                </w14:solidFill>
              </w14:textFill>
            </w:rPr>
            <w:fldChar w:fldCharType="end"/>
          </w:r>
        </w:p>
        <w:p>
          <w:pPr>
            <w:pStyle w:val="25"/>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_Toc6928 </w:instrText>
          </w:r>
          <w:r>
            <w:rPr>
              <w:rFonts w:ascii="宋体" w:hAnsi="宋体"/>
              <w:szCs w:val="21"/>
            </w:rPr>
            <w:fldChar w:fldCharType="separate"/>
          </w:r>
          <w:r>
            <w:rPr>
              <w:rFonts w:ascii="宋体" w:hAnsi="宋体"/>
            </w:rPr>
            <w:t>1</w:t>
          </w:r>
          <w:r>
            <w:rPr>
              <w:rFonts w:hint="eastAsia" w:ascii="宋体" w:hAnsi="宋体"/>
            </w:rPr>
            <w:t>5</w:t>
          </w:r>
          <w:r>
            <w:rPr>
              <w:rFonts w:ascii="宋体" w:hAnsi="宋体"/>
            </w:rPr>
            <w:t>、投标人认为需加以说明的其他内容</w:t>
          </w:r>
          <w:r>
            <w:tab/>
          </w:r>
          <w:r>
            <w:fldChar w:fldCharType="begin"/>
          </w:r>
          <w:r>
            <w:instrText xml:space="preserve"> PAGEREF _Toc6928 \h </w:instrText>
          </w:r>
          <w:r>
            <w:fldChar w:fldCharType="separate"/>
          </w:r>
          <w:r>
            <w:t>66</w:t>
          </w:r>
          <w:r>
            <w:fldChar w:fldCharType="end"/>
          </w:r>
          <w:r>
            <w:rPr>
              <w:rFonts w:ascii="宋体" w:hAnsi="宋体"/>
              <w:color w:val="000000" w:themeColor="text1"/>
              <w:szCs w:val="21"/>
              <w14:textFill>
                <w14:solidFill>
                  <w14:schemeClr w14:val="tx1"/>
                </w14:solidFill>
              </w14:textFill>
            </w:rPr>
            <w:fldChar w:fldCharType="end"/>
          </w:r>
        </w:p>
        <w:p>
          <w:pPr>
            <w:pStyle w:val="43"/>
            <w:tabs>
              <w:tab w:val="right" w:leader="dot" w:pos="10130"/>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_Toc451 </w:instrText>
          </w:r>
          <w:r>
            <w:rPr>
              <w:rFonts w:ascii="宋体" w:hAnsi="宋体"/>
              <w:szCs w:val="21"/>
            </w:rPr>
            <w:fldChar w:fldCharType="separate"/>
          </w:r>
          <w:r>
            <w:rPr>
              <w:rFonts w:hint="eastAsia" w:ascii="Times New Roman" w:hAnsi="Times New Roman"/>
              <w:bCs/>
              <w:spacing w:val="-6"/>
              <w:szCs w:val="48"/>
            </w:rPr>
            <w:t>三</w:t>
          </w:r>
          <w:r>
            <w:rPr>
              <w:rFonts w:ascii="Times New Roman" w:hAnsi="Times New Roman"/>
              <w:bCs/>
              <w:spacing w:val="-6"/>
              <w:szCs w:val="48"/>
            </w:rPr>
            <w:t>、无线胶装样式</w:t>
          </w:r>
          <w:r>
            <w:tab/>
          </w:r>
          <w:r>
            <w:fldChar w:fldCharType="begin"/>
          </w:r>
          <w:r>
            <w:instrText xml:space="preserve"> PAGEREF _Toc451 \h </w:instrText>
          </w:r>
          <w:r>
            <w:fldChar w:fldCharType="separate"/>
          </w:r>
          <w:r>
            <w:t>67</w:t>
          </w:r>
          <w:r>
            <w:fldChar w:fldCharType="end"/>
          </w:r>
          <w:r>
            <w:rPr>
              <w:rFonts w:ascii="宋体" w:hAnsi="宋体"/>
              <w:color w:val="000000" w:themeColor="text1"/>
              <w:szCs w:val="21"/>
              <w14:textFill>
                <w14:solidFill>
                  <w14:schemeClr w14:val="tx1"/>
                </w14:solidFill>
              </w14:textFill>
            </w:rPr>
            <w:fldChar w:fldCharType="end"/>
          </w:r>
        </w:p>
        <w:p>
          <w:pPr>
            <w:spacing w:line="400" w:lineRule="exact"/>
            <w:rPr>
              <w:rFonts w:ascii="宋体" w:hAnsi="宋体"/>
              <w:color w:val="000000" w:themeColor="text1"/>
              <w:sz w:val="22"/>
              <w:szCs w:val="22"/>
              <w14:textFill>
                <w14:solidFill>
                  <w14:schemeClr w14:val="tx1"/>
                </w14:solidFill>
              </w14:textFill>
            </w:rPr>
          </w:pPr>
          <w:r>
            <w:rPr>
              <w:rFonts w:ascii="宋体" w:hAnsi="宋体"/>
              <w:color w:val="000000" w:themeColor="text1"/>
              <w:szCs w:val="21"/>
              <w14:textFill>
                <w14:solidFill>
                  <w14:schemeClr w14:val="tx1"/>
                </w14:solidFill>
              </w14:textFill>
            </w:rPr>
            <w:fldChar w:fldCharType="end"/>
          </w:r>
        </w:p>
      </w:sdtContent>
    </w:sdt>
    <w:p>
      <w:pPr>
        <w:widowControl/>
        <w:spacing w:line="360" w:lineRule="auto"/>
        <w:jc w:val="left"/>
        <w:rPr>
          <w:rFonts w:ascii="宋体" w:hAnsi="宋体"/>
          <w:color w:val="000000" w:themeColor="text1"/>
          <w:sz w:val="22"/>
          <w:szCs w:val="22"/>
          <w14:textFill>
            <w14:solidFill>
              <w14:schemeClr w14:val="tx1"/>
            </w14:solidFill>
          </w14:textFill>
        </w:rPr>
      </w:pPr>
      <w:bookmarkStart w:id="2" w:name="_Toc427232293"/>
      <w:bookmarkStart w:id="3" w:name="_Toc441844047"/>
      <w:r>
        <w:rPr>
          <w:rFonts w:ascii="宋体" w:hAnsi="宋体"/>
          <w:color w:val="000000" w:themeColor="text1"/>
          <w:sz w:val="22"/>
          <w:szCs w:val="22"/>
          <w14:textFill>
            <w14:solidFill>
              <w14:schemeClr w14:val="tx1"/>
            </w14:solidFill>
          </w14:textFill>
        </w:rPr>
        <w:br w:type="page"/>
      </w:r>
    </w:p>
    <w:p>
      <w:pPr>
        <w:spacing w:line="360" w:lineRule="auto"/>
        <w:rPr>
          <w:rFonts w:ascii="宋体" w:hAnsi="宋体"/>
          <w:color w:val="000000" w:themeColor="text1"/>
          <w:sz w:val="22"/>
          <w:szCs w:val="22"/>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pStyle w:val="3"/>
        <w:jc w:val="center"/>
        <w:rPr>
          <w:rFonts w:ascii="Times New Roman" w:hAnsi="Times New Roman" w:eastAsiaTheme="minorEastAsia"/>
          <w:color w:val="000000" w:themeColor="text1"/>
          <w14:textFill>
            <w14:solidFill>
              <w14:schemeClr w14:val="tx1"/>
            </w14:solidFill>
          </w14:textFill>
        </w:rPr>
      </w:pPr>
      <w:bookmarkStart w:id="4" w:name="_Toc93505733"/>
      <w:bookmarkStart w:id="5" w:name="_Toc24471"/>
      <w:r>
        <w:rPr>
          <w:rFonts w:ascii="Times New Roman" w:hAnsi="Times New Roman" w:eastAsiaTheme="minorEastAsia"/>
          <w:color w:val="000000" w:themeColor="text1"/>
          <w14:textFill>
            <w14:solidFill>
              <w14:schemeClr w14:val="tx1"/>
            </w14:solidFill>
          </w14:textFill>
        </w:rPr>
        <w:t xml:space="preserve">第一章  </w:t>
      </w:r>
      <w:bookmarkEnd w:id="2"/>
      <w:bookmarkEnd w:id="3"/>
      <w:r>
        <w:rPr>
          <w:rFonts w:ascii="Times New Roman" w:hAnsi="Times New Roman" w:eastAsiaTheme="minorEastAsia"/>
          <w:color w:val="000000" w:themeColor="text1"/>
          <w14:textFill>
            <w14:solidFill>
              <w14:schemeClr w14:val="tx1"/>
            </w14:solidFill>
          </w14:textFill>
        </w:rPr>
        <w:t>投标邀请</w:t>
      </w:r>
      <w:bookmarkEnd w:id="4"/>
      <w:bookmarkEnd w:id="5"/>
    </w:p>
    <w:p>
      <w:pPr>
        <w:widowControl/>
        <w:jc w:val="left"/>
        <w:rPr>
          <w:rFonts w:ascii="Times New Roman" w:hAnsi="Times New Roman" w:eastAsiaTheme="minorEastAsia"/>
          <w:b/>
          <w:bCs/>
          <w:color w:val="000000" w:themeColor="text1"/>
          <w:sz w:val="32"/>
          <w:szCs w:val="32"/>
          <w14:textFill>
            <w14:solidFill>
              <w14:schemeClr w14:val="tx1"/>
            </w14:solidFill>
          </w14:textFill>
        </w:rPr>
      </w:pPr>
      <w:bookmarkStart w:id="6" w:name="_Toc441844049"/>
      <w:r>
        <w:rPr>
          <w:rFonts w:ascii="Times New Roman" w:hAnsi="Times New Roman" w:eastAsiaTheme="minorEastAsia"/>
          <w:bCs/>
          <w:color w:val="000000" w:themeColor="text1"/>
          <w:szCs w:val="32"/>
          <w14:textFill>
            <w14:solidFill>
              <w14:schemeClr w14:val="tx1"/>
            </w14:solidFill>
          </w14:textFill>
        </w:rPr>
        <w:br w:type="page"/>
      </w:r>
    </w:p>
    <w:p>
      <w:pPr>
        <w:pStyle w:val="4"/>
        <w:tabs>
          <w:tab w:val="left" w:pos="0"/>
          <w:tab w:val="clear" w:pos="1440"/>
        </w:tabs>
        <w:ind w:left="0" w:firstLine="0"/>
        <w:jc w:val="center"/>
        <w:rPr>
          <w:rFonts w:ascii="Times New Roman" w:hAnsi="Times New Roman" w:eastAsiaTheme="minorEastAsia"/>
          <w:b w:val="0"/>
          <w:bCs/>
          <w:color w:val="000000" w:themeColor="text1"/>
          <w:szCs w:val="32"/>
          <w14:textFill>
            <w14:solidFill>
              <w14:schemeClr w14:val="tx1"/>
            </w14:solidFill>
          </w14:textFill>
        </w:rPr>
      </w:pPr>
      <w:bookmarkStart w:id="7" w:name="_Toc93505734"/>
      <w:bookmarkStart w:id="8" w:name="_Toc16427"/>
      <w:r>
        <w:rPr>
          <w:rFonts w:ascii="Times New Roman" w:hAnsi="Times New Roman" w:eastAsiaTheme="minorEastAsia"/>
          <w:bCs/>
          <w:color w:val="000000" w:themeColor="text1"/>
          <w:szCs w:val="32"/>
          <w14:textFill>
            <w14:solidFill>
              <w14:schemeClr w14:val="tx1"/>
            </w14:solidFill>
          </w14:textFill>
        </w:rPr>
        <w:t>一、 投标邀请函</w:t>
      </w:r>
      <w:bookmarkEnd w:id="7"/>
      <w:bookmarkEnd w:id="8"/>
    </w:p>
    <w:p>
      <w:pPr>
        <w:spacing w:line="400" w:lineRule="exact"/>
        <w:ind w:firstLine="440" w:firstLine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东莞市数据互联有限公司</w:t>
      </w:r>
      <w:r>
        <w:rPr>
          <w:rFonts w:ascii="宋体" w:hAnsi="宋体"/>
          <w:bCs/>
          <w:color w:val="000000" w:themeColor="text1"/>
          <w:sz w:val="22"/>
          <w:szCs w:val="22"/>
          <w14:textFill>
            <w14:solidFill>
              <w14:schemeClr w14:val="tx1"/>
            </w14:solidFill>
          </w14:textFill>
        </w:rPr>
        <w:t>（以下简称“</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人”），就以下项目进行国内公开招标采购，详情请参见招标文件。欢迎符合条件的</w:t>
      </w:r>
      <w:r>
        <w:rPr>
          <w:rFonts w:hint="eastAsia" w:ascii="宋体" w:hAnsi="宋体"/>
          <w:bCs/>
          <w:color w:val="000000" w:themeColor="text1"/>
          <w:sz w:val="22"/>
          <w:szCs w:val="22"/>
          <w14:textFill>
            <w14:solidFill>
              <w14:schemeClr w14:val="tx1"/>
            </w14:solidFill>
          </w14:textFill>
        </w:rPr>
        <w:t>潜在</w:t>
      </w:r>
      <w:r>
        <w:rPr>
          <w:rFonts w:ascii="宋体" w:hAnsi="宋体"/>
          <w:bCs/>
          <w:color w:val="000000" w:themeColor="text1"/>
          <w:sz w:val="22"/>
          <w:szCs w:val="22"/>
          <w14:textFill>
            <w14:solidFill>
              <w14:schemeClr w14:val="tx1"/>
            </w14:solidFill>
          </w14:textFill>
        </w:rPr>
        <w:t>投标人参加投标</w:t>
      </w:r>
      <w:r>
        <w:rPr>
          <w:rFonts w:hint="eastAsia" w:ascii="宋体" w:hAnsi="宋体"/>
          <w:bCs/>
          <w:color w:val="000000" w:themeColor="text1"/>
          <w:sz w:val="22"/>
          <w:szCs w:val="22"/>
          <w14:textFill>
            <w14:solidFill>
              <w14:schemeClr w14:val="tx1"/>
            </w14:solidFill>
          </w14:textFill>
        </w:rPr>
        <w:t>,</w:t>
      </w:r>
      <w:r>
        <w:rPr>
          <w:rFonts w:ascii="宋体" w:hAnsi="宋体"/>
          <w:bCs/>
          <w:color w:val="000000" w:themeColor="text1"/>
          <w:sz w:val="22"/>
          <w:szCs w:val="22"/>
          <w14:textFill>
            <w14:solidFill>
              <w14:schemeClr w14:val="tx1"/>
            </w14:solidFill>
          </w14:textFill>
        </w:rPr>
        <w:t>有关事项如下：</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项目</w:t>
      </w:r>
      <w:r>
        <w:rPr>
          <w:rFonts w:ascii="宋体" w:hAnsi="宋体"/>
          <w:bCs/>
          <w:color w:val="000000" w:themeColor="text1"/>
          <w:sz w:val="22"/>
          <w:szCs w:val="22"/>
          <w14:textFill>
            <w14:solidFill>
              <w14:schemeClr w14:val="tx1"/>
            </w14:solidFill>
          </w14:textFill>
        </w:rPr>
        <w:t>编号：</w:t>
      </w:r>
      <w:r>
        <w:rPr>
          <w:rFonts w:hint="eastAsia" w:ascii="宋体" w:hAnsi="宋体"/>
          <w:bCs/>
          <w:color w:val="000000" w:themeColor="text1"/>
          <w:sz w:val="22"/>
          <w:szCs w:val="22"/>
          <w14:textFill>
            <w14:solidFill>
              <w14:schemeClr w14:val="tx1"/>
            </w14:solidFill>
          </w14:textFill>
        </w:rPr>
        <w:t>SL-CG2022024</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项目名称：</w:t>
      </w:r>
      <w:r>
        <w:rPr>
          <w:rFonts w:hint="eastAsia" w:ascii="宋体" w:hAnsi="宋体"/>
          <w:bCs/>
          <w:color w:val="000000" w:themeColor="text1"/>
          <w:sz w:val="22"/>
          <w:szCs w:val="22"/>
          <w14:textFill>
            <w14:solidFill>
              <w14:schemeClr w14:val="tx1"/>
            </w14:solidFill>
          </w14:textFill>
        </w:rPr>
        <w:t>数据互联定级备案及网络安全符合性评测和安全风险评估服务项目</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采购</w:t>
      </w:r>
      <w:r>
        <w:rPr>
          <w:rFonts w:hint="eastAsia" w:ascii="宋体" w:hAnsi="宋体"/>
          <w:bCs/>
          <w:color w:val="000000" w:themeColor="text1"/>
          <w:sz w:val="22"/>
          <w:szCs w:val="22"/>
          <w14:textFill>
            <w14:solidFill>
              <w14:schemeClr w14:val="tx1"/>
            </w14:solidFill>
          </w14:textFill>
        </w:rPr>
        <w:t>内容</w:t>
      </w:r>
      <w:r>
        <w:rPr>
          <w:rFonts w:ascii="宋体" w:hAnsi="宋体"/>
          <w:bCs/>
          <w:color w:val="000000" w:themeColor="text1"/>
          <w:sz w:val="22"/>
          <w:szCs w:val="22"/>
          <w14:textFill>
            <w14:solidFill>
              <w14:schemeClr w14:val="tx1"/>
            </w14:solidFill>
          </w14:textFill>
        </w:rPr>
        <w:t>：</w:t>
      </w:r>
    </w:p>
    <w:tbl>
      <w:tblPr>
        <w:tblStyle w:val="51"/>
        <w:tblW w:w="51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4"/>
        <w:gridCol w:w="4787"/>
        <w:gridCol w:w="1709"/>
        <w:gridCol w:w="3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484"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cs="宋体"/>
                <w:b/>
                <w:bCs/>
                <w:color w:val="000000" w:themeColor="text1"/>
                <w:szCs w:val="22"/>
                <w14:textFill>
                  <w14:solidFill>
                    <w14:schemeClr w14:val="tx1"/>
                  </w14:solidFill>
                </w14:textFill>
              </w:rPr>
              <w:t>包号</w:t>
            </w:r>
          </w:p>
        </w:tc>
        <w:tc>
          <w:tcPr>
            <w:tcW w:w="2241"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采购</w:t>
            </w:r>
            <w:r>
              <w:rPr>
                <w:rFonts w:ascii="宋体" w:hAnsi="宋体"/>
                <w:b/>
                <w:color w:val="000000" w:themeColor="text1"/>
                <w:szCs w:val="22"/>
                <w14:textFill>
                  <w14:solidFill>
                    <w14:schemeClr w14:val="tx1"/>
                  </w14:solidFill>
                </w14:textFill>
              </w:rPr>
              <w:t>内容</w:t>
            </w:r>
          </w:p>
        </w:tc>
        <w:tc>
          <w:tcPr>
            <w:tcW w:w="800"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服务家数</w:t>
            </w:r>
          </w:p>
        </w:tc>
        <w:tc>
          <w:tcPr>
            <w:tcW w:w="1473"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A</w:t>
            </w:r>
          </w:p>
        </w:tc>
        <w:tc>
          <w:tcPr>
            <w:tcW w:w="22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数据互联定级备案及网络安全符合性评测和安全风险评估服务项目</w:t>
            </w:r>
          </w:p>
        </w:tc>
        <w:tc>
          <w:tcPr>
            <w:tcW w:w="80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1家</w:t>
            </w:r>
          </w:p>
        </w:tc>
        <w:tc>
          <w:tcPr>
            <w:tcW w:w="14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s="Times New Roman"/>
                <w:color w:val="000000" w:themeColor="text1"/>
                <w:sz w:val="22"/>
                <w:szCs w:val="22"/>
                <w14:textFill>
                  <w14:solidFill>
                    <w14:schemeClr w14:val="tx1"/>
                  </w14:solidFill>
                </w14:textFill>
              </w:rPr>
              <w:t>合同签订之日起至2022年12月31日</w:t>
            </w:r>
          </w:p>
        </w:tc>
      </w:tr>
    </w:tbl>
    <w:p>
      <w:pPr>
        <w:snapToGrid w:val="0"/>
        <w:spacing w:line="360" w:lineRule="auto"/>
        <w:rPr>
          <w:rFonts w:ascii="Times New Roman" w:hAnsi="Times New Roman" w:eastAsiaTheme="minorEastAsia"/>
          <w:b/>
          <w:bCs/>
          <w:color w:val="000000" w:themeColor="text1"/>
          <w:sz w:val="22"/>
          <w:szCs w:val="22"/>
          <w14:textFill>
            <w14:solidFill>
              <w14:schemeClr w14:val="tx1"/>
            </w14:solidFill>
          </w14:textFill>
        </w:rPr>
      </w:pPr>
      <w:r>
        <w:rPr>
          <w:rFonts w:hint="eastAsia" w:ascii="Times New Roman" w:hAnsi="Times New Roman" w:eastAsiaTheme="minorEastAsia"/>
          <w:b/>
          <w:bCs/>
          <w:color w:val="000000" w:themeColor="text1"/>
          <w:sz w:val="22"/>
          <w:szCs w:val="22"/>
          <w14:textFill>
            <w14:solidFill>
              <w14:schemeClr w14:val="tx1"/>
            </w14:solidFill>
          </w14:textFill>
        </w:rPr>
        <w:t>注：</w:t>
      </w:r>
      <w:r>
        <w:rPr>
          <w:rFonts w:ascii="Times New Roman" w:hAnsi="Times New Roman" w:eastAsiaTheme="minorEastAsia"/>
          <w:b/>
          <w:bCs/>
          <w:color w:val="000000" w:themeColor="text1"/>
          <w:sz w:val="22"/>
          <w:szCs w:val="22"/>
          <w14:textFill>
            <w14:solidFill>
              <w14:schemeClr w14:val="tx1"/>
            </w14:solidFill>
          </w14:textFill>
        </w:rPr>
        <w:t>项目要求详见《用户需求书》。</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项目预算金额：</w:t>
      </w:r>
      <w:r>
        <w:rPr>
          <w:rFonts w:hint="eastAsia" w:ascii="宋体" w:hAnsi="宋体"/>
          <w:bCs/>
          <w:color w:val="000000" w:themeColor="text1"/>
          <w:szCs w:val="21"/>
          <w14:textFill>
            <w14:solidFill>
              <w14:schemeClr w14:val="tx1"/>
            </w14:solidFill>
          </w14:textFill>
        </w:rPr>
        <w:t>10.8万元。</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投标人资格要求：</w:t>
      </w:r>
    </w:p>
    <w:p>
      <w:pPr>
        <w:pStyle w:val="113"/>
        <w:numPr>
          <w:ilvl w:val="0"/>
          <w:numId w:val="2"/>
        </w:numPr>
        <w:tabs>
          <w:tab w:val="left" w:pos="425"/>
        </w:tabs>
        <w:adjustRightInd w:val="0"/>
        <w:snapToGrid w:val="0"/>
        <w:spacing w:line="360" w:lineRule="auto"/>
        <w:ind w:left="426" w:hanging="426" w:firstLineChars="0"/>
        <w:rPr>
          <w:rFonts w:ascii="宋体" w:hAnsi="宋体"/>
          <w:color w:val="000000" w:themeColor="text1"/>
          <w:szCs w:val="21"/>
          <w14:textFill>
            <w14:solidFill>
              <w14:schemeClr w14:val="tx1"/>
            </w14:solidFill>
          </w14:textFill>
        </w:rPr>
      </w:pPr>
      <w:bookmarkStart w:id="9" w:name="_Hlk2675390"/>
      <w:r>
        <w:rPr>
          <w:rFonts w:hint="eastAsia" w:ascii="宋体" w:hAnsi="宋体"/>
          <w:color w:val="000000" w:themeColor="text1"/>
          <w:szCs w:val="21"/>
          <w:lang w:val="zh-CN"/>
          <w14:textFill>
            <w14:solidFill>
              <w14:schemeClr w14:val="tx1"/>
            </w14:solidFill>
          </w14:textFill>
        </w:rPr>
        <w:t>在中华人民共和国境内登记注册的、合法存续、正常经营且具有独立承担民事责任能力的法人或其他组织</w:t>
      </w:r>
      <w:r>
        <w:rPr>
          <w:rFonts w:hint="eastAsia" w:ascii="宋体" w:hAnsi="宋体"/>
          <w:color w:val="000000" w:themeColor="text1"/>
          <w:szCs w:val="21"/>
          <w14:textFill>
            <w14:solidFill>
              <w14:schemeClr w14:val="tx1"/>
            </w14:solidFill>
          </w14:textFill>
        </w:rPr>
        <w:t>；</w:t>
      </w:r>
    </w:p>
    <w:p>
      <w:pPr>
        <w:pStyle w:val="113"/>
        <w:numPr>
          <w:ilvl w:val="0"/>
          <w:numId w:val="2"/>
        </w:numPr>
        <w:tabs>
          <w:tab w:val="left" w:pos="425"/>
        </w:tabs>
        <w:adjustRightInd w:val="0"/>
        <w:snapToGrid w:val="0"/>
        <w:spacing w:line="360" w:lineRule="auto"/>
        <w:ind w:left="426" w:hanging="426" w:firstLineChars="0"/>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特殊资格要求</w:t>
      </w:r>
      <w:r>
        <w:rPr>
          <w:rFonts w:hint="eastAsia" w:ascii="宋体" w:hAnsi="宋体"/>
          <w:color w:val="000000" w:themeColor="text1"/>
          <w:szCs w:val="21"/>
          <w14:textFill>
            <w14:solidFill>
              <w14:schemeClr w14:val="tx1"/>
            </w14:solidFill>
          </w14:textFill>
        </w:rPr>
        <w:t>：具备中国通信企业协会颁发的“通信网络安全服务能力评定证书”；</w:t>
      </w:r>
    </w:p>
    <w:p>
      <w:pPr>
        <w:pStyle w:val="113"/>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投标人未被列入</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信用中国</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网站</w:t>
      </w:r>
      <w:r>
        <w:rPr>
          <w:rFonts w:ascii="宋体" w:hAnsi="宋体"/>
          <w:color w:val="000000" w:themeColor="text1"/>
          <w:szCs w:val="21"/>
          <w14:textFill>
            <w14:solidFill>
              <w14:schemeClr w14:val="tx1"/>
            </w14:solidFill>
          </w14:textFill>
        </w:rPr>
        <w:t>(www.creditchina.gov.cn)</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记录失信被执行人或重大税收违法案件当事人名单或政府采购严重违法失信名单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记录名单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不处于中国政府采购网</w:t>
      </w:r>
      <w:r>
        <w:rPr>
          <w:rFonts w:ascii="宋体" w:hAnsi="宋体"/>
          <w:color w:val="000000" w:themeColor="text1"/>
          <w:szCs w:val="21"/>
          <w14:textFill>
            <w14:solidFill>
              <w14:schemeClr w14:val="tx1"/>
            </w14:solidFill>
          </w14:textFill>
        </w:rPr>
        <w:t>(www.ccgp.gov.cn)</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政府采购严重违法失信行为信息记录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中的禁止参加政府采购活动期间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处罚限届满的除外</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。（以招标</w:t>
      </w:r>
      <w:r>
        <w:rPr>
          <w:rFonts w:hint="eastAsia" w:ascii="宋体" w:hAnsi="宋体"/>
          <w:color w:val="000000" w:themeColor="text1"/>
          <w:szCs w:val="21"/>
          <w14:textFill>
            <w14:solidFill>
              <w14:schemeClr w14:val="tx1"/>
            </w14:solidFill>
          </w14:textFill>
        </w:rPr>
        <w:t>人</w:t>
      </w:r>
      <w:r>
        <w:rPr>
          <w:rFonts w:hint="eastAsia" w:ascii="宋体" w:hAnsi="宋体"/>
          <w:color w:val="000000" w:themeColor="text1"/>
          <w:szCs w:val="21"/>
          <w:lang w:val="zh-CN"/>
          <w14:textFill>
            <w14:solidFill>
              <w14:schemeClr w14:val="tx1"/>
            </w14:solidFill>
          </w14:textFill>
        </w:rPr>
        <w:t>于投标截止日当天在“信用中国”网站及中国政府采购网查询结果为准，同时对信用信息查询记录和证据进行打印存档）；</w:t>
      </w:r>
    </w:p>
    <w:p>
      <w:pPr>
        <w:pStyle w:val="113"/>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本项目招标文件投标须知合格的投标人其他要求；</w:t>
      </w:r>
    </w:p>
    <w:p>
      <w:pPr>
        <w:pStyle w:val="113"/>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本项目</w:t>
      </w:r>
      <w:r>
        <w:rPr>
          <w:rFonts w:hint="eastAsia" w:ascii="宋体" w:hAnsi="宋体"/>
          <w:color w:val="000000" w:themeColor="text1"/>
          <w:szCs w:val="21"/>
          <w:u w:val="single"/>
          <w:lang w:val="zh-CN"/>
          <w14:textFill>
            <w14:solidFill>
              <w14:schemeClr w14:val="tx1"/>
            </w14:solidFill>
          </w14:textFill>
        </w:rPr>
        <w:t>不接受</w:t>
      </w:r>
      <w:r>
        <w:rPr>
          <w:rFonts w:hint="eastAsia" w:ascii="宋体" w:hAnsi="宋体"/>
          <w:color w:val="000000" w:themeColor="text1"/>
          <w:szCs w:val="21"/>
          <w:lang w:val="zh-CN"/>
          <w14:textFill>
            <w14:solidFill>
              <w14:schemeClr w14:val="tx1"/>
            </w14:solidFill>
          </w14:textFill>
        </w:rPr>
        <w:t>联合体投标。</w:t>
      </w:r>
      <w:bookmarkEnd w:id="9"/>
    </w:p>
    <w:p>
      <w:pPr>
        <w:numPr>
          <w:ilvl w:val="0"/>
          <w:numId w:val="1"/>
        </w:numPr>
        <w:snapToGrid w:val="0"/>
        <w:spacing w:line="360" w:lineRule="auto"/>
        <w:rPr>
          <w:rFonts w:ascii="宋体" w:hAnsi="宋体"/>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踏勘</w:t>
      </w:r>
      <w:r>
        <w:rPr>
          <w:rFonts w:ascii="宋体" w:hAnsi="宋体"/>
          <w:color w:val="000000" w:themeColor="text1"/>
          <w:szCs w:val="21"/>
          <w14:textFill>
            <w14:solidFill>
              <w14:schemeClr w14:val="tx1"/>
            </w14:solidFill>
          </w14:textFill>
        </w:rPr>
        <w:t>现场：本项目不组织踏勘现场。如有需要，投标人自行踏勘现场。</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本项目采用</w:t>
      </w:r>
      <w:bookmarkStart w:id="10" w:name="_Hlk1990883"/>
      <w:r>
        <w:rPr>
          <w:rFonts w:hint="eastAsia" w:ascii="宋体" w:hAnsi="宋体"/>
          <w:bCs/>
          <w:color w:val="000000" w:themeColor="text1"/>
          <w:szCs w:val="21"/>
          <w14:textFill>
            <w14:solidFill>
              <w14:schemeClr w14:val="tx1"/>
            </w14:solidFill>
          </w14:textFill>
        </w:rPr>
        <w:t>“不记名网上下载”的方式发布招标文件</w:t>
      </w:r>
      <w:bookmarkEnd w:id="10"/>
      <w:r>
        <w:rPr>
          <w:rFonts w:hint="eastAsia" w:ascii="宋体" w:hAnsi="宋体"/>
          <w:bCs/>
          <w:color w:val="000000" w:themeColor="text1"/>
          <w:szCs w:val="21"/>
          <w14:textFill>
            <w14:solidFill>
              <w14:schemeClr w14:val="tx1"/>
            </w14:solidFill>
          </w14:textFill>
        </w:rPr>
        <w:t>，有意向的投标人直接在2022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14:textFill>
            <w14:solidFill>
              <w14:schemeClr w14:val="tx1"/>
            </w14:solidFill>
          </w14:textFill>
        </w:rPr>
        <w:t>7</w:t>
      </w:r>
      <w:r>
        <w:rPr>
          <w:rFonts w:ascii="宋体" w:hAnsi="宋体"/>
          <w:bCs/>
          <w:color w:val="000000" w:themeColor="text1"/>
          <w:szCs w:val="21"/>
          <w14:textFill>
            <w14:solidFill>
              <w14:schemeClr w14:val="tx1"/>
            </w14:solidFill>
          </w14:textFill>
        </w:rPr>
        <w:t>日至</w:t>
      </w:r>
      <w:r>
        <w:rPr>
          <w:rFonts w:hint="eastAsia" w:ascii="宋体" w:hAnsi="宋体"/>
          <w:bCs/>
          <w:color w:val="000000" w:themeColor="text1"/>
          <w:szCs w:val="21"/>
          <w14:textFill>
            <w14:solidFill>
              <w14:schemeClr w14:val="tx1"/>
            </w14:solidFill>
          </w14:textFill>
        </w:rPr>
        <w:t>投标截止时间止，在东莞市交通投资集团有限公司官方网站（http://www.dgjtjt.com.cn/）下载招标文件。</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投标时间：</w:t>
      </w: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14:textFill>
            <w14:solidFill>
              <w14:schemeClr w14:val="tx1"/>
            </w14:solidFill>
          </w14:textFill>
        </w:rPr>
        <w:t>7</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14:textFill>
            <w14:solidFill>
              <w14:schemeClr w14:val="tx1"/>
            </w14:solidFill>
          </w14:textFill>
        </w:rPr>
        <w:t>15</w:t>
      </w:r>
      <w:r>
        <w:rPr>
          <w:rFonts w:hint="eastAsia" w:ascii="宋体" w:hAnsi="宋体"/>
          <w:bCs/>
          <w:color w:val="000000" w:themeColor="text1"/>
          <w:szCs w:val="21"/>
          <w14:textFill>
            <w14:solidFill>
              <w14:schemeClr w14:val="tx1"/>
            </w14:solidFill>
          </w14:textFill>
        </w:rPr>
        <w:t>时</w:t>
      </w:r>
      <w:r>
        <w:rPr>
          <w:rFonts w:hint="eastAsia" w:ascii="宋体" w:hAnsi="宋体"/>
          <w:bCs/>
          <w:color w:val="000000" w:themeColor="text1"/>
          <w:szCs w:val="21"/>
          <w:u w:val="single"/>
          <w14:textFill>
            <w14:solidFill>
              <w14:schemeClr w14:val="tx1"/>
            </w14:solidFill>
          </w14:textFill>
        </w:rPr>
        <w:t>00</w:t>
      </w:r>
      <w:r>
        <w:rPr>
          <w:rFonts w:hint="eastAsia" w:ascii="宋体" w:hAnsi="宋体"/>
          <w:bCs/>
          <w:color w:val="000000" w:themeColor="text1"/>
          <w:szCs w:val="21"/>
          <w14:textFill>
            <w14:solidFill>
              <w14:schemeClr w14:val="tx1"/>
            </w14:solidFill>
          </w14:textFill>
        </w:rPr>
        <w:t>分至</w:t>
      </w:r>
      <w:r>
        <w:rPr>
          <w:rFonts w:hint="eastAsia" w:ascii="宋体" w:hAnsi="宋体"/>
          <w:bCs/>
          <w:color w:val="000000" w:themeColor="text1"/>
          <w:szCs w:val="21"/>
          <w:u w:val="single"/>
          <w14:textFill>
            <w14:solidFill>
              <w14:schemeClr w14:val="tx1"/>
            </w14:solidFill>
          </w14:textFill>
        </w:rPr>
        <w:t>15</w:t>
      </w:r>
      <w:r>
        <w:rPr>
          <w:rFonts w:hint="eastAsia" w:ascii="宋体" w:hAnsi="宋体"/>
          <w:bCs/>
          <w:color w:val="000000" w:themeColor="text1"/>
          <w:szCs w:val="21"/>
          <w14:textFill>
            <w14:solidFill>
              <w14:schemeClr w14:val="tx1"/>
            </w14:solidFill>
          </w14:textFill>
        </w:rPr>
        <w:t>时</w:t>
      </w:r>
      <w:r>
        <w:rPr>
          <w:rFonts w:hint="eastAsia" w:ascii="宋体" w:hAnsi="宋体"/>
          <w:bCs/>
          <w:color w:val="000000" w:themeColor="text1"/>
          <w:szCs w:val="21"/>
          <w:u w:val="single"/>
          <w14:textFill>
            <w14:solidFill>
              <w14:schemeClr w14:val="tx1"/>
            </w14:solidFill>
          </w14:textFill>
        </w:rPr>
        <w:t>30</w:t>
      </w:r>
      <w:r>
        <w:rPr>
          <w:rFonts w:hint="eastAsia" w:ascii="宋体" w:hAnsi="宋体"/>
          <w:bCs/>
          <w:color w:val="000000" w:themeColor="text1"/>
          <w:szCs w:val="21"/>
          <w14:textFill>
            <w14:solidFill>
              <w14:schemeClr w14:val="tx1"/>
            </w14:solidFill>
          </w14:textFill>
        </w:rPr>
        <w:t>分</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投标截止及开标时间：</w:t>
      </w: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07</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14:textFill>
            <w14:solidFill>
              <w14:schemeClr w14:val="tx1"/>
            </w14:solidFill>
          </w14:textFill>
        </w:rPr>
        <w:t>7</w:t>
      </w:r>
      <w:r>
        <w:rPr>
          <w:rFonts w:ascii="宋体" w:hAnsi="宋体"/>
          <w:bCs/>
          <w:color w:val="000000" w:themeColor="text1"/>
          <w:szCs w:val="21"/>
          <w14:textFill>
            <w14:solidFill>
              <w14:schemeClr w14:val="tx1"/>
            </w14:solidFill>
          </w14:textFill>
        </w:rPr>
        <w:t>日</w:t>
      </w:r>
      <w:r>
        <w:rPr>
          <w:rFonts w:hint="eastAsia" w:ascii="宋体" w:hAnsi="宋体"/>
          <w:bCs/>
          <w:color w:val="000000" w:themeColor="text1"/>
          <w:szCs w:val="21"/>
          <w:u w:val="single"/>
          <w14:textFill>
            <w14:solidFill>
              <w14:schemeClr w14:val="tx1"/>
            </w14:solidFill>
          </w14:textFill>
        </w:rPr>
        <w:t>15</w:t>
      </w:r>
      <w:r>
        <w:rPr>
          <w:rFonts w:hint="eastAsia" w:ascii="宋体" w:hAnsi="宋体"/>
          <w:bCs/>
          <w:color w:val="000000" w:themeColor="text1"/>
          <w:szCs w:val="21"/>
          <w14:textFill>
            <w14:solidFill>
              <w14:schemeClr w14:val="tx1"/>
            </w14:solidFill>
          </w14:textFill>
        </w:rPr>
        <w:t>时</w:t>
      </w:r>
      <w:r>
        <w:rPr>
          <w:rFonts w:hint="eastAsia" w:ascii="宋体" w:hAnsi="宋体"/>
          <w:bCs/>
          <w:color w:val="000000" w:themeColor="text1"/>
          <w:szCs w:val="21"/>
          <w:u w:val="single"/>
          <w14:textFill>
            <w14:solidFill>
              <w14:schemeClr w14:val="tx1"/>
            </w14:solidFill>
          </w14:textFill>
        </w:rPr>
        <w:t>30</w:t>
      </w:r>
      <w:r>
        <w:rPr>
          <w:rFonts w:hint="eastAsia" w:ascii="宋体" w:hAnsi="宋体"/>
          <w:bCs/>
          <w:color w:val="000000" w:themeColor="text1"/>
          <w:szCs w:val="21"/>
          <w14:textFill>
            <w14:solidFill>
              <w14:schemeClr w14:val="tx1"/>
            </w14:solidFill>
          </w14:textFill>
        </w:rPr>
        <w:t>分</w:t>
      </w:r>
      <w:r>
        <w:rPr>
          <w:rFonts w:ascii="宋体" w:hAnsi="宋体"/>
          <w:bCs/>
          <w:color w:val="000000" w:themeColor="text1"/>
          <w:szCs w:val="21"/>
          <w14:textFill>
            <w14:solidFill>
              <w14:schemeClr w14:val="tx1"/>
            </w14:solidFill>
          </w14:textFill>
        </w:rPr>
        <w:t xml:space="preserve"> </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投标及开标地点：</w:t>
      </w:r>
      <w:r>
        <w:rPr>
          <w:rFonts w:hint="eastAsia" w:ascii="宋体" w:cs="宋体"/>
          <w:color w:val="000000" w:themeColor="text1"/>
          <w:szCs w:val="21"/>
          <w14:textFill>
            <w14:solidFill>
              <w14:schemeClr w14:val="tx1"/>
            </w14:solidFill>
          </w14:textFill>
        </w:rPr>
        <w:t>东莞市东城街道东城路561号街道办事处2号楼2楼(公共资源交易大厅)开标（1）室</w:t>
      </w:r>
      <w:r>
        <w:rPr>
          <w:rFonts w:ascii="宋体" w:hAnsi="宋体"/>
          <w:bCs/>
          <w:color w:val="000000" w:themeColor="text1"/>
          <w:szCs w:val="21"/>
          <w14:textFill>
            <w14:solidFill>
              <w14:schemeClr w14:val="tx1"/>
            </w14:solidFill>
          </w14:textFill>
        </w:rPr>
        <w:t>。</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本采购项目不举行集中答疑会，如有任何疑问以书面形式</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将疑问函原件</w:t>
      </w:r>
      <w:r>
        <w:rPr>
          <w:rFonts w:hint="eastAsia" w:ascii="宋体" w:hAnsi="宋体"/>
          <w:bCs/>
          <w:color w:val="000000" w:themeColor="text1"/>
          <w:szCs w:val="21"/>
          <w14:textFill>
            <w14:solidFill>
              <w14:schemeClr w14:val="tx1"/>
            </w14:solidFill>
          </w14:textFill>
        </w:rPr>
        <w:t>加盖公章</w:t>
      </w:r>
      <w:r>
        <w:rPr>
          <w:rFonts w:ascii="宋体" w:hAnsi="宋体"/>
          <w:bCs/>
          <w:color w:val="000000" w:themeColor="text1"/>
          <w:szCs w:val="21"/>
          <w14:textFill>
            <w14:solidFill>
              <w14:schemeClr w14:val="tx1"/>
            </w14:solidFill>
          </w14:textFill>
        </w:rPr>
        <w:t>送至采购代理机构。</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投标人必须向</w:t>
      </w:r>
      <w:r>
        <w:rPr>
          <w:rFonts w:hint="eastAsia" w:ascii="宋体" w:hAnsi="宋体"/>
          <w:bCs/>
          <w:color w:val="000000" w:themeColor="text1"/>
          <w:szCs w:val="21"/>
          <w14:textFill>
            <w14:solidFill>
              <w14:schemeClr w14:val="tx1"/>
            </w14:solidFill>
          </w14:textFill>
        </w:rPr>
        <w:t>东莞市数据互联有限公司</w:t>
      </w:r>
      <w:r>
        <w:rPr>
          <w:rFonts w:ascii="宋体" w:hAnsi="宋体"/>
          <w:bCs/>
          <w:color w:val="000000" w:themeColor="text1"/>
          <w:szCs w:val="21"/>
          <w14:textFill>
            <w14:solidFill>
              <w14:schemeClr w14:val="tx1"/>
            </w14:solidFill>
          </w14:textFill>
        </w:rPr>
        <w:t>提交投标保证金，投标保证金须严格按“招标文件第二章投标人须知第16点投标保证金”要求提交。</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w:t>
      </w:r>
      <w:r>
        <w:rPr>
          <w:rFonts w:ascii="宋体" w:hAnsi="宋体"/>
          <w:bCs/>
          <w:color w:val="000000" w:themeColor="text1"/>
          <w:szCs w:val="21"/>
          <w14:textFill>
            <w14:solidFill>
              <w14:schemeClr w14:val="tx1"/>
            </w14:solidFill>
          </w14:textFill>
        </w:rPr>
        <w:t xml:space="preserve">人将不负责投标人准备投标文件所发生的任何成本费用。 </w:t>
      </w:r>
    </w:p>
    <w:p>
      <w:pPr>
        <w:numPr>
          <w:ilvl w:val="0"/>
          <w:numId w:val="1"/>
        </w:numPr>
        <w:wordWrap w:val="0"/>
        <w:snapToGrid w:val="0"/>
        <w:spacing w:line="360" w:lineRule="auto"/>
        <w:ind w:left="482" w:hanging="482"/>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本次采购项目公告在</w:t>
      </w:r>
      <w:r>
        <w:rPr>
          <w:rFonts w:hint="eastAsia" w:ascii="宋体" w:hAnsi="宋体"/>
          <w:bCs/>
          <w:color w:val="000000" w:themeColor="text1"/>
          <w:szCs w:val="21"/>
          <w14:textFill>
            <w14:solidFill>
              <w14:schemeClr w14:val="tx1"/>
            </w14:solidFill>
          </w14:textFill>
        </w:rPr>
        <w:t>东莞市交通投资集团有限公司</w:t>
      </w:r>
      <w:r>
        <w:rPr>
          <w:rFonts w:ascii="宋体" w:hAnsi="宋体"/>
          <w:bCs/>
          <w:color w:val="000000" w:themeColor="text1"/>
          <w:szCs w:val="21"/>
          <w14:textFill>
            <w14:solidFill>
              <w14:schemeClr w14:val="tx1"/>
            </w14:solidFill>
          </w14:textFill>
        </w:rPr>
        <w:t>官方网站（http://www.dgjtjt.com.cn）媒体上公布，并视为有效送达，不再另行通知。有关此次采购事宜，也可按下列地址以书面或电话形式向</w:t>
      </w: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查询：</w:t>
      </w: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招标单位名称：</w:t>
      </w:r>
      <w:r>
        <w:rPr>
          <w:rFonts w:hint="eastAsia" w:ascii="宋体" w:hAnsi="宋体"/>
          <w:bCs/>
          <w:color w:val="000000" w:themeColor="text1"/>
          <w:szCs w:val="21"/>
          <w:u w:val="single"/>
          <w14:textFill>
            <w14:solidFill>
              <w14:schemeClr w14:val="tx1"/>
            </w14:solidFill>
          </w14:textFill>
        </w:rPr>
        <w:t>东莞市数据互联有限公司</w:t>
      </w:r>
    </w:p>
    <w:p>
      <w:pPr>
        <w:snapToGrid w:val="0"/>
        <w:spacing w:line="360" w:lineRule="auto"/>
        <w:ind w:left="548" w:leftChars="229" w:hanging="67" w:hangingChars="32"/>
        <w:rPr>
          <w:rFonts w:ascii="宋体" w:hAnsi="宋体" w:cs="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详细地址：</w:t>
      </w:r>
      <w:r>
        <w:rPr>
          <w:rFonts w:hint="eastAsia" w:ascii="宋体" w:hAnsi="宋体" w:cs="宋体"/>
          <w:bCs/>
          <w:color w:val="000000" w:themeColor="text1"/>
          <w:szCs w:val="21"/>
          <w:u w:val="single"/>
          <w14:textFill>
            <w14:solidFill>
              <w14:schemeClr w14:val="tx1"/>
            </w14:solidFill>
          </w14:textFill>
        </w:rPr>
        <w:t>东莞市寮步镇曲岭一路85号</w:t>
      </w:r>
    </w:p>
    <w:p>
      <w:pPr>
        <w:snapToGrid w:val="0"/>
        <w:spacing w:line="360" w:lineRule="auto"/>
        <w:ind w:firstLine="457" w:firstLineChars="218"/>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邮    编：</w:t>
      </w:r>
      <w:r>
        <w:rPr>
          <w:rFonts w:ascii="宋体" w:hAnsi="宋体"/>
          <w:bCs/>
          <w:color w:val="000000" w:themeColor="text1"/>
          <w:szCs w:val="21"/>
          <w:u w:val="single"/>
          <w14:textFill>
            <w14:solidFill>
              <w14:schemeClr w14:val="tx1"/>
            </w14:solidFill>
          </w14:textFill>
        </w:rPr>
        <w:t>523000</w:t>
      </w:r>
    </w:p>
    <w:p>
      <w:pPr>
        <w:snapToGrid w:val="0"/>
        <w:spacing w:line="360" w:lineRule="auto"/>
        <w:ind w:firstLine="457" w:firstLineChars="218"/>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联 系 人：</w:t>
      </w:r>
      <w:r>
        <w:rPr>
          <w:rFonts w:hint="eastAsia" w:ascii="宋体" w:hAnsi="宋体" w:cs="宋体"/>
          <w:bCs/>
          <w:color w:val="000000" w:themeColor="text1"/>
          <w:szCs w:val="21"/>
          <w:u w:val="single"/>
          <w14:textFill>
            <w14:solidFill>
              <w14:schemeClr w14:val="tx1"/>
            </w14:solidFill>
          </w14:textFill>
        </w:rPr>
        <w:t>刘先生</w:t>
      </w: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电    话：</w:t>
      </w:r>
      <w:r>
        <w:rPr>
          <w:rFonts w:hint="eastAsia" w:ascii="宋体" w:hAnsi="宋体"/>
          <w:bCs/>
          <w:color w:val="000000" w:themeColor="text1"/>
          <w:szCs w:val="21"/>
          <w14:textFill>
            <w14:solidFill>
              <w14:schemeClr w14:val="tx1"/>
            </w14:solidFill>
          </w14:textFill>
        </w:rPr>
        <w:t>23308210</w:t>
      </w:r>
    </w:p>
    <w:p>
      <w:pPr>
        <w:snapToGrid w:val="0"/>
        <w:spacing w:line="360" w:lineRule="auto"/>
        <w:ind w:left="546" w:leftChars="229" w:hanging="65" w:hangingChars="31"/>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传    真：</w:t>
      </w:r>
      <w:r>
        <w:rPr>
          <w:rFonts w:hint="eastAsia" w:ascii="宋体" w:hAnsi="宋体" w:cs="宋体"/>
          <w:bCs/>
          <w:color w:val="000000" w:themeColor="text1"/>
          <w:szCs w:val="21"/>
          <w:u w:val="single"/>
          <w14:textFill>
            <w14:solidFill>
              <w14:schemeClr w14:val="tx1"/>
            </w14:solidFill>
          </w14:textFill>
        </w:rPr>
        <w:t xml:space="preserve">    /    </w:t>
      </w:r>
    </w:p>
    <w:p>
      <w:pPr>
        <w:tabs>
          <w:tab w:val="left" w:pos="480"/>
        </w:tabs>
        <w:snapToGrid w:val="0"/>
        <w:spacing w:line="360" w:lineRule="auto"/>
        <w:ind w:left="480"/>
        <w:rPr>
          <w:rFonts w:ascii="宋体" w:hAnsi="宋体"/>
          <w:bCs/>
          <w:color w:val="000000" w:themeColor="text1"/>
          <w:sz w:val="22"/>
          <w:szCs w:val="22"/>
          <w14:textFill>
            <w14:solidFill>
              <w14:schemeClr w14:val="tx1"/>
            </w14:solidFill>
          </w14:textFill>
        </w:rPr>
      </w:pPr>
    </w:p>
    <w:p>
      <w:pPr>
        <w:tabs>
          <w:tab w:val="left" w:pos="480"/>
        </w:tabs>
        <w:snapToGrid w:val="0"/>
        <w:spacing w:line="360" w:lineRule="auto"/>
        <w:ind w:left="481" w:leftChars="229"/>
        <w:jc w:val="right"/>
        <w:rPr>
          <w:rFonts w:ascii="宋体" w:hAnsi="宋体"/>
          <w:bCs/>
          <w:color w:val="000000" w:themeColor="text1"/>
          <w:sz w:val="22"/>
          <w:szCs w:val="22"/>
          <w:u w:val="single"/>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w:t>
      </w:r>
      <w:r>
        <w:rPr>
          <w:rFonts w:hint="eastAsia" w:ascii="宋体" w:hAnsi="宋体"/>
          <w:bCs/>
          <w:color w:val="000000" w:themeColor="text1"/>
          <w:sz w:val="22"/>
          <w:szCs w:val="22"/>
          <w:u w:val="single"/>
          <w14:textFill>
            <w14:solidFill>
              <w14:schemeClr w14:val="tx1"/>
            </w14:solidFill>
          </w14:textFill>
        </w:rPr>
        <w:t>东莞市数据互联有限公司</w:t>
      </w:r>
    </w:p>
    <w:p>
      <w:pPr>
        <w:tabs>
          <w:tab w:val="left" w:pos="480"/>
        </w:tabs>
        <w:snapToGrid w:val="0"/>
        <w:spacing w:line="360" w:lineRule="auto"/>
        <w:jc w:val="righ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2022</w:t>
      </w:r>
      <w:r>
        <w:rPr>
          <w:rFonts w:ascii="宋体" w:hAnsi="宋体"/>
          <w:bCs/>
          <w:color w:val="000000" w:themeColor="text1"/>
          <w:sz w:val="22"/>
          <w:szCs w:val="22"/>
          <w14:textFill>
            <w14:solidFill>
              <w14:schemeClr w14:val="tx1"/>
            </w14:solidFill>
          </w14:textFill>
        </w:rPr>
        <w:t>年</w:t>
      </w:r>
      <w:r>
        <w:rPr>
          <w:rFonts w:hint="eastAsia" w:ascii="宋体" w:hAnsi="宋体"/>
          <w:bCs/>
          <w:color w:val="000000" w:themeColor="text1"/>
          <w:sz w:val="22"/>
          <w:szCs w:val="22"/>
          <w14:textFill>
            <w14:solidFill>
              <w14:schemeClr w14:val="tx1"/>
            </w14:solidFill>
          </w14:textFill>
        </w:rPr>
        <w:t>7</w:t>
      </w:r>
      <w:r>
        <w:rPr>
          <w:rFonts w:ascii="宋体" w:hAnsi="宋体"/>
          <w:bCs/>
          <w:color w:val="000000" w:themeColor="text1"/>
          <w:sz w:val="22"/>
          <w:szCs w:val="22"/>
          <w14:textFill>
            <w14:solidFill>
              <w14:schemeClr w14:val="tx1"/>
            </w14:solidFill>
          </w14:textFill>
        </w:rPr>
        <w:t>月</w:t>
      </w:r>
      <w:r>
        <w:rPr>
          <w:rFonts w:hint="eastAsia" w:ascii="宋体" w:hAnsi="宋体"/>
          <w:bCs/>
          <w:color w:val="000000" w:themeColor="text1"/>
          <w:sz w:val="22"/>
          <w:szCs w:val="22"/>
          <w14:textFill>
            <w14:solidFill>
              <w14:schemeClr w14:val="tx1"/>
            </w14:solidFill>
          </w14:textFill>
        </w:rPr>
        <w:t>1</w:t>
      </w:r>
      <w:r>
        <w:rPr>
          <w:rFonts w:ascii="宋体" w:hAnsi="宋体"/>
          <w:bCs/>
          <w:color w:val="000000" w:themeColor="text1"/>
          <w:sz w:val="22"/>
          <w:szCs w:val="22"/>
          <w14:textFill>
            <w14:solidFill>
              <w14:schemeClr w14:val="tx1"/>
            </w14:solidFill>
          </w14:textFill>
        </w:rPr>
        <w:t>日</w:t>
      </w:r>
    </w:p>
    <w:p>
      <w:pPr>
        <w:widowControl/>
        <w:jc w:val="left"/>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pStyle w:val="3"/>
        <w:numPr>
          <w:ilvl w:val="0"/>
          <w:numId w:val="3"/>
        </w:numPr>
        <w:jc w:val="center"/>
        <w:rPr>
          <w:rFonts w:ascii="Times New Roman" w:hAnsi="Times New Roman" w:eastAsiaTheme="minorEastAsia"/>
          <w:color w:val="000000" w:themeColor="text1"/>
          <w14:textFill>
            <w14:solidFill>
              <w14:schemeClr w14:val="tx1"/>
            </w14:solidFill>
          </w14:textFill>
        </w:rPr>
      </w:pPr>
      <w:bookmarkStart w:id="11" w:name="_Toc20433"/>
      <w:bookmarkStart w:id="12" w:name="_Toc93505735"/>
      <w:r>
        <w:rPr>
          <w:rFonts w:ascii="Times New Roman" w:hAnsi="Times New Roman" w:eastAsiaTheme="minorEastAsia"/>
          <w:color w:val="000000" w:themeColor="text1"/>
          <w14:textFill>
            <w14:solidFill>
              <w14:schemeClr w14:val="tx1"/>
            </w14:solidFill>
          </w14:textFill>
        </w:rPr>
        <w:t>投标人须知</w:t>
      </w:r>
      <w:bookmarkEnd w:id="6"/>
      <w:bookmarkEnd w:id="11"/>
      <w:bookmarkEnd w:id="12"/>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widowControl/>
        <w:jc w:val="left"/>
        <w:rPr>
          <w:rFonts w:ascii="Times New Roman" w:hAnsi="Times New Roman" w:eastAsiaTheme="minorEastAsia"/>
          <w:color w:val="000000" w:themeColor="text1"/>
          <w14:textFill>
            <w14:solidFill>
              <w14:schemeClr w14:val="tx1"/>
            </w14:solidFill>
          </w14:textFill>
        </w:rPr>
      </w:pPr>
      <w:bookmarkStart w:id="13" w:name="_Toc425348132"/>
      <w:bookmarkStart w:id="14" w:name="_Toc441844050"/>
      <w:bookmarkStart w:id="15" w:name="_Toc396137231"/>
      <w:r>
        <w:rPr>
          <w:rFonts w:ascii="Times New Roman" w:hAnsi="Times New Roman" w:eastAsiaTheme="minorEastAsia"/>
          <w:color w:val="000000" w:themeColor="text1"/>
          <w14:textFill>
            <w14:solidFill>
              <w14:schemeClr w14:val="tx1"/>
            </w14:solidFill>
          </w14:textFill>
        </w:rPr>
        <w:br w:type="page"/>
      </w:r>
    </w:p>
    <w:p>
      <w:pPr>
        <w:pStyle w:val="4"/>
        <w:spacing w:line="360" w:lineRule="auto"/>
        <w:ind w:left="0" w:firstLine="0"/>
        <w:jc w:val="center"/>
        <w:rPr>
          <w:rFonts w:ascii="Times New Roman" w:hAnsi="Times New Roman" w:eastAsiaTheme="minorEastAsia"/>
          <w:bCs/>
          <w:color w:val="000000" w:themeColor="text1"/>
          <w:kern w:val="44"/>
          <w:lang w:val="zh-CN"/>
          <w14:textFill>
            <w14:solidFill>
              <w14:schemeClr w14:val="tx1"/>
            </w14:solidFill>
          </w14:textFill>
        </w:rPr>
      </w:pPr>
      <w:bookmarkStart w:id="16" w:name="_Toc93505736"/>
      <w:bookmarkStart w:id="17" w:name="_Toc15982"/>
      <w:r>
        <w:rPr>
          <w:rFonts w:ascii="Times New Roman" w:hAnsi="Times New Roman" w:eastAsiaTheme="minorEastAsia"/>
          <w:bCs/>
          <w:color w:val="000000" w:themeColor="text1"/>
          <w:kern w:val="44"/>
          <w:lang w:val="zh-CN"/>
          <w14:textFill>
            <w14:solidFill>
              <w14:schemeClr w14:val="tx1"/>
            </w14:solidFill>
          </w14:textFill>
        </w:rPr>
        <w:t>一、投标人须知前附表</w:t>
      </w:r>
      <w:bookmarkEnd w:id="13"/>
      <w:bookmarkEnd w:id="14"/>
      <w:bookmarkEnd w:id="15"/>
      <w:bookmarkEnd w:id="16"/>
      <w:bookmarkEnd w:id="17"/>
    </w:p>
    <w:tbl>
      <w:tblPr>
        <w:tblStyle w:val="51"/>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项目</w:t>
            </w:r>
          </w:p>
        </w:tc>
        <w:tc>
          <w:tcPr>
            <w:tcW w:w="1559"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内容</w:t>
            </w:r>
          </w:p>
        </w:tc>
        <w:tc>
          <w:tcPr>
            <w:tcW w:w="6749"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1.2</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资金来源</w:t>
            </w:r>
          </w:p>
        </w:tc>
        <w:tc>
          <w:tcPr>
            <w:tcW w:w="674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自筹资金，资金已落实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1.3</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项目预算金额</w:t>
            </w:r>
          </w:p>
        </w:tc>
        <w:tc>
          <w:tcPr>
            <w:tcW w:w="6749" w:type="dxa"/>
            <w:vAlign w:val="center"/>
          </w:tcPr>
          <w:p>
            <w:pPr>
              <w:rPr>
                <w:rFonts w:ascii="宋体" w:hAnsi="宋体"/>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10.8万元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2.1</w:t>
            </w:r>
          </w:p>
        </w:tc>
        <w:tc>
          <w:tcPr>
            <w:tcW w:w="1559" w:type="dxa"/>
            <w:vAlign w:val="center"/>
          </w:tcPr>
          <w:p>
            <w:pP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w:t>
            </w:r>
          </w:p>
        </w:tc>
        <w:tc>
          <w:tcPr>
            <w:tcW w:w="6749" w:type="dxa"/>
            <w:vAlign w:val="center"/>
          </w:tcPr>
          <w:p>
            <w:pPr>
              <w:spacing w:line="360" w:lineRule="auto"/>
              <w:rPr>
                <w:rFonts w:ascii="宋体" w:hAnsi="宋体"/>
                <w:i/>
                <w:color w:val="000000" w:themeColor="text1"/>
                <w:sz w:val="22"/>
                <w:szCs w:val="22"/>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东莞市数据互联有限公司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w:t>
            </w:r>
          </w:p>
        </w:tc>
        <w:tc>
          <w:tcPr>
            <w:tcW w:w="1559" w:type="dxa"/>
            <w:vAlign w:val="center"/>
          </w:tcPr>
          <w:p>
            <w:pP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代理机构</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合格的投标人</w:t>
            </w:r>
          </w:p>
        </w:tc>
        <w:tc>
          <w:tcPr>
            <w:tcW w:w="6749" w:type="dxa"/>
            <w:vAlign w:val="center"/>
          </w:tcPr>
          <w:p>
            <w:pPr>
              <w:spacing w:line="360" w:lineRule="auto"/>
              <w:rPr>
                <w:rFonts w:ascii="宋体" w:hAnsi="宋体"/>
                <w:color w:val="000000" w:themeColor="text1"/>
                <w:sz w:val="22"/>
                <w:szCs w:val="22"/>
                <w:u w:val="single"/>
                <w:lang w:val="zh-CN"/>
                <w14:textFill>
                  <w14:solidFill>
                    <w14:schemeClr w14:val="tx1"/>
                  </w14:solidFill>
                </w14:textFill>
              </w:rPr>
            </w:pPr>
            <w:r>
              <w:rPr>
                <w:rFonts w:ascii="宋体" w:hAnsi="宋体"/>
                <w:bCs/>
                <w:color w:val="000000" w:themeColor="text1"/>
                <w:sz w:val="22"/>
                <w:szCs w:val="22"/>
                <w14:textFill>
                  <w14:solidFill>
                    <w14:schemeClr w14:val="tx1"/>
                  </w14:solidFill>
                </w14:textFill>
              </w:rPr>
              <w:t>见第一章《投标邀请》中第5款的</w:t>
            </w:r>
            <w:r>
              <w:rPr>
                <w:rFonts w:ascii="宋体" w:hAnsi="宋体"/>
                <w:b/>
                <w:bCs/>
                <w:color w:val="000000" w:themeColor="text1"/>
                <w:sz w:val="22"/>
                <w:szCs w:val="22"/>
                <w:u w:val="single"/>
                <w14:textFill>
                  <w14:solidFill>
                    <w14:schemeClr w14:val="tx1"/>
                  </w14:solidFill>
                </w14:textFill>
              </w:rPr>
              <w:t>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3.6</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关于联合体投标</w:t>
            </w:r>
          </w:p>
        </w:tc>
        <w:tc>
          <w:tcPr>
            <w:tcW w:w="6749" w:type="dxa"/>
            <w:vAlign w:val="center"/>
          </w:tcPr>
          <w:p>
            <w:pPr>
              <w:spacing w:line="360" w:lineRule="auto"/>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本项目</w:t>
            </w:r>
            <w:r>
              <w:rPr>
                <w:rFonts w:ascii="宋体" w:hAnsi="宋体"/>
                <w:b/>
                <w:color w:val="000000" w:themeColor="text1"/>
                <w:sz w:val="22"/>
                <w:szCs w:val="22"/>
                <w:u w:val="single"/>
                <w:lang w:val="zh-CN"/>
                <w14:textFill>
                  <w14:solidFill>
                    <w14:schemeClr w14:val="tx1"/>
                  </w14:solidFill>
                </w14:textFill>
              </w:rPr>
              <w:t>不允许</w:t>
            </w:r>
            <w:r>
              <w:rPr>
                <w:rFonts w:ascii="宋体" w:hAnsi="宋体"/>
                <w:color w:val="000000" w:themeColor="text1"/>
                <w:sz w:val="22"/>
                <w:szCs w:val="22"/>
                <w:lang w:val="zh-CN"/>
                <w14:textFill>
                  <w14:solidFill>
                    <w14:schemeClr w14:val="tx1"/>
                  </w14:solidFill>
                </w14:textFill>
              </w:rPr>
              <w:t>联合体投标，招标文件中与允许联合体投标有关的条款、文字表述或格式不适用于本次</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6</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踏勘现场</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人不集中组织，由投标人自行踏勘现场。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8</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招标文件的</w:t>
            </w:r>
            <w:r>
              <w:rPr>
                <w:rFonts w:hint="eastAsia" w:ascii="宋体" w:hAnsi="宋体"/>
                <w:color w:val="000000" w:themeColor="text1"/>
                <w:sz w:val="22"/>
                <w:szCs w:val="22"/>
                <w14:textFill>
                  <w14:solidFill>
                    <w14:schemeClr w14:val="tx1"/>
                  </w14:solidFill>
                </w14:textFill>
              </w:rPr>
              <w:t>异议</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见第二章《投标须知》中第8款的</w:t>
            </w:r>
            <w:r>
              <w:rPr>
                <w:rFonts w:hint="eastAsia" w:ascii="宋体" w:hAnsi="宋体"/>
                <w:b/>
                <w:color w:val="000000" w:themeColor="text1"/>
                <w:sz w:val="22"/>
                <w:szCs w:val="22"/>
                <w:u w:val="single"/>
                <w14:textFill>
                  <w14:solidFill>
                    <w14:schemeClr w14:val="tx1"/>
                  </w14:solidFill>
                </w14:textFill>
              </w:rPr>
              <w:t>招标文件的异议</w:t>
            </w:r>
            <w:r>
              <w:rPr>
                <w:rFonts w:hint="eastAsia" w:ascii="宋体" w:hAnsi="宋体"/>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14</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报价</w:t>
            </w:r>
            <w:r>
              <w:rPr>
                <w:rFonts w:hint="eastAsia" w:ascii="宋体" w:hAnsi="宋体"/>
                <w:color w:val="000000" w:themeColor="text1"/>
                <w:sz w:val="22"/>
                <w:szCs w:val="22"/>
                <w14:textFill>
                  <w14:solidFill>
                    <w14:schemeClr w14:val="tx1"/>
                  </w14:solidFill>
                </w14:textFill>
              </w:rPr>
              <w:t>要求</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报价应包含完成全部用户需求书内容的含税人民币价格。包括但不限于：投标人中标后履行本项目所必须的所有成本费用（包括但不仅限于办公、交通、人员、差旅、文件、税费及其他管理费用等），以及投标人方所需的合理利润。</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2.投标报价应包括国家规定的所有税费及与项目相关的所有费用。</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3.投标人应以人民币为结算单位。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16.1</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w:t>
            </w:r>
            <w:r>
              <w:rPr>
                <w:rFonts w:hint="eastAsia" w:ascii="宋体" w:hAnsi="宋体"/>
                <w:color w:val="000000" w:themeColor="text1"/>
                <w:sz w:val="22"/>
                <w:szCs w:val="22"/>
                <w14:textFill>
                  <w14:solidFill>
                    <w14:schemeClr w14:val="tx1"/>
                  </w14:solidFill>
                </w14:textFill>
              </w:rPr>
              <w:t>保证金</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Cs w:val="21"/>
                <w:shd w:val="clear" w:color="auto" w:fill="FFFFFF"/>
                <w14:textFill>
                  <w14:solidFill>
                    <w14:schemeClr w14:val="tx1"/>
                  </w14:solidFill>
                </w14:textFill>
              </w:rPr>
              <w:t>无需递交投标</w:t>
            </w:r>
            <w:r>
              <w:rPr>
                <w:rFonts w:hint="eastAsia" w:ascii="宋体" w:hAnsi="宋体"/>
                <w:color w:val="000000" w:themeColor="text1"/>
                <w:sz w:val="22"/>
                <w:szCs w:val="22"/>
                <w14:textFill>
                  <w14:solidFill>
                    <w14:schemeClr w14:val="tx1"/>
                  </w14:solidFill>
                </w14:textFill>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17.1</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投标有效期</w:t>
            </w:r>
          </w:p>
        </w:tc>
        <w:tc>
          <w:tcPr>
            <w:tcW w:w="6749" w:type="dxa"/>
            <w:vAlign w:val="center"/>
          </w:tcPr>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lang w:val="zh-CN"/>
                <w14:textFill>
                  <w14:solidFill>
                    <w14:schemeClr w14:val="tx1"/>
                  </w14:solidFill>
                </w14:textFill>
              </w:rPr>
              <w:t>递交投标文件截止日后</w:t>
            </w:r>
            <w:r>
              <w:rPr>
                <w:rFonts w:hint="eastAsia" w:ascii="宋体" w:hAnsi="宋体"/>
                <w:bCs/>
                <w:color w:val="000000" w:themeColor="text1"/>
                <w:sz w:val="22"/>
                <w:szCs w:val="22"/>
                <w14:textFill>
                  <w14:solidFill>
                    <w14:schemeClr w14:val="tx1"/>
                  </w14:solidFill>
                </w14:textFill>
              </w:rPr>
              <w:t>9</w:t>
            </w:r>
            <w:r>
              <w:rPr>
                <w:rFonts w:ascii="宋体" w:hAnsi="宋体"/>
                <w:bCs/>
                <w:color w:val="000000" w:themeColor="text1"/>
                <w:sz w:val="22"/>
                <w:szCs w:val="22"/>
                <w:lang w:val="zh-CN"/>
                <w14:textFill>
                  <w14:solidFill>
                    <w14:schemeClr w14:val="tx1"/>
                  </w14:solidFill>
                </w14:textFill>
              </w:rPr>
              <w:t>0日内有效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19</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投标截止时间</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本项目投标截止时间为</w:t>
            </w:r>
            <w:r>
              <w:rPr>
                <w:rFonts w:hint="eastAsia" w:ascii="宋体" w:hAnsi="宋体"/>
                <w:color w:val="000000" w:themeColor="text1"/>
                <w:sz w:val="22"/>
                <w:szCs w:val="22"/>
                <w14:textFill>
                  <w14:solidFill>
                    <w14:schemeClr w14:val="tx1"/>
                  </w14:solidFill>
                </w14:textFill>
              </w:rPr>
              <w:t>2022</w:t>
            </w:r>
            <w:r>
              <w:rPr>
                <w:rFonts w:ascii="宋体" w:hAnsi="宋体"/>
                <w:color w:val="000000" w:themeColor="text1"/>
                <w:sz w:val="22"/>
                <w:szCs w:val="22"/>
                <w14:textFill>
                  <w14:solidFill>
                    <w14:schemeClr w14:val="tx1"/>
                  </w14:solidFill>
                </w14:textFill>
              </w:rPr>
              <w:t>年</w:t>
            </w:r>
            <w:r>
              <w:rPr>
                <w:rFonts w:hint="eastAsia" w:ascii="宋体" w:hAnsi="宋体"/>
                <w:color w:val="000000" w:themeColor="text1"/>
                <w:sz w:val="22"/>
                <w:szCs w:val="22"/>
                <w:u w:val="single"/>
                <w14:textFill>
                  <w14:solidFill>
                    <w14:schemeClr w14:val="tx1"/>
                  </w14:solidFill>
                </w14:textFill>
              </w:rPr>
              <w:t>7</w:t>
            </w:r>
            <w:r>
              <w:rPr>
                <w:rFonts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u w:val="single"/>
                <w14:textFill>
                  <w14:solidFill>
                    <w14:schemeClr w14:val="tx1"/>
                  </w14:solidFill>
                </w14:textFill>
              </w:rPr>
              <w:t>7</w:t>
            </w:r>
            <w:r>
              <w:rPr>
                <w:rFonts w:ascii="宋体" w:hAnsi="宋体"/>
                <w:color w:val="000000" w:themeColor="text1"/>
                <w:sz w:val="22"/>
                <w:szCs w:val="22"/>
                <w14:textFill>
                  <w14:solidFill>
                    <w14:schemeClr w14:val="tx1"/>
                  </w14:solidFill>
                </w14:textFill>
              </w:rPr>
              <w:t>日</w:t>
            </w:r>
            <w:r>
              <w:rPr>
                <w:rFonts w:hint="eastAsia" w:ascii="宋体" w:hAnsi="宋体"/>
                <w:color w:val="000000" w:themeColor="text1"/>
                <w:sz w:val="22"/>
                <w:szCs w:val="22"/>
                <w:u w:val="single"/>
                <w14:textFill>
                  <w14:solidFill>
                    <w14:schemeClr w14:val="tx1"/>
                  </w14:solidFill>
                </w14:textFill>
              </w:rPr>
              <w:t>15</w:t>
            </w:r>
            <w:r>
              <w:rPr>
                <w:rFonts w:ascii="宋体" w:hAnsi="宋体"/>
                <w:color w:val="000000" w:themeColor="text1"/>
                <w:sz w:val="22"/>
                <w:szCs w:val="22"/>
                <w14:textFill>
                  <w14:solidFill>
                    <w14:schemeClr w14:val="tx1"/>
                  </w14:solidFill>
                </w14:textFill>
              </w:rPr>
              <w:t>时</w:t>
            </w:r>
            <w:r>
              <w:rPr>
                <w:rFonts w:hint="eastAsia" w:ascii="宋体" w:hAnsi="宋体"/>
                <w:color w:val="000000" w:themeColor="text1"/>
                <w:sz w:val="22"/>
                <w:szCs w:val="22"/>
                <w:u w:val="single"/>
                <w14:textFill>
                  <w14:solidFill>
                    <w14:schemeClr w14:val="tx1"/>
                  </w14:solidFill>
                </w14:textFill>
              </w:rPr>
              <w:t>30</w:t>
            </w:r>
            <w:r>
              <w:rPr>
                <w:rFonts w:ascii="宋体" w:hAnsi="宋体"/>
                <w:color w:val="000000" w:themeColor="text1"/>
                <w:sz w:val="22"/>
                <w:szCs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23.1</w:t>
            </w:r>
          </w:p>
        </w:tc>
        <w:tc>
          <w:tcPr>
            <w:tcW w:w="1559" w:type="dxa"/>
            <w:vAlign w:val="center"/>
          </w:tcPr>
          <w:p>
            <w:pPr>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评标委员会</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评标委员会成员共</w:t>
            </w:r>
            <w:r>
              <w:rPr>
                <w:rFonts w:hint="eastAsia" w:ascii="宋体" w:hAnsi="宋体" w:cs="宋体"/>
                <w:bCs/>
                <w:color w:val="000000" w:themeColor="text1"/>
                <w:sz w:val="22"/>
                <w:szCs w:val="22"/>
                <w:u w:val="single"/>
                <w14:textFill>
                  <w14:solidFill>
                    <w14:schemeClr w14:val="tx1"/>
                  </w14:solidFill>
                </w14:textFill>
              </w:rPr>
              <w:t>3</w:t>
            </w:r>
            <w:r>
              <w:rPr>
                <w:rFonts w:ascii="宋体" w:hAnsi="宋体"/>
                <w:color w:val="000000" w:themeColor="text1"/>
                <w:sz w:val="22"/>
                <w:szCs w:val="22"/>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28</w:t>
            </w:r>
          </w:p>
        </w:tc>
        <w:tc>
          <w:tcPr>
            <w:tcW w:w="1559" w:type="dxa"/>
            <w:vAlign w:val="center"/>
          </w:tcPr>
          <w:p>
            <w:pPr>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评标方法</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9.4</w:t>
            </w:r>
          </w:p>
        </w:tc>
        <w:tc>
          <w:tcPr>
            <w:tcW w:w="1559" w:type="dxa"/>
            <w:vAlign w:val="center"/>
          </w:tcPr>
          <w:p>
            <w:pP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信息公告媒体</w:t>
            </w:r>
          </w:p>
        </w:tc>
        <w:tc>
          <w:tcPr>
            <w:tcW w:w="6749" w:type="dxa"/>
            <w:vAlign w:val="center"/>
          </w:tcPr>
          <w:p>
            <w:pPr>
              <w:wordWrap w:val="0"/>
              <w:spacing w:line="360" w:lineRule="auto"/>
              <w:rPr>
                <w:rFonts w:ascii="宋体" w:hAnsi="宋体"/>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所有有关本次</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的招标公告会在</w:t>
            </w:r>
            <w:r>
              <w:rPr>
                <w:rFonts w:hint="eastAsia" w:ascii="宋体" w:hAnsi="宋体"/>
                <w:color w:val="000000" w:themeColor="text1"/>
                <w:sz w:val="22"/>
                <w:szCs w:val="22"/>
                <w:lang w:val="zh-CN"/>
                <w14:textFill>
                  <w14:solidFill>
                    <w14:schemeClr w14:val="tx1"/>
                  </w14:solidFill>
                </w14:textFill>
              </w:rPr>
              <w:t>东莞市交通投资集团有限公司</w:t>
            </w:r>
            <w:r>
              <w:rPr>
                <w:rFonts w:ascii="宋体" w:hAnsi="宋体"/>
                <w:bCs/>
                <w:color w:val="000000" w:themeColor="text1"/>
                <w:sz w:val="22"/>
                <w:szCs w:val="22"/>
                <w14:textFill>
                  <w14:solidFill>
                    <w14:schemeClr w14:val="tx1"/>
                  </w14:solidFill>
                </w14:textFill>
              </w:rPr>
              <w:t>官方网站（http://www.dgjtjt.com.cn）媒体上公布，并视为有效送达，不再另行通知。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29.1</w:t>
            </w:r>
          </w:p>
        </w:tc>
        <w:tc>
          <w:tcPr>
            <w:tcW w:w="1559" w:type="dxa"/>
            <w:vAlign w:val="center"/>
          </w:tcPr>
          <w:p>
            <w:pP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结果公示媒体</w:t>
            </w:r>
          </w:p>
        </w:tc>
        <w:tc>
          <w:tcPr>
            <w:tcW w:w="6749" w:type="dxa"/>
            <w:vAlign w:val="center"/>
          </w:tcPr>
          <w:p>
            <w:pPr>
              <w:wordWrap w:val="0"/>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所有本次</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的结果公示会在</w:t>
            </w:r>
            <w:r>
              <w:rPr>
                <w:rFonts w:hint="eastAsia" w:ascii="宋体" w:hAnsi="宋体"/>
                <w:color w:val="000000" w:themeColor="text1"/>
                <w:sz w:val="22"/>
                <w:szCs w:val="22"/>
                <w:lang w:val="zh-CN"/>
                <w14:textFill>
                  <w14:solidFill>
                    <w14:schemeClr w14:val="tx1"/>
                  </w14:solidFill>
                </w14:textFill>
              </w:rPr>
              <w:t>东莞市交通投资集团有限公司</w:t>
            </w:r>
            <w:r>
              <w:rPr>
                <w:rFonts w:ascii="宋体" w:hAnsi="宋体"/>
                <w:bCs/>
                <w:color w:val="000000" w:themeColor="text1"/>
                <w:sz w:val="22"/>
                <w:szCs w:val="22"/>
                <w14:textFill>
                  <w14:solidFill>
                    <w14:schemeClr w14:val="tx1"/>
                  </w14:solidFill>
                </w14:textFill>
              </w:rPr>
              <w:t>官方网站（http://www.dgjtjt.com.cn）媒体上公布，并视为有效送达，不再另行通知。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35</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履约</w:t>
            </w:r>
            <w:r>
              <w:rPr>
                <w:rFonts w:hint="eastAsia" w:ascii="宋体" w:hAnsi="宋体"/>
                <w:color w:val="000000" w:themeColor="text1"/>
                <w:sz w:val="22"/>
                <w:szCs w:val="22"/>
                <w14:textFill>
                  <w14:solidFill>
                    <w14:schemeClr w14:val="tx1"/>
                  </w14:solidFill>
                </w14:textFill>
              </w:rPr>
              <w:t>担保</w:t>
            </w:r>
          </w:p>
        </w:tc>
        <w:tc>
          <w:tcPr>
            <w:tcW w:w="6749" w:type="dxa"/>
            <w:vAlign w:val="center"/>
          </w:tcPr>
          <w:p>
            <w:pPr>
              <w:spacing w:line="360" w:lineRule="auto"/>
              <w:rPr>
                <w:rFonts w:ascii="宋体" w:hAnsi="宋体"/>
                <w:color w:val="000000" w:themeColor="text1"/>
                <w:sz w:val="22"/>
                <w:szCs w:val="22"/>
                <w:u w:val="single"/>
                <w14:textFill>
                  <w14:solidFill>
                    <w14:schemeClr w14:val="tx1"/>
                  </w14:solidFill>
                </w14:textFill>
              </w:rPr>
            </w:pPr>
            <w:r>
              <w:rPr>
                <w:rFonts w:hint="eastAsia" w:ascii="宋体" w:hAnsi="宋体"/>
                <w:color w:val="000000" w:themeColor="text1"/>
                <w:szCs w:val="21"/>
                <w:shd w:val="clear" w:color="auto" w:fill="FFFFFF"/>
                <w14:textFill>
                  <w14:solidFill>
                    <w14:schemeClr w14:val="tx1"/>
                  </w14:solidFill>
                </w14:textFill>
              </w:rPr>
              <w:t>无需缴纳履约担保</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4"/>
        <w:spacing w:line="360" w:lineRule="auto"/>
        <w:ind w:left="0" w:firstLine="0"/>
        <w:jc w:val="center"/>
        <w:rPr>
          <w:rFonts w:ascii="Times New Roman" w:hAnsi="Times New Roman" w:eastAsiaTheme="minorEastAsia"/>
          <w:bCs/>
          <w:color w:val="000000" w:themeColor="text1"/>
          <w:kern w:val="44"/>
          <w:lang w:val="zh-CN"/>
          <w14:textFill>
            <w14:solidFill>
              <w14:schemeClr w14:val="tx1"/>
            </w14:solidFill>
          </w14:textFill>
        </w:rPr>
      </w:pPr>
      <w:bookmarkStart w:id="18" w:name="_Toc441844051"/>
      <w:bookmarkStart w:id="19" w:name="_Toc17629"/>
      <w:bookmarkStart w:id="20" w:name="_Toc93505737"/>
      <w:r>
        <w:rPr>
          <w:rFonts w:ascii="Times New Roman" w:hAnsi="Times New Roman" w:eastAsiaTheme="minorEastAsia"/>
          <w:bCs/>
          <w:color w:val="000000" w:themeColor="text1"/>
          <w:kern w:val="44"/>
          <w:lang w:val="zh-CN"/>
          <w14:textFill>
            <w14:solidFill>
              <w14:schemeClr w14:val="tx1"/>
            </w14:solidFill>
          </w14:textFill>
        </w:rPr>
        <w:t>二、投标人须知</w:t>
      </w:r>
      <w:bookmarkEnd w:id="18"/>
      <w:bookmarkEnd w:id="19"/>
      <w:bookmarkEnd w:id="20"/>
    </w:p>
    <w:p>
      <w:pPr>
        <w:pStyle w:val="4"/>
        <w:tabs>
          <w:tab w:val="left" w:pos="142"/>
          <w:tab w:val="clear" w:pos="1440"/>
        </w:tabs>
        <w:ind w:left="0" w:firstLine="0"/>
        <w:rPr>
          <w:rFonts w:ascii="Times New Roman" w:hAnsi="Times New Roman" w:eastAsiaTheme="minorEastAsia"/>
          <w:color w:val="000000" w:themeColor="text1"/>
          <w:sz w:val="28"/>
          <w:szCs w:val="28"/>
          <w:lang w:val="zh-CN"/>
          <w14:textFill>
            <w14:solidFill>
              <w14:schemeClr w14:val="tx1"/>
            </w14:solidFill>
          </w14:textFill>
        </w:rPr>
      </w:pPr>
      <w:bookmarkStart w:id="21" w:name="_Toc93505738"/>
      <w:bookmarkStart w:id="22" w:name="_Toc31213"/>
      <w:bookmarkStart w:id="23" w:name="_Toc441844052"/>
      <w:r>
        <w:rPr>
          <w:rFonts w:ascii="Times New Roman" w:hAnsi="Times New Roman" w:eastAsiaTheme="minorEastAsia"/>
          <w:color w:val="000000" w:themeColor="text1"/>
          <w:sz w:val="28"/>
          <w:szCs w:val="28"/>
          <w:lang w:val="zh-CN"/>
          <w14:textFill>
            <w14:solidFill>
              <w14:schemeClr w14:val="tx1"/>
            </w14:solidFill>
          </w14:textFill>
        </w:rPr>
        <w:t>（一）总则</w:t>
      </w:r>
      <w:bookmarkEnd w:id="21"/>
      <w:bookmarkEnd w:id="22"/>
      <w:bookmarkEnd w:id="23"/>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4" w:name="_Toc439256278"/>
      <w:bookmarkStart w:id="25" w:name="_Toc314064451"/>
      <w:bookmarkStart w:id="26" w:name="_Toc93505739"/>
      <w:bookmarkStart w:id="27" w:name="_Toc441844053"/>
      <w:bookmarkStart w:id="28" w:name="_Toc382907620"/>
      <w:bookmarkStart w:id="29" w:name="_Toc1044"/>
      <w:r>
        <w:rPr>
          <w:rFonts w:ascii="宋体" w:hAnsi="宋体"/>
          <w:b/>
          <w:bCs/>
          <w:color w:val="000000" w:themeColor="text1"/>
          <w:sz w:val="22"/>
          <w:szCs w:val="22"/>
          <w14:textFill>
            <w14:solidFill>
              <w14:schemeClr w14:val="tx1"/>
            </w14:solidFill>
          </w14:textFill>
        </w:rPr>
        <w:t>招标范围及资金来源</w:t>
      </w:r>
      <w:bookmarkEnd w:id="24"/>
      <w:bookmarkEnd w:id="25"/>
      <w:bookmarkEnd w:id="26"/>
      <w:bookmarkEnd w:id="27"/>
      <w:bookmarkEnd w:id="28"/>
      <w:bookmarkEnd w:id="29"/>
    </w:p>
    <w:p>
      <w:pPr>
        <w:pStyle w:val="113"/>
        <w:numPr>
          <w:ilvl w:val="0"/>
          <w:numId w:val="5"/>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招标范围：详细要求见本招标文件中《用户需求书》。本次招标，投标人必须对全部内容进行报价，不得缺漏。</w:t>
      </w:r>
    </w:p>
    <w:p>
      <w:pPr>
        <w:pStyle w:val="113"/>
        <w:numPr>
          <w:ilvl w:val="0"/>
          <w:numId w:val="5"/>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资金来源：</w:t>
      </w:r>
      <w:r>
        <w:rPr>
          <w:rFonts w:ascii="宋体" w:hAnsi="宋体"/>
          <w:b/>
          <w:bCs/>
          <w:color w:val="000000" w:themeColor="text1"/>
          <w:sz w:val="22"/>
          <w:szCs w:val="22"/>
          <w:u w:val="single"/>
          <w14:textFill>
            <w14:solidFill>
              <w14:schemeClr w14:val="tx1"/>
            </w14:solidFill>
          </w14:textFill>
        </w:rPr>
        <w:t>详见投标人须知前附表</w:t>
      </w:r>
      <w:r>
        <w:rPr>
          <w:rFonts w:ascii="宋体" w:hAnsi="宋体"/>
          <w:bCs/>
          <w:color w:val="000000" w:themeColor="text1"/>
          <w:sz w:val="22"/>
          <w:szCs w:val="22"/>
          <w14:textFill>
            <w14:solidFill>
              <w14:schemeClr w14:val="tx1"/>
            </w14:solidFill>
          </w14:textFill>
        </w:rPr>
        <w:t>。</w:t>
      </w:r>
    </w:p>
    <w:p>
      <w:pPr>
        <w:pStyle w:val="113"/>
        <w:numPr>
          <w:ilvl w:val="0"/>
          <w:numId w:val="5"/>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项目预算金额：</w:t>
      </w:r>
      <w:r>
        <w:rPr>
          <w:rFonts w:ascii="宋体" w:hAnsi="宋体"/>
          <w:b/>
          <w:bCs/>
          <w:color w:val="000000" w:themeColor="text1"/>
          <w:sz w:val="22"/>
          <w:szCs w:val="22"/>
          <w:u w:val="single"/>
          <w14:textFill>
            <w14:solidFill>
              <w14:schemeClr w14:val="tx1"/>
            </w14:solidFill>
          </w14:textFill>
        </w:rPr>
        <w:t>详见投标人须知前附表。</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30" w:name="_Toc317604605"/>
      <w:bookmarkStart w:id="31" w:name="_Toc439256279"/>
      <w:bookmarkStart w:id="32" w:name="_Toc382907621"/>
      <w:bookmarkStart w:id="33" w:name="_Toc93505740"/>
      <w:bookmarkStart w:id="34" w:name="_Toc8779"/>
      <w:bookmarkStart w:id="35" w:name="_Toc441844054"/>
      <w:r>
        <w:rPr>
          <w:rFonts w:ascii="宋体" w:hAnsi="宋体"/>
          <w:b/>
          <w:bCs/>
          <w:color w:val="000000" w:themeColor="text1"/>
          <w:sz w:val="22"/>
          <w:szCs w:val="22"/>
          <w14:textFill>
            <w14:solidFill>
              <w14:schemeClr w14:val="tx1"/>
            </w14:solidFill>
          </w14:textFill>
        </w:rPr>
        <w:t>定义</w:t>
      </w:r>
      <w:bookmarkEnd w:id="30"/>
      <w:bookmarkEnd w:id="31"/>
      <w:bookmarkEnd w:id="32"/>
      <w:bookmarkEnd w:id="33"/>
      <w:bookmarkEnd w:id="34"/>
      <w:bookmarkEnd w:id="35"/>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招标人：</w:t>
      </w:r>
      <w:r>
        <w:rPr>
          <w:rFonts w:hint="eastAsia" w:ascii="宋体" w:hAnsi="宋体"/>
          <w:b/>
          <w:bCs/>
          <w:color w:val="000000" w:themeColor="text1"/>
          <w:sz w:val="22"/>
          <w:szCs w:val="22"/>
          <w:u w:val="single"/>
          <w14:textFill>
            <w14:solidFill>
              <w14:schemeClr w14:val="tx1"/>
            </w14:solidFill>
          </w14:textFill>
        </w:rPr>
        <w:t>详见投标人须知前附表。</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代理机构：</w:t>
      </w:r>
      <w:r>
        <w:rPr>
          <w:rFonts w:ascii="宋体" w:hAnsi="宋体"/>
          <w:b/>
          <w:bCs/>
          <w:color w:val="000000" w:themeColor="text1"/>
          <w:sz w:val="22"/>
          <w:szCs w:val="22"/>
          <w:u w:val="single"/>
          <w14:textFill>
            <w14:solidFill>
              <w14:schemeClr w14:val="tx1"/>
            </w14:solidFill>
          </w14:textFill>
        </w:rPr>
        <w:t>详见投标人须知前附表。</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评标委员会：评标委员会是依据有关规定组建的专门负责本次招标其评标工作的临时性机构。</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日期：指日历日。评审时，对投标中出现的“工作日”按五个工作日折合七个日历日计算，且评标委员会可能会就有关日期作出对该投标人不利的折算或量化。</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时间：指北京时间。</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合同：指由本次招标所产生的合同或合约文件。</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招标文件中所规定“书面形式”，是指任何手写的、打印的或印刷的方式，通讯方式包括专人递交或传真发送。</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服务：指投标人须向</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人提供的符合招标文件要求的服务。</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货物：指投标人须向</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68"/>
        <w:numPr>
          <w:ilvl w:val="0"/>
          <w:numId w:val="4"/>
        </w:numPr>
        <w:spacing w:line="360" w:lineRule="auto"/>
        <w:ind w:left="0" w:firstLine="0" w:firstLineChars="0"/>
        <w:outlineLvl w:val="2"/>
        <w:rPr>
          <w:rFonts w:ascii="Times New Roman" w:hAnsi="Times New Roman" w:eastAsiaTheme="minorEastAsia"/>
          <w:b/>
          <w:bCs/>
          <w:color w:val="000000" w:themeColor="text1"/>
          <w:sz w:val="22"/>
          <w:szCs w:val="22"/>
          <w14:textFill>
            <w14:solidFill>
              <w14:schemeClr w14:val="tx1"/>
            </w14:solidFill>
          </w14:textFill>
        </w:rPr>
      </w:pPr>
      <w:bookmarkStart w:id="36" w:name="_Toc10129"/>
      <w:bookmarkStart w:id="37" w:name="_Toc93505741"/>
      <w:bookmarkStart w:id="38" w:name="_Toc441844055"/>
      <w:r>
        <w:rPr>
          <w:rFonts w:ascii="Times New Roman" w:hAnsi="Times New Roman" w:eastAsiaTheme="minorEastAsia"/>
          <w:b/>
          <w:bCs/>
          <w:color w:val="000000" w:themeColor="text1"/>
          <w:sz w:val="22"/>
          <w:szCs w:val="22"/>
          <w14:textFill>
            <w14:solidFill>
              <w14:schemeClr w14:val="tx1"/>
            </w14:solidFill>
          </w14:textFill>
        </w:rPr>
        <w:t>合格的投标人</w:t>
      </w:r>
      <w:bookmarkEnd w:id="36"/>
      <w:bookmarkEnd w:id="37"/>
      <w:bookmarkEnd w:id="38"/>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合格的投标人条件见第一章《投标邀请》中第</w:t>
      </w:r>
      <w:r>
        <w:rPr>
          <w:rFonts w:ascii="宋体" w:hAnsi="宋体"/>
          <w:bCs/>
          <w:color w:val="000000" w:themeColor="text1"/>
          <w:sz w:val="22"/>
          <w:szCs w:val="22"/>
          <w14:textFill>
            <w14:solidFill>
              <w14:schemeClr w14:val="tx1"/>
            </w14:solidFill>
          </w14:textFill>
        </w:rPr>
        <w:t>5</w:t>
      </w:r>
      <w:r>
        <w:rPr>
          <w:rFonts w:hint="eastAsia" w:ascii="宋体" w:hAnsi="宋体"/>
          <w:bCs/>
          <w:color w:val="000000" w:themeColor="text1"/>
          <w:sz w:val="22"/>
          <w:szCs w:val="22"/>
          <w14:textFill>
            <w14:solidFill>
              <w14:schemeClr w14:val="tx1"/>
            </w14:solidFill>
          </w14:textFill>
        </w:rPr>
        <w:t>款的“</w:t>
      </w:r>
      <w:r>
        <w:rPr>
          <w:rFonts w:hint="eastAsia" w:ascii="宋体" w:hAnsi="宋体"/>
          <w:b/>
          <w:bCs/>
          <w:color w:val="000000" w:themeColor="text1"/>
          <w:sz w:val="22"/>
          <w:szCs w:val="22"/>
          <w:u w:val="single"/>
          <w14:textFill>
            <w14:solidFill>
              <w14:schemeClr w14:val="tx1"/>
            </w14:solidFill>
          </w14:textFill>
        </w:rPr>
        <w:t>投标人资格要求”及本条以下5.1款至5.5款的通用要求</w:t>
      </w:r>
      <w:r>
        <w:rPr>
          <w:rFonts w:hint="eastAsia" w:ascii="宋体" w:hAnsi="宋体"/>
          <w:bCs/>
          <w:color w:val="000000" w:themeColor="text1"/>
          <w:sz w:val="22"/>
          <w:szCs w:val="22"/>
          <w14:textFill>
            <w14:solidFill>
              <w14:schemeClr w14:val="tx1"/>
            </w14:solidFill>
          </w14:textFill>
        </w:rPr>
        <w:t>。</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投标人符合《中华人民共和国招标投标法》第二十六条的规定。</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hAnsi="宋体"/>
          <w:color w:val="000000" w:themeColor="text1"/>
          <w:sz w:val="22"/>
          <w:szCs w:val="22"/>
          <w14:textFill>
            <w14:solidFill>
              <w14:schemeClr w14:val="tx1"/>
            </w14:solidFill>
          </w14:textFill>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3年企业牵涉的主要诉讼案件或处罚说明”，如果不主动填报而被事后发现的，将取消其投标（中标）资格，并按有关规定从重处理。</w:t>
      </w:r>
    </w:p>
    <w:p>
      <w:pPr>
        <w:pStyle w:val="113"/>
        <w:numPr>
          <w:ilvl w:val="0"/>
          <w:numId w:val="7"/>
        </w:numPr>
        <w:spacing w:line="360" w:lineRule="auto"/>
        <w:ind w:left="567" w:hanging="567" w:firstLineChars="0"/>
        <w:rPr>
          <w:rFonts w:hAnsi="宋体"/>
          <w:color w:val="000000" w:themeColor="text1"/>
          <w:sz w:val="22"/>
          <w:szCs w:val="22"/>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未被列入“国家企业信用信息公示系统”网站（http://www.gsxt.gov.cn）严重违法失信企业名单；未被列入“中国执行信息公开网”失信执行人。</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不存在大额诉讼或多宗诉讼或其他违法、违约等影响本次招标项目正常履约的情形。</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不存在投标人或其关联公司曾与东莞市交通投资集团有公司及其下属企业签订合同，且在履约过程中因投标人或其关联公司严重违约而导致合同变更、中止、解除的情形。</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投标人或其关联公司未正在与东莞市交通投资集团有公司及其下属企业发生诉讼。</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不存在院判决或仲裁裁决认定投标人或其关联公司在与东莞市交通投资集团有公司及其下属企业履约过程中存在违约或过失责任的情形。</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联合体投标的投标人应当满足下列条件：</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3.10.1以联合体形式进行投标的，联合体各方之间应当签订联合体协议，明确约定联合体各方承担的工作和义务，并将共同联合体协议连同投标文件一并提交。</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3.10.2以联合体形式参加采购活动的，联合体各方不得再单独参加或者与其他投标人另外组成联合体参加同一合同项下的采购活动。</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3.10.3以联合体进行投标的，可以由联合体中的一方或者共同提交投标保证金，以一方名义提交的投标保证金的，对联合体各方均具有约束力。</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3.10.4联合体中有同类资质的投标人按照联合体分工承担相同工作的，按照资质等级较低的投标人确定资质等级。</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3.10.5联合体各方应当共同与招标人签订采购合同，就采购合同约定的事项对招标人承担连带责任。</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39" w:name="_Toc441844056"/>
      <w:bookmarkStart w:id="40" w:name="_Toc93505742"/>
      <w:bookmarkStart w:id="41" w:name="_Toc30257"/>
      <w:r>
        <w:rPr>
          <w:rFonts w:ascii="宋体" w:hAnsi="宋体"/>
          <w:b/>
          <w:bCs/>
          <w:color w:val="000000" w:themeColor="text1"/>
          <w:sz w:val="22"/>
          <w:szCs w:val="22"/>
          <w14:textFill>
            <w14:solidFill>
              <w14:schemeClr w14:val="tx1"/>
            </w14:solidFill>
          </w14:textFill>
        </w:rPr>
        <w:t>合格的货物和服务及验收</w:t>
      </w:r>
      <w:bookmarkEnd w:id="39"/>
      <w:bookmarkEnd w:id="40"/>
      <w:bookmarkEnd w:id="41"/>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服务是指除货物和工程以外的其他采购对象，其中包括投标人须承担的运输、安装、技术支持、培训及招标文件规定的其它服务。</w:t>
      </w:r>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投标人应保证,</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人在中华人民共和国使用货物或服务的任何一部分时,</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人免受第三方提出侵犯其专利权、商标权或其它知识产权的起诉。</w:t>
      </w:r>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货物验收。</w:t>
      </w:r>
    </w:p>
    <w:p>
      <w:pPr>
        <w:pStyle w:val="113"/>
        <w:numPr>
          <w:ilvl w:val="0"/>
          <w:numId w:val="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验收工作由招标人（或招标人指定的单位）和中标人共同进行。</w:t>
      </w:r>
    </w:p>
    <w:p>
      <w:pPr>
        <w:pStyle w:val="113"/>
        <w:numPr>
          <w:ilvl w:val="0"/>
          <w:numId w:val="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在验收时，</w:t>
      </w:r>
      <w:r>
        <w:rPr>
          <w:rFonts w:hint="eastAsia" w:ascii="宋体" w:hAnsi="宋体"/>
          <w:color w:val="000000" w:themeColor="text1"/>
          <w:sz w:val="22"/>
          <w:szCs w:val="22"/>
          <w14:textFill>
            <w14:solidFill>
              <w14:schemeClr w14:val="tx1"/>
            </w14:solidFill>
          </w14:textFill>
        </w:rPr>
        <w:t>中标人</w:t>
      </w:r>
      <w:r>
        <w:rPr>
          <w:rFonts w:ascii="宋体" w:hAnsi="宋体"/>
          <w:color w:val="000000" w:themeColor="text1"/>
          <w:sz w:val="22"/>
          <w:szCs w:val="22"/>
          <w14:textFill>
            <w14:solidFill>
              <w14:schemeClr w14:val="tx1"/>
            </w14:solidFill>
          </w14:textFill>
        </w:rPr>
        <w:t>应向</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提供货物的相关资料，按</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提出的方式验收。</w:t>
      </w:r>
    </w:p>
    <w:p>
      <w:pPr>
        <w:pStyle w:val="113"/>
        <w:numPr>
          <w:ilvl w:val="0"/>
          <w:numId w:val="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由</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对货物的质量、规格和数量其他进行检验。如发现质量、规格和数量等任何一项与招标要求规定不符，</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有权拒绝接受。</w:t>
      </w:r>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投标人提供相关的服务必须符合中华人民共和国的行业标准。</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42" w:name="_Toc441844057"/>
      <w:bookmarkStart w:id="43" w:name="_Toc93505743"/>
      <w:bookmarkStart w:id="44" w:name="_Toc13418"/>
      <w:r>
        <w:rPr>
          <w:rFonts w:ascii="宋体" w:hAnsi="宋体"/>
          <w:b/>
          <w:bCs/>
          <w:color w:val="000000" w:themeColor="text1"/>
          <w:sz w:val="22"/>
          <w:szCs w:val="22"/>
          <w14:textFill>
            <w14:solidFill>
              <w14:schemeClr w14:val="tx1"/>
            </w14:solidFill>
          </w14:textFill>
        </w:rPr>
        <w:t>投标费用</w:t>
      </w:r>
      <w:bookmarkEnd w:id="42"/>
      <w:bookmarkEnd w:id="43"/>
      <w:bookmarkEnd w:id="44"/>
    </w:p>
    <w:p>
      <w:pPr>
        <w:pStyle w:val="113"/>
        <w:numPr>
          <w:ilvl w:val="0"/>
          <w:numId w:val="10"/>
        </w:numPr>
        <w:tabs>
          <w:tab w:val="left" w:pos="567"/>
        </w:tabs>
        <w:spacing w:line="360" w:lineRule="auto"/>
        <w:ind w:left="426" w:hanging="426" w:firstLineChars="0"/>
        <w:rPr>
          <w:rFonts w:ascii="宋体" w:hAnsi="宋体"/>
          <w:color w:val="000000" w:themeColor="text1"/>
          <w:sz w:val="22"/>
          <w:szCs w:val="22"/>
          <w:lang w:val="zh-CN"/>
          <w14:textFill>
            <w14:solidFill>
              <w14:schemeClr w14:val="tx1"/>
            </w14:solidFill>
          </w14:textFill>
        </w:rPr>
      </w:pPr>
      <w:r>
        <w:rPr>
          <w:rFonts w:hint="eastAsia" w:ascii="宋体" w:hAnsi="宋体"/>
          <w:b/>
          <w:color w:val="000000" w:themeColor="text1"/>
          <w:sz w:val="22"/>
          <w:szCs w:val="22"/>
          <w:lang w:val="zh-CN"/>
          <w14:textFill>
            <w14:solidFill>
              <w14:schemeClr w14:val="tx1"/>
            </w14:solidFill>
          </w14:textFill>
        </w:rPr>
        <w:t>不论投标结果如何，投标人应承担自身因投标文件编制、递交及其他参加本采购活动所涉及的一切费用，招标人对上述费用不负任何责任</w:t>
      </w:r>
      <w:r>
        <w:rPr>
          <w:rFonts w:hint="eastAsia" w:ascii="宋体" w:hAnsi="宋体"/>
          <w:color w:val="000000" w:themeColor="text1"/>
          <w:sz w:val="22"/>
          <w:szCs w:val="22"/>
          <w:lang w:val="zh-CN"/>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45" w:name="_Toc27428"/>
      <w:bookmarkStart w:id="46" w:name="_Toc93505744"/>
      <w:bookmarkStart w:id="47" w:name="_Toc441844058"/>
      <w:r>
        <w:rPr>
          <w:rFonts w:ascii="宋体" w:hAnsi="宋体"/>
          <w:b/>
          <w:bCs/>
          <w:color w:val="000000" w:themeColor="text1"/>
          <w:sz w:val="22"/>
          <w:szCs w:val="22"/>
          <w14:textFill>
            <w14:solidFill>
              <w14:schemeClr w14:val="tx1"/>
            </w14:solidFill>
          </w14:textFill>
        </w:rPr>
        <w:t>踏勘现场</w:t>
      </w:r>
      <w:bookmarkEnd w:id="45"/>
      <w:bookmarkEnd w:id="46"/>
      <w:bookmarkEnd w:id="47"/>
    </w:p>
    <w:p>
      <w:pPr>
        <w:pStyle w:val="113"/>
        <w:numPr>
          <w:ilvl w:val="0"/>
          <w:numId w:val="11"/>
        </w:numPr>
        <w:tabs>
          <w:tab w:val="left" w:pos="0"/>
        </w:tabs>
        <w:spacing w:line="360" w:lineRule="auto"/>
        <w:ind w:firstLineChars="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pStyle w:val="113"/>
        <w:numPr>
          <w:ilvl w:val="0"/>
          <w:numId w:val="11"/>
        </w:numPr>
        <w:tabs>
          <w:tab w:val="left" w:pos="0"/>
        </w:tabs>
        <w:spacing w:line="360" w:lineRule="auto"/>
        <w:ind w:firstLineChars="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人向投标人提供的有关现场的数据和资料，是</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人现有的能被投标人利用的资料，采购人对投标人做出的任何推论、理解和结论均不负责任。</w:t>
      </w:r>
    </w:p>
    <w:p>
      <w:pPr>
        <w:pStyle w:val="113"/>
        <w:numPr>
          <w:ilvl w:val="0"/>
          <w:numId w:val="11"/>
        </w:numPr>
        <w:tabs>
          <w:tab w:val="left" w:pos="0"/>
        </w:tabs>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经</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人允许，投标人可为踏勘目的进入</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人承担有关的责任和蒙受损失。</w:t>
      </w:r>
    </w:p>
    <w:p>
      <w:pPr>
        <w:pStyle w:val="4"/>
        <w:tabs>
          <w:tab w:val="left" w:pos="142"/>
          <w:tab w:val="clear" w:pos="1440"/>
        </w:tabs>
        <w:ind w:left="0" w:firstLine="0"/>
        <w:rPr>
          <w:rFonts w:ascii="Times New Roman" w:hAnsi="Times New Roman" w:eastAsiaTheme="minorEastAsia"/>
          <w:color w:val="000000" w:themeColor="text1"/>
          <w:sz w:val="28"/>
          <w:szCs w:val="28"/>
          <w:lang w:val="zh-CN"/>
          <w14:textFill>
            <w14:solidFill>
              <w14:schemeClr w14:val="tx1"/>
            </w14:solidFill>
          </w14:textFill>
        </w:rPr>
      </w:pPr>
      <w:bookmarkStart w:id="48" w:name="_Toc25520"/>
      <w:bookmarkStart w:id="49" w:name="_Toc93505745"/>
      <w:bookmarkStart w:id="50" w:name="_Toc441844059"/>
      <w:r>
        <w:rPr>
          <w:rFonts w:ascii="Times New Roman" w:hAnsi="Times New Roman" w:eastAsiaTheme="minorEastAsia"/>
          <w:color w:val="000000" w:themeColor="text1"/>
          <w:sz w:val="28"/>
          <w:szCs w:val="28"/>
          <w:lang w:val="zh-CN"/>
          <w14:textFill>
            <w14:solidFill>
              <w14:schemeClr w14:val="tx1"/>
            </w14:solidFill>
          </w14:textFill>
        </w:rPr>
        <w:t>（二）招标文件</w:t>
      </w:r>
      <w:bookmarkEnd w:id="48"/>
      <w:bookmarkEnd w:id="49"/>
      <w:bookmarkEnd w:id="50"/>
    </w:p>
    <w:p>
      <w:pPr>
        <w:pStyle w:val="68"/>
        <w:numPr>
          <w:ilvl w:val="0"/>
          <w:numId w:val="4"/>
        </w:numPr>
        <w:spacing w:line="360" w:lineRule="auto"/>
        <w:ind w:left="0" w:firstLine="0" w:firstLineChars="0"/>
        <w:outlineLvl w:val="2"/>
        <w:rPr>
          <w:rFonts w:ascii="Times New Roman" w:hAnsi="Times New Roman" w:eastAsiaTheme="minorEastAsia"/>
          <w:b/>
          <w:bCs/>
          <w:color w:val="000000" w:themeColor="text1"/>
          <w:sz w:val="22"/>
          <w:szCs w:val="22"/>
          <w14:textFill>
            <w14:solidFill>
              <w14:schemeClr w14:val="tx1"/>
            </w14:solidFill>
          </w14:textFill>
        </w:rPr>
      </w:pPr>
      <w:bookmarkStart w:id="51" w:name="_Toc93505746"/>
      <w:bookmarkStart w:id="52" w:name="_Toc4368"/>
      <w:bookmarkStart w:id="53" w:name="_Toc441844060"/>
      <w:r>
        <w:rPr>
          <w:rFonts w:ascii="Times New Roman" w:hAnsi="Times New Roman" w:eastAsiaTheme="minorEastAsia"/>
          <w:b/>
          <w:bCs/>
          <w:color w:val="000000" w:themeColor="text1"/>
          <w:sz w:val="22"/>
          <w:szCs w:val="22"/>
          <w14:textFill>
            <w14:solidFill>
              <w14:schemeClr w14:val="tx1"/>
            </w14:solidFill>
          </w14:textFill>
        </w:rPr>
        <w:t>招标文件的组成</w:t>
      </w:r>
      <w:bookmarkEnd w:id="51"/>
      <w:bookmarkEnd w:id="52"/>
      <w:bookmarkEnd w:id="53"/>
    </w:p>
    <w:p>
      <w:pPr>
        <w:pStyle w:val="113"/>
        <w:numPr>
          <w:ilvl w:val="0"/>
          <w:numId w:val="12"/>
        </w:numPr>
        <w:spacing w:line="360" w:lineRule="auto"/>
        <w:ind w:firstLineChars="0"/>
        <w:rPr>
          <w:rFonts w:ascii="Times New Roman" w:hAnsi="Times New Roman" w:eastAsiaTheme="minorEastAsia"/>
          <w:color w:val="000000" w:themeColor="text1"/>
          <w:sz w:val="22"/>
          <w:szCs w:val="22"/>
          <w:lang w:val="zh-CN"/>
          <w14:textFill>
            <w14:solidFill>
              <w14:schemeClr w14:val="tx1"/>
            </w14:solidFill>
          </w14:textFill>
        </w:rPr>
      </w:pPr>
      <w:r>
        <w:rPr>
          <w:rFonts w:hint="eastAsia" w:ascii="Times New Roman" w:hAnsi="Times New Roman" w:eastAsiaTheme="minorEastAsia"/>
          <w:color w:val="000000" w:themeColor="text1"/>
          <w:sz w:val="22"/>
          <w:szCs w:val="22"/>
          <w:lang w:val="zh-CN"/>
          <w14:textFill>
            <w14:solidFill>
              <w14:schemeClr w14:val="tx1"/>
            </w14:solidFill>
          </w14:textFill>
        </w:rPr>
        <w:t>招标文件包括：</w:t>
      </w:r>
    </w:p>
    <w:p>
      <w:pPr>
        <w:spacing w:line="360" w:lineRule="auto"/>
        <w:ind w:left="420" w:leftChars="200" w:firstLine="110" w:firstLineChars="50"/>
        <w:rPr>
          <w:rFonts w:ascii="Times New Roman" w:hAnsi="Times New Roman" w:eastAsiaTheme="minorEastAsia"/>
          <w:color w:val="000000" w:themeColor="text1"/>
          <w:sz w:val="22"/>
          <w:szCs w:val="22"/>
          <w:lang w:val="zh-CN"/>
          <w14:textFill>
            <w14:solidFill>
              <w14:schemeClr w14:val="tx1"/>
            </w14:solidFill>
          </w14:textFill>
        </w:rPr>
      </w:pPr>
      <w:r>
        <w:rPr>
          <w:rFonts w:ascii="Times New Roman" w:hAnsi="Times New Roman" w:eastAsiaTheme="minorEastAsia"/>
          <w:color w:val="000000" w:themeColor="text1"/>
          <w:sz w:val="22"/>
          <w:szCs w:val="22"/>
          <w:lang w:val="zh-CN"/>
          <w14:textFill>
            <w14:solidFill>
              <w14:schemeClr w14:val="tx1"/>
            </w14:solidFill>
          </w14:textFill>
        </w:rPr>
        <w:t>第一章  投标邀请；</w:t>
      </w:r>
    </w:p>
    <w:p>
      <w:pPr>
        <w:spacing w:line="360" w:lineRule="auto"/>
        <w:ind w:left="420" w:leftChars="200" w:firstLine="110" w:firstLineChars="50"/>
        <w:rPr>
          <w:rFonts w:ascii="Times New Roman" w:hAnsi="Times New Roman" w:eastAsiaTheme="minorEastAsia"/>
          <w:color w:val="000000" w:themeColor="text1"/>
          <w:sz w:val="22"/>
          <w:szCs w:val="22"/>
          <w:lang w:val="zh-CN"/>
          <w14:textFill>
            <w14:solidFill>
              <w14:schemeClr w14:val="tx1"/>
            </w14:solidFill>
          </w14:textFill>
        </w:rPr>
      </w:pPr>
      <w:r>
        <w:rPr>
          <w:rFonts w:ascii="Times New Roman" w:hAnsi="Times New Roman" w:eastAsiaTheme="minorEastAsia"/>
          <w:color w:val="000000" w:themeColor="text1"/>
          <w:sz w:val="22"/>
          <w:szCs w:val="22"/>
          <w:lang w:val="zh-CN"/>
          <w14:textFill>
            <w14:solidFill>
              <w14:schemeClr w14:val="tx1"/>
            </w14:solidFill>
          </w14:textFill>
        </w:rPr>
        <w:t>第二章  投标人须知；</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第三章  评标</w:t>
      </w:r>
      <w:r>
        <w:rPr>
          <w:rFonts w:hint="eastAsia" w:ascii="宋体" w:hAnsi="宋体"/>
          <w:color w:val="000000" w:themeColor="text1"/>
          <w:sz w:val="22"/>
          <w:szCs w:val="22"/>
          <w:lang w:val="zh-CN"/>
          <w14:textFill>
            <w14:solidFill>
              <w14:schemeClr w14:val="tx1"/>
            </w14:solidFill>
          </w14:textFill>
        </w:rPr>
        <w:t>、</w:t>
      </w:r>
      <w:r>
        <w:rPr>
          <w:rFonts w:ascii="宋体" w:hAnsi="宋体"/>
          <w:color w:val="000000" w:themeColor="text1"/>
          <w:sz w:val="22"/>
          <w:szCs w:val="22"/>
          <w:lang w:val="zh-CN"/>
          <w14:textFill>
            <w14:solidFill>
              <w14:schemeClr w14:val="tx1"/>
            </w14:solidFill>
          </w14:textFill>
        </w:rPr>
        <w:t>定标</w:t>
      </w:r>
      <w:r>
        <w:rPr>
          <w:rFonts w:hint="eastAsia" w:ascii="宋体" w:hAnsi="宋体"/>
          <w:color w:val="000000" w:themeColor="text1"/>
          <w:sz w:val="22"/>
          <w:szCs w:val="22"/>
          <w:lang w:val="zh-CN"/>
          <w14:textFill>
            <w14:solidFill>
              <w14:schemeClr w14:val="tx1"/>
            </w14:solidFill>
          </w14:textFill>
        </w:rPr>
        <w:t>办</w:t>
      </w:r>
      <w:r>
        <w:rPr>
          <w:rFonts w:ascii="宋体" w:hAnsi="宋体"/>
          <w:color w:val="000000" w:themeColor="text1"/>
          <w:sz w:val="22"/>
          <w:szCs w:val="22"/>
          <w:lang w:val="zh-CN"/>
          <w14:textFill>
            <w14:solidFill>
              <w14:schemeClr w14:val="tx1"/>
            </w14:solidFill>
          </w14:textFill>
        </w:rPr>
        <w:t>法；</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lang w:val="zh-CN"/>
          <w14:textFill>
            <w14:solidFill>
              <w14:schemeClr w14:val="tx1"/>
            </w14:solidFill>
          </w14:textFill>
        </w:rPr>
        <w:t>四</w:t>
      </w:r>
      <w:r>
        <w:rPr>
          <w:rFonts w:ascii="宋体" w:hAnsi="宋体"/>
          <w:color w:val="000000" w:themeColor="text1"/>
          <w:sz w:val="22"/>
          <w:szCs w:val="22"/>
          <w:lang w:val="zh-CN"/>
          <w14:textFill>
            <w14:solidFill>
              <w14:schemeClr w14:val="tx1"/>
            </w14:solidFill>
          </w14:textFill>
        </w:rPr>
        <w:t>章  用户需求书；</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lang w:val="zh-CN"/>
          <w14:textFill>
            <w14:solidFill>
              <w14:schemeClr w14:val="tx1"/>
            </w14:solidFill>
          </w14:textFill>
        </w:rPr>
        <w:t>五</w:t>
      </w:r>
      <w:r>
        <w:rPr>
          <w:rFonts w:ascii="宋体" w:hAnsi="宋体"/>
          <w:color w:val="000000" w:themeColor="text1"/>
          <w:sz w:val="22"/>
          <w:szCs w:val="22"/>
          <w:lang w:val="zh-CN"/>
          <w14:textFill>
            <w14:solidFill>
              <w14:schemeClr w14:val="tx1"/>
            </w14:solidFill>
          </w14:textFill>
        </w:rPr>
        <w:t>章  合同书格式；</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lang w:val="zh-CN"/>
          <w14:textFill>
            <w14:solidFill>
              <w14:schemeClr w14:val="tx1"/>
            </w14:solidFill>
          </w14:textFill>
        </w:rPr>
        <w:t>六</w:t>
      </w:r>
      <w:r>
        <w:rPr>
          <w:rFonts w:ascii="宋体" w:hAnsi="宋体"/>
          <w:color w:val="000000" w:themeColor="text1"/>
          <w:sz w:val="22"/>
          <w:szCs w:val="22"/>
          <w:lang w:val="zh-CN"/>
          <w14:textFill>
            <w14:solidFill>
              <w14:schemeClr w14:val="tx1"/>
            </w14:solidFill>
          </w14:textFill>
        </w:rPr>
        <w:t>章  投标文件格式。</w:t>
      </w:r>
    </w:p>
    <w:p>
      <w:pPr>
        <w:pStyle w:val="113"/>
        <w:numPr>
          <w:ilvl w:val="0"/>
          <w:numId w:val="12"/>
        </w:numPr>
        <w:spacing w:line="360" w:lineRule="auto"/>
        <w:ind w:firstLineChars="0"/>
        <w:rPr>
          <w:rFonts w:ascii="Times New Roman" w:hAnsi="Times New Roman" w:eastAsiaTheme="minorEastAsia"/>
          <w:color w:val="000000" w:themeColor="text1"/>
          <w:sz w:val="22"/>
          <w:szCs w:val="22"/>
          <w:lang w:val="zh-CN"/>
          <w14:textFill>
            <w14:solidFill>
              <w14:schemeClr w14:val="tx1"/>
            </w14:solidFill>
          </w14:textFill>
        </w:rPr>
      </w:pPr>
      <w:r>
        <w:rPr>
          <w:rFonts w:ascii="Times New Roman" w:hAnsi="Times New Roman" w:eastAsiaTheme="minorEastAsia"/>
          <w:color w:val="000000" w:themeColor="text1"/>
          <w:sz w:val="22"/>
          <w:szCs w:val="22"/>
          <w:lang w:val="zh-CN"/>
          <w14:textFill>
            <w14:solidFill>
              <w14:schemeClr w14:val="tx1"/>
            </w14:solidFill>
          </w14:textFill>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54" w:name="_Toc395863076"/>
      <w:bookmarkStart w:id="55" w:name="_Toc441844061"/>
      <w:bookmarkStart w:id="56" w:name="_Toc93505747"/>
      <w:bookmarkStart w:id="57" w:name="_Toc15446"/>
      <w:r>
        <w:rPr>
          <w:rFonts w:ascii="宋体" w:hAnsi="宋体"/>
          <w:b/>
          <w:bCs/>
          <w:color w:val="000000" w:themeColor="text1"/>
          <w:sz w:val="22"/>
          <w:szCs w:val="22"/>
          <w14:textFill>
            <w14:solidFill>
              <w14:schemeClr w14:val="tx1"/>
            </w14:solidFill>
          </w14:textFill>
        </w:rPr>
        <w:t>招标文件的</w:t>
      </w:r>
      <w:bookmarkEnd w:id="54"/>
      <w:bookmarkEnd w:id="55"/>
      <w:r>
        <w:rPr>
          <w:rFonts w:hint="eastAsia" w:ascii="宋体" w:hAnsi="宋体"/>
          <w:b/>
          <w:bCs/>
          <w:color w:val="000000" w:themeColor="text1"/>
          <w:sz w:val="22"/>
          <w:szCs w:val="22"/>
          <w14:textFill>
            <w14:solidFill>
              <w14:schemeClr w14:val="tx1"/>
            </w14:solidFill>
          </w14:textFill>
        </w:rPr>
        <w:t>异议</w:t>
      </w:r>
      <w:bookmarkEnd w:id="56"/>
      <w:bookmarkEnd w:id="57"/>
    </w:p>
    <w:p>
      <w:pPr>
        <w:pStyle w:val="69"/>
        <w:numPr>
          <w:ilvl w:val="0"/>
          <w:numId w:val="13"/>
        </w:numPr>
        <w:spacing w:line="360" w:lineRule="auto"/>
        <w:ind w:firstLineChars="0"/>
        <w:rPr>
          <w:rFonts w:ascii="宋体" w:eastAsia="宋体"/>
          <w:color w:val="000000" w:themeColor="text1"/>
          <w:sz w:val="22"/>
          <w:szCs w:val="22"/>
          <w14:textFill>
            <w14:solidFill>
              <w14:schemeClr w14:val="tx1"/>
            </w14:solidFill>
          </w14:textFill>
        </w:rPr>
      </w:pPr>
      <w:bookmarkStart w:id="58" w:name="_Toc39071044"/>
      <w:bookmarkStart w:id="59" w:name="_Toc36971219"/>
      <w:r>
        <w:rPr>
          <w:rFonts w:hint="eastAsia" w:ascii="宋体" w:eastAsia="宋体"/>
          <w:color w:val="000000" w:themeColor="text1"/>
          <w:sz w:val="22"/>
          <w:szCs w:val="22"/>
          <w:lang w:val="zh-CN"/>
          <w14:textFill>
            <w14:solidFill>
              <w14:schemeClr w14:val="tx1"/>
            </w14:solidFill>
          </w14:textFill>
        </w:rPr>
        <w:t>投标人或者其他利害关系人对招标文件有异议的，应当在投标截止时间10日前以书面形式向招标</w:t>
      </w:r>
      <w:r>
        <w:rPr>
          <w:rFonts w:hint="eastAsia" w:ascii="宋体" w:eastAsia="宋体"/>
          <w:color w:val="000000" w:themeColor="text1"/>
          <w:sz w:val="22"/>
          <w:szCs w:val="22"/>
          <w14:textFill>
            <w14:solidFill>
              <w14:schemeClr w14:val="tx1"/>
            </w14:solidFill>
          </w14:textFill>
        </w:rPr>
        <w:t>人</w:t>
      </w:r>
      <w:r>
        <w:rPr>
          <w:rFonts w:hint="eastAsia" w:ascii="宋体" w:eastAsia="宋体"/>
          <w:color w:val="000000" w:themeColor="text1"/>
          <w:sz w:val="22"/>
          <w:szCs w:val="22"/>
          <w:lang w:val="zh-CN"/>
          <w14:textFill>
            <w14:solidFill>
              <w14:schemeClr w14:val="tx1"/>
            </w14:solidFill>
          </w14:textFill>
        </w:rPr>
        <w:t>提出，并将材料原件送达招标</w:t>
      </w:r>
      <w:r>
        <w:rPr>
          <w:rFonts w:hint="eastAsia" w:ascii="宋体" w:eastAsia="宋体"/>
          <w:color w:val="000000" w:themeColor="text1"/>
          <w:sz w:val="22"/>
          <w:szCs w:val="22"/>
          <w14:textFill>
            <w14:solidFill>
              <w14:schemeClr w14:val="tx1"/>
            </w14:solidFill>
          </w14:textFill>
        </w:rPr>
        <w:t>人</w:t>
      </w:r>
      <w:r>
        <w:rPr>
          <w:rFonts w:hint="eastAsia" w:ascii="宋体" w:eastAsia="宋体"/>
          <w:color w:val="000000" w:themeColor="text1"/>
          <w:sz w:val="22"/>
          <w:szCs w:val="22"/>
          <w:lang w:val="zh-CN"/>
          <w14:textFill>
            <w14:solidFill>
              <w14:schemeClr w14:val="tx1"/>
            </w14:solidFill>
          </w14:textFill>
        </w:rPr>
        <w:t>，逾期则视为对招标文件所有内容无异议。异议书面材料必须加盖投标人法人公章，并注明联系人、联系电话、联系地址。超出提交接收异议截止时间而提出的任何疑问，招标</w:t>
      </w:r>
      <w:r>
        <w:rPr>
          <w:rFonts w:hint="eastAsia" w:ascii="宋体" w:eastAsia="宋体"/>
          <w:color w:val="000000" w:themeColor="text1"/>
          <w:sz w:val="22"/>
          <w:szCs w:val="22"/>
          <w14:textFill>
            <w14:solidFill>
              <w14:schemeClr w14:val="tx1"/>
            </w14:solidFill>
          </w14:textFill>
        </w:rPr>
        <w:t>人</w:t>
      </w:r>
      <w:r>
        <w:rPr>
          <w:rFonts w:hint="eastAsia" w:ascii="宋体" w:eastAsia="宋体"/>
          <w:color w:val="000000" w:themeColor="text1"/>
          <w:sz w:val="22"/>
          <w:szCs w:val="22"/>
          <w:lang w:val="zh-CN"/>
          <w14:textFill>
            <w14:solidFill>
              <w14:schemeClr w14:val="tx1"/>
            </w14:solidFill>
          </w14:textFill>
        </w:rPr>
        <w:t>可不予答复。投标人必须在投标文件中提供投标承诺书（格式详见第六章投标文件格式）。</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60" w:name="_Toc93505748"/>
      <w:bookmarkStart w:id="61" w:name="_Toc395863077"/>
      <w:bookmarkStart w:id="62" w:name="_Toc30466"/>
      <w:bookmarkStart w:id="63" w:name="_Toc441844062"/>
      <w:r>
        <w:rPr>
          <w:rFonts w:ascii="宋体" w:hAnsi="宋体"/>
          <w:b/>
          <w:bCs/>
          <w:color w:val="000000" w:themeColor="text1"/>
          <w:sz w:val="22"/>
          <w:szCs w:val="22"/>
          <w14:textFill>
            <w14:solidFill>
              <w14:schemeClr w14:val="tx1"/>
            </w14:solidFill>
          </w14:textFill>
        </w:rPr>
        <w:t>招标文件的</w:t>
      </w:r>
      <w:r>
        <w:rPr>
          <w:rFonts w:hint="eastAsia" w:ascii="宋体" w:hAnsi="宋体"/>
          <w:b/>
          <w:bCs/>
          <w:color w:val="000000" w:themeColor="text1"/>
          <w:sz w:val="22"/>
          <w:szCs w:val="22"/>
          <w14:textFill>
            <w14:solidFill>
              <w14:schemeClr w14:val="tx1"/>
            </w14:solidFill>
          </w14:textFill>
        </w:rPr>
        <w:t>澄清及</w:t>
      </w:r>
      <w:r>
        <w:rPr>
          <w:rFonts w:ascii="宋体" w:hAnsi="宋体"/>
          <w:b/>
          <w:bCs/>
          <w:color w:val="000000" w:themeColor="text1"/>
          <w:sz w:val="22"/>
          <w:szCs w:val="22"/>
          <w14:textFill>
            <w14:solidFill>
              <w14:schemeClr w14:val="tx1"/>
            </w14:solidFill>
          </w14:textFill>
        </w:rPr>
        <w:t>修改</w:t>
      </w:r>
      <w:bookmarkEnd w:id="58"/>
      <w:bookmarkEnd w:id="59"/>
      <w:bookmarkEnd w:id="60"/>
      <w:bookmarkEnd w:id="61"/>
      <w:bookmarkEnd w:id="62"/>
      <w:bookmarkEnd w:id="63"/>
    </w:p>
    <w:p>
      <w:pPr>
        <w:pStyle w:val="69"/>
        <w:numPr>
          <w:ilvl w:val="0"/>
          <w:numId w:val="14"/>
        </w:numPr>
        <w:spacing w:line="360" w:lineRule="auto"/>
        <w:ind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招标人对已发出的招标文件进行必要澄清或者修改的，将在招标文件要求提交投标文件截止时间15日前，在招标信息发布的媒体上以有编号的澄清通知予以发布。</w:t>
      </w:r>
      <w:r>
        <w:rPr>
          <w:rFonts w:ascii="宋体" w:eastAsia="宋体"/>
          <w:color w:val="000000" w:themeColor="text1"/>
          <w:sz w:val="22"/>
          <w:szCs w:val="22"/>
          <w14:textFill>
            <w14:solidFill>
              <w14:schemeClr w14:val="tx1"/>
            </w14:solidFill>
          </w14:textFill>
        </w:rPr>
        <w:t>招标文件的修改内容作为招标文件的组成部分，具有约束作用。</w:t>
      </w:r>
    </w:p>
    <w:p>
      <w:pPr>
        <w:pStyle w:val="69"/>
        <w:numPr>
          <w:ilvl w:val="0"/>
          <w:numId w:val="14"/>
        </w:numPr>
        <w:spacing w:line="360" w:lineRule="auto"/>
        <w:ind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当招标文件、招标文件的澄清、修改、补充等在同一内容的表述上不一致时，以最后发出的文件为准。</w:t>
      </w:r>
    </w:p>
    <w:p>
      <w:pPr>
        <w:pStyle w:val="69"/>
        <w:numPr>
          <w:ilvl w:val="0"/>
          <w:numId w:val="14"/>
        </w:numPr>
        <w:spacing w:line="360" w:lineRule="auto"/>
        <w:ind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为使投标人在编制投标文件时有充分的时间对招标文件的澄清、修改、补充等内容进行研究，</w:t>
      </w:r>
      <w:r>
        <w:rPr>
          <w:rFonts w:hint="eastAsia" w:ascii="宋体" w:eastAsia="宋体"/>
          <w:color w:val="000000" w:themeColor="text1"/>
          <w:sz w:val="22"/>
          <w:szCs w:val="22"/>
          <w14:textFill>
            <w14:solidFill>
              <w14:schemeClr w14:val="tx1"/>
            </w14:solidFill>
          </w14:textFill>
        </w:rPr>
        <w:t>招标人</w:t>
      </w:r>
      <w:r>
        <w:rPr>
          <w:rFonts w:ascii="宋体" w:eastAsia="宋体"/>
          <w:color w:val="000000" w:themeColor="text1"/>
          <w:sz w:val="22"/>
          <w:szCs w:val="22"/>
          <w14:textFill>
            <w14:solidFill>
              <w14:schemeClr w14:val="tx1"/>
            </w14:solidFill>
          </w14:textFill>
        </w:rPr>
        <w:t>将酌情延长提交投标文件的截止时间，具体时间将在招标文件的修改、补充通知中予以明确。</w:t>
      </w:r>
    </w:p>
    <w:p>
      <w:pPr>
        <w:pStyle w:val="69"/>
        <w:numPr>
          <w:ilvl w:val="0"/>
          <w:numId w:val="14"/>
        </w:numPr>
        <w:spacing w:line="360" w:lineRule="auto"/>
        <w:ind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招标文件的修改、补充通知将在《投标人须知前附表》规定的媒体公告上公布，请各投标人密切留意。</w:t>
      </w:r>
    </w:p>
    <w:p>
      <w:pPr>
        <w:pStyle w:val="4"/>
        <w:tabs>
          <w:tab w:val="left" w:pos="142"/>
          <w:tab w:val="clear" w:pos="1440"/>
        </w:tabs>
        <w:ind w:left="0" w:firstLine="0"/>
        <w:rPr>
          <w:rFonts w:ascii="宋体" w:hAnsi="宋体" w:eastAsia="宋体"/>
          <w:color w:val="000000" w:themeColor="text1"/>
          <w:sz w:val="22"/>
          <w:szCs w:val="22"/>
          <w:lang w:val="zh-CN"/>
          <w14:textFill>
            <w14:solidFill>
              <w14:schemeClr w14:val="tx1"/>
            </w14:solidFill>
          </w14:textFill>
        </w:rPr>
      </w:pPr>
      <w:bookmarkStart w:id="64" w:name="_Toc19828"/>
      <w:bookmarkStart w:id="65" w:name="_Toc441844063"/>
      <w:bookmarkStart w:id="66" w:name="_Toc93505749"/>
      <w:r>
        <w:rPr>
          <w:rFonts w:ascii="宋体" w:hAnsi="宋体" w:eastAsia="宋体"/>
          <w:color w:val="000000" w:themeColor="text1"/>
          <w:sz w:val="22"/>
          <w:szCs w:val="22"/>
          <w:lang w:val="zh-CN"/>
          <w14:textFill>
            <w14:solidFill>
              <w14:schemeClr w14:val="tx1"/>
            </w14:solidFill>
          </w14:textFill>
        </w:rPr>
        <w:t>（三）投标文件编制</w:t>
      </w:r>
      <w:bookmarkEnd w:id="64"/>
      <w:bookmarkEnd w:id="65"/>
      <w:bookmarkEnd w:id="66"/>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67" w:name="_Toc17133"/>
      <w:bookmarkStart w:id="68" w:name="_Toc441844064"/>
      <w:bookmarkStart w:id="69" w:name="_Toc93505750"/>
      <w:r>
        <w:rPr>
          <w:rFonts w:ascii="宋体" w:hAnsi="宋体"/>
          <w:b/>
          <w:bCs/>
          <w:color w:val="000000" w:themeColor="text1"/>
          <w:sz w:val="22"/>
          <w:szCs w:val="22"/>
          <w14:textFill>
            <w14:solidFill>
              <w14:schemeClr w14:val="tx1"/>
            </w14:solidFill>
          </w14:textFill>
        </w:rPr>
        <w:t>投标文件的语言及度量衡单位</w:t>
      </w:r>
      <w:bookmarkEnd w:id="67"/>
      <w:bookmarkEnd w:id="68"/>
      <w:bookmarkEnd w:id="69"/>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投标人提交的投标文件以及投标人与</w:t>
      </w:r>
      <w:r>
        <w:rPr>
          <w:rFonts w:hint="eastAsia" w:ascii="宋体" w:eastAsia="宋体"/>
          <w:color w:val="000000" w:themeColor="text1"/>
          <w:sz w:val="22"/>
          <w:szCs w:val="22"/>
          <w14:textFill>
            <w14:solidFill>
              <w14:schemeClr w14:val="tx1"/>
            </w14:solidFill>
          </w14:textFill>
        </w:rPr>
        <w:t>招标人</w:t>
      </w:r>
      <w:r>
        <w:rPr>
          <w:rFonts w:ascii="宋体" w:eastAsia="宋体"/>
          <w:color w:val="000000" w:themeColor="text1"/>
          <w:sz w:val="22"/>
          <w:szCs w:val="22"/>
          <w14:textFill>
            <w14:solidFill>
              <w14:schemeClr w14:val="tx1"/>
            </w14:solidFill>
          </w14:textFill>
        </w:rPr>
        <w:t>就有关投标的所有来往函件均应使用简体中文书写。对于任何非中文的资料，都应提供简体中文翻译本，有矛盾时以简体中文翻译本为准。对中文翻译有异议的，以权威机构的译本为准。</w:t>
      </w:r>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在投标文件中以及所有投标人与</w:t>
      </w:r>
      <w:r>
        <w:rPr>
          <w:rFonts w:hint="eastAsia" w:ascii="宋体" w:eastAsia="宋体"/>
          <w:color w:val="000000" w:themeColor="text1"/>
          <w:sz w:val="22"/>
          <w:szCs w:val="22"/>
          <w14:textFill>
            <w14:solidFill>
              <w14:schemeClr w14:val="tx1"/>
            </w14:solidFill>
          </w14:textFill>
        </w:rPr>
        <w:t>招标</w:t>
      </w:r>
      <w:r>
        <w:rPr>
          <w:rFonts w:ascii="宋体" w:eastAsia="宋体"/>
          <w:color w:val="000000" w:themeColor="text1"/>
          <w:sz w:val="22"/>
          <w:szCs w:val="22"/>
          <w14:textFill>
            <w14:solidFill>
              <w14:schemeClr w14:val="tx1"/>
            </w14:solidFill>
          </w14:textFill>
        </w:rPr>
        <w:t>人往来文件中的所有计量单位和规格都应按国家有关规定使用公制标准。</w:t>
      </w:r>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招标文件中，如标有“★”的条款均为必须完全满足指标，投标人须进行实质性响应，投标人若有一项带“★”的条款未响应或不满足，将按无效投标处理。</w:t>
      </w:r>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招标文件中，如标有“▲”的条款均为评审的重要评分指标，投标人若有部分“▲”条款未响应或不满足，将导致其响应性评审严重扣分。</w:t>
      </w:r>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投标文件按规定加盖的投标人公章必须为企业法人公章，且与投标人名称一致，不能以其它业务章或附属机构章代替。需签名之处必须由当事人（投标人的法定代表人或授权委托人）签字或盖私章。</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70" w:name="_Toc93505751"/>
      <w:bookmarkStart w:id="71" w:name="_Toc441844065"/>
      <w:bookmarkStart w:id="72" w:name="_Toc4994"/>
      <w:r>
        <w:rPr>
          <w:rFonts w:ascii="宋体" w:hAnsi="宋体"/>
          <w:b/>
          <w:bCs/>
          <w:color w:val="000000" w:themeColor="text1"/>
          <w:sz w:val="22"/>
          <w:szCs w:val="22"/>
          <w14:textFill>
            <w14:solidFill>
              <w14:schemeClr w14:val="tx1"/>
            </w14:solidFill>
          </w14:textFill>
        </w:rPr>
        <w:t>投标文件构成</w:t>
      </w:r>
      <w:bookmarkEnd w:id="70"/>
      <w:bookmarkEnd w:id="71"/>
      <w:bookmarkEnd w:id="72"/>
    </w:p>
    <w:p>
      <w:pPr>
        <w:pStyle w:val="68"/>
        <w:numPr>
          <w:ilvl w:val="0"/>
          <w:numId w:val="16"/>
        </w:numPr>
        <w:tabs>
          <w:tab w:val="left" w:pos="567"/>
        </w:tabs>
        <w:spacing w:line="360" w:lineRule="auto"/>
        <w:ind w:left="426" w:hanging="426" w:firstLineChars="0"/>
        <w:rPr>
          <w:color w:val="000000" w:themeColor="text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投标人编写的投标文件应包括下列部分：</w:t>
      </w:r>
    </w:p>
    <w:p>
      <w:pPr>
        <w:spacing w:line="360" w:lineRule="auto"/>
        <w:ind w:left="54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w:t>
      </w:r>
      <w:r>
        <w:rPr>
          <w:rFonts w:ascii="宋体" w:hAnsi="宋体"/>
          <w:b/>
          <w:bCs/>
          <w:color w:val="000000" w:themeColor="text1"/>
          <w:sz w:val="22"/>
          <w:szCs w:val="22"/>
          <w14:textFill>
            <w14:solidFill>
              <w14:schemeClr w14:val="tx1"/>
            </w14:solidFill>
          </w14:textFill>
        </w:rPr>
        <w:t>、价格部分文件</w:t>
      </w:r>
    </w:p>
    <w:p>
      <w:pPr>
        <w:numPr>
          <w:ilvl w:val="0"/>
          <w:numId w:val="17"/>
        </w:numPr>
        <w:spacing w:line="360" w:lineRule="auto"/>
        <w:ind w:left="134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投标报价一览表</w:t>
      </w:r>
      <w:r>
        <w:rPr>
          <w:rFonts w:hint="eastAsia" w:ascii="宋体" w:hAnsi="宋体"/>
          <w:color w:val="000000" w:themeColor="text1"/>
          <w:sz w:val="22"/>
          <w:szCs w:val="22"/>
          <w14:textFill>
            <w14:solidFill>
              <w14:schemeClr w14:val="tx1"/>
            </w14:solidFill>
          </w14:textFill>
        </w:rPr>
        <w:t>；</w:t>
      </w:r>
    </w:p>
    <w:p>
      <w:pPr>
        <w:numPr>
          <w:ilvl w:val="0"/>
          <w:numId w:val="17"/>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电子文件</w:t>
      </w:r>
    </w:p>
    <w:p>
      <w:pPr>
        <w:spacing w:line="360" w:lineRule="auto"/>
        <w:ind w:left="540"/>
        <w:rPr>
          <w:rFonts w:ascii="宋体" w:hAnsi="宋体"/>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2</w:t>
      </w:r>
      <w:r>
        <w:rPr>
          <w:rFonts w:ascii="宋体" w:hAnsi="宋体"/>
          <w:b/>
          <w:bCs/>
          <w:color w:val="000000" w:themeColor="text1"/>
          <w:sz w:val="22"/>
          <w:szCs w:val="22"/>
          <w14:textFill>
            <w14:solidFill>
              <w14:schemeClr w14:val="tx1"/>
            </w14:solidFill>
          </w14:textFill>
        </w:rPr>
        <w:t>、商务、技术部分文件</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投标函；</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承诺书；</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法定代表人身份证明书</w:t>
      </w:r>
      <w:r>
        <w:rPr>
          <w:rFonts w:hint="eastAsia" w:ascii="宋体" w:hAnsi="宋体"/>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法定代表人授权委托书；</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资格文件声明函</w:t>
      </w:r>
      <w:r>
        <w:rPr>
          <w:rFonts w:hint="eastAsia" w:ascii="宋体" w:hAnsi="宋体"/>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投标单位基本情况</w:t>
      </w:r>
      <w:r>
        <w:rPr>
          <w:rFonts w:hint="eastAsia" w:ascii="宋体" w:hAnsi="宋体"/>
          <w:color w:val="000000" w:themeColor="text1"/>
          <w:sz w:val="22"/>
          <w:szCs w:val="22"/>
          <w14:textFill>
            <w14:solidFill>
              <w14:schemeClr w14:val="tx1"/>
            </w14:solidFill>
          </w14:textFill>
        </w:rPr>
        <w:t>、简介；</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hAnsi="宋体"/>
          <w:color w:val="000000" w:themeColor="text1"/>
          <w:sz w:val="22"/>
          <w:szCs w:val="22"/>
          <w14:textFill>
            <w14:solidFill>
              <w14:schemeClr w14:val="tx1"/>
            </w14:solidFill>
          </w14:textFill>
        </w:rPr>
        <w:t>投标人资格证明文件：</w:t>
      </w:r>
    </w:p>
    <w:p>
      <w:pPr>
        <w:pStyle w:val="73"/>
        <w:numPr>
          <w:ilvl w:val="0"/>
          <w:numId w:val="19"/>
        </w:numPr>
        <w:spacing w:line="360" w:lineRule="auto"/>
        <w:ind w:left="1418" w:hanging="425"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多证</w:t>
      </w:r>
      <w:r>
        <w:rPr>
          <w:rFonts w:ascii="宋体" w:eastAsia="宋体"/>
          <w:color w:val="000000" w:themeColor="text1"/>
          <w:sz w:val="22"/>
          <w:szCs w:val="22"/>
          <w14:textFill>
            <w14:solidFill>
              <w14:schemeClr w14:val="tx1"/>
            </w14:solidFill>
          </w14:textFill>
        </w:rPr>
        <w:t>合一营业执照</w:t>
      </w:r>
      <w:r>
        <w:rPr>
          <w:rFonts w:hint="eastAsia" w:ascii="宋体" w:eastAsia="宋体"/>
          <w:color w:val="000000" w:themeColor="text1"/>
          <w:sz w:val="22"/>
          <w:szCs w:val="22"/>
          <w14:textFill>
            <w14:solidFill>
              <w14:schemeClr w14:val="tx1"/>
            </w14:solidFill>
          </w14:textFill>
        </w:rPr>
        <w:t>的复印件（或事业单位法人证书）；</w:t>
      </w:r>
    </w:p>
    <w:p>
      <w:pPr>
        <w:pStyle w:val="73"/>
        <w:numPr>
          <w:ilvl w:val="0"/>
          <w:numId w:val="19"/>
        </w:numPr>
        <w:spacing w:line="360" w:lineRule="auto"/>
        <w:ind w:left="1418" w:hanging="425"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lang w:val="zh-CN"/>
          <w14:textFill>
            <w14:solidFill>
              <w14:schemeClr w14:val="tx1"/>
            </w14:solidFill>
          </w14:textFill>
        </w:rPr>
        <w:t>特殊资格要求</w:t>
      </w:r>
      <w:r>
        <w:rPr>
          <w:rFonts w:hint="eastAsia" w:ascii="宋体" w:eastAsia="宋体"/>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投标人承诺；</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业绩情况一览表；</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拟投入本项目的服务团队人员情况表格式</w:t>
      </w:r>
      <w:r>
        <w:rPr>
          <w:rFonts w:hint="eastAsia"/>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投标方案；</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用户需求</w:t>
      </w:r>
      <w:r>
        <w:rPr>
          <w:rFonts w:ascii="Times New Roman" w:hAnsi="Times New Roman"/>
          <w:color w:val="000000" w:themeColor="text1"/>
          <w:sz w:val="22"/>
          <w:szCs w:val="22"/>
          <w14:textFill>
            <w14:solidFill>
              <w14:schemeClr w14:val="tx1"/>
            </w14:solidFill>
          </w14:textFill>
        </w:rPr>
        <w:t>偏离表</w:t>
      </w:r>
      <w:r>
        <w:rPr>
          <w:rFonts w:hint="eastAsia" w:ascii="宋体" w:hAnsi="宋体"/>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hint="eastAsia" w:ascii="Times New Roman" w:hAnsi="Times New Roman"/>
          <w:color w:val="000000" w:themeColor="text1"/>
          <w:sz w:val="22"/>
          <w:szCs w:val="22"/>
          <w14:textFill>
            <w14:solidFill>
              <w14:schemeClr w14:val="tx1"/>
            </w14:solidFill>
          </w14:textFill>
        </w:rPr>
        <w:t>号条款响应表</w:t>
      </w:r>
      <w:r>
        <w:rPr>
          <w:rFonts w:hint="eastAsia" w:ascii="宋体" w:hAnsi="宋体"/>
          <w:color w:val="000000" w:themeColor="text1"/>
          <w:sz w:val="22"/>
          <w:szCs w:val="22"/>
          <w14:textFill>
            <w14:solidFill>
              <w14:schemeClr w14:val="tx1"/>
            </w14:solidFill>
          </w14:textFill>
        </w:rPr>
        <w:t>；</w:t>
      </w:r>
    </w:p>
    <w:p>
      <w:pPr>
        <w:numPr>
          <w:ilvl w:val="0"/>
          <w:numId w:val="18"/>
        </w:numPr>
        <w:tabs>
          <w:tab w:val="left" w:pos="1276"/>
          <w:tab w:val="left" w:pos="1418"/>
        </w:tabs>
        <w:spacing w:line="360" w:lineRule="auto"/>
        <w:ind w:left="851" w:firstLine="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合同条款偏离表；</w:t>
      </w:r>
    </w:p>
    <w:p>
      <w:pPr>
        <w:numPr>
          <w:ilvl w:val="0"/>
          <w:numId w:val="18"/>
        </w:numPr>
        <w:tabs>
          <w:tab w:val="left" w:pos="1276"/>
          <w:tab w:val="left" w:pos="1418"/>
        </w:tabs>
        <w:spacing w:line="360" w:lineRule="auto"/>
        <w:ind w:left="851" w:firstLine="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投标保证金汇入情况说明；</w:t>
      </w:r>
    </w:p>
    <w:p>
      <w:pPr>
        <w:numPr>
          <w:ilvl w:val="0"/>
          <w:numId w:val="18"/>
        </w:numPr>
        <w:tabs>
          <w:tab w:val="left" w:pos="1276"/>
          <w:tab w:val="left" w:pos="1418"/>
        </w:tabs>
        <w:spacing w:line="360" w:lineRule="auto"/>
        <w:ind w:left="851" w:firstLine="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中标服务费承诺书；</w:t>
      </w:r>
    </w:p>
    <w:p>
      <w:pPr>
        <w:numPr>
          <w:ilvl w:val="0"/>
          <w:numId w:val="18"/>
        </w:numPr>
        <w:tabs>
          <w:tab w:val="left" w:pos="1276"/>
          <w:tab w:val="left" w:pos="1418"/>
        </w:tabs>
        <w:spacing w:line="360" w:lineRule="auto"/>
        <w:ind w:left="851" w:firstLine="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投标人认为需加以说明的其他内容。</w:t>
      </w:r>
    </w:p>
    <w:p>
      <w:pPr>
        <w:pStyle w:val="68"/>
        <w:numPr>
          <w:ilvl w:val="0"/>
          <w:numId w:val="16"/>
        </w:numPr>
        <w:tabs>
          <w:tab w:val="left" w:pos="567"/>
        </w:tabs>
        <w:spacing w:line="360" w:lineRule="auto"/>
        <w:ind w:left="426" w:hanging="426" w:firstLineChars="0"/>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投标人应如实详细提供第</w:t>
      </w:r>
      <w:r>
        <w:rPr>
          <w:rFonts w:asciiTheme="minorEastAsia" w:hAnsiTheme="minorEastAsia" w:eastAsiaTheme="minorEastAsia"/>
          <w:b/>
          <w:bCs/>
          <w:color w:val="000000" w:themeColor="text1"/>
          <w:szCs w:val="21"/>
          <w14:textFill>
            <w14:solidFill>
              <w14:schemeClr w14:val="tx1"/>
            </w14:solidFill>
          </w14:textFill>
        </w:rPr>
        <w:t>11.1</w:t>
      </w:r>
      <w:r>
        <w:rPr>
          <w:rFonts w:hint="eastAsia" w:asciiTheme="minorEastAsia" w:hAnsiTheme="minorEastAsia" w:eastAsiaTheme="minorEastAsia"/>
          <w:b/>
          <w:bCs/>
          <w:color w:val="000000" w:themeColor="text1"/>
          <w:szCs w:val="21"/>
          <w14:textFill>
            <w14:solidFill>
              <w14:schemeClr w14:val="tx1"/>
            </w14:solidFill>
          </w14:textFill>
        </w:rPr>
        <w:t>款所要求的全部资料，价格部分文件必须单独装订。商务、技术部分文件不能出现投标价格，且</w:t>
      </w:r>
      <w:r>
        <w:rPr>
          <w:rFonts w:asciiTheme="minorEastAsia" w:hAnsiTheme="minorEastAsia" w:eastAsiaTheme="minorEastAsia"/>
          <w:b/>
          <w:bCs/>
          <w:color w:val="000000" w:themeColor="text1"/>
          <w:szCs w:val="21"/>
          <w14:textFill>
            <w14:solidFill>
              <w14:schemeClr w14:val="tx1"/>
            </w14:solidFill>
          </w14:textFill>
        </w:rPr>
        <w:t>必须编制目录及注明页码。</w:t>
      </w:r>
    </w:p>
    <w:p>
      <w:pPr>
        <w:pStyle w:val="68"/>
        <w:numPr>
          <w:ilvl w:val="0"/>
          <w:numId w:val="16"/>
        </w:numPr>
        <w:tabs>
          <w:tab w:val="left" w:pos="567"/>
        </w:tabs>
        <w:spacing w:line="360" w:lineRule="auto"/>
        <w:ind w:left="426" w:hanging="426" w:firstLineChars="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投标人编制投标文件必须包括但不限于上述内容。</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73" w:name="_Toc93505752"/>
      <w:bookmarkStart w:id="74" w:name="_Toc31861"/>
      <w:bookmarkStart w:id="75" w:name="_Toc441844066"/>
      <w:r>
        <w:rPr>
          <w:rFonts w:ascii="宋体" w:hAnsi="宋体"/>
          <w:b/>
          <w:bCs/>
          <w:color w:val="000000" w:themeColor="text1"/>
          <w:sz w:val="22"/>
          <w:szCs w:val="22"/>
          <w14:textFill>
            <w14:solidFill>
              <w14:schemeClr w14:val="tx1"/>
            </w14:solidFill>
          </w14:textFill>
        </w:rPr>
        <w:t>投标文件格式</w:t>
      </w:r>
      <w:bookmarkEnd w:id="73"/>
      <w:bookmarkEnd w:id="74"/>
      <w:bookmarkEnd w:id="75"/>
    </w:p>
    <w:p>
      <w:pPr>
        <w:pStyle w:val="69"/>
        <w:numPr>
          <w:ilvl w:val="0"/>
          <w:numId w:val="20"/>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投标人提交的投标文件应当使用招标文件所提供的投标文件全部格式（表格可以按同样格式扩展）。</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76" w:name="_Toc10361"/>
      <w:bookmarkStart w:id="77" w:name="_Toc93505753"/>
      <w:bookmarkStart w:id="78" w:name="_Toc441844067"/>
      <w:r>
        <w:rPr>
          <w:rFonts w:ascii="宋体" w:hAnsi="宋体"/>
          <w:b/>
          <w:bCs/>
          <w:color w:val="000000" w:themeColor="text1"/>
          <w:sz w:val="22"/>
          <w:szCs w:val="22"/>
          <w14:textFill>
            <w14:solidFill>
              <w14:schemeClr w14:val="tx1"/>
            </w14:solidFill>
          </w14:textFill>
        </w:rPr>
        <w:t>投标文件的份数和签署</w:t>
      </w:r>
      <w:bookmarkEnd w:id="76"/>
      <w:bookmarkEnd w:id="77"/>
      <w:bookmarkEnd w:id="78"/>
    </w:p>
    <w:p>
      <w:pPr>
        <w:pStyle w:val="69"/>
        <w:numPr>
          <w:ilvl w:val="0"/>
          <w:numId w:val="21"/>
        </w:numPr>
        <w:spacing w:line="360" w:lineRule="auto"/>
        <w:ind w:left="567" w:hanging="567" w:firstLineChars="0"/>
        <w:rPr>
          <w:rFonts w:asciiTheme="minorEastAsia" w:hAnsiTheme="minorEastAsia" w:eastAsiaTheme="minorEastAsia"/>
          <w:b/>
          <w:color w:val="000000" w:themeColor="text1"/>
          <w:kern w:val="0"/>
          <w:sz w:val="21"/>
          <w:szCs w:val="21"/>
          <w:lang w:val="zh-CN"/>
          <w14:textFill>
            <w14:solidFill>
              <w14:schemeClr w14:val="tx1"/>
            </w14:solidFill>
          </w14:textFill>
        </w:rPr>
      </w:pPr>
      <w:r>
        <w:rPr>
          <w:rFonts w:asciiTheme="minorEastAsia" w:hAnsiTheme="minorEastAsia" w:eastAsiaTheme="minorEastAsia"/>
          <w:b/>
          <w:color w:val="000000" w:themeColor="text1"/>
          <w:kern w:val="0"/>
          <w:sz w:val="21"/>
          <w:szCs w:val="21"/>
          <w:lang w:val="zh-CN"/>
          <w14:textFill>
            <w14:solidFill>
              <w14:schemeClr w14:val="tx1"/>
            </w14:solidFill>
          </w14:textFill>
        </w:rPr>
        <w:t>投标人应分包组提交</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hint="eastAsia" w:asciiTheme="minorEastAsia" w:hAnsiTheme="minorEastAsia" w:eastAsiaTheme="minorEastAsia"/>
          <w:b/>
          <w:color w:val="000000" w:themeColor="text1"/>
          <w:kern w:val="0"/>
          <w:sz w:val="21"/>
          <w:szCs w:val="21"/>
          <w:u w:val="single"/>
          <w14:textFill>
            <w14:solidFill>
              <w14:schemeClr w14:val="tx1"/>
            </w14:solidFill>
          </w14:textFill>
        </w:rPr>
        <w:t>1</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asciiTheme="minorEastAsia" w:hAnsiTheme="minorEastAsia" w:eastAsiaTheme="minorEastAsia"/>
          <w:b/>
          <w:color w:val="000000" w:themeColor="text1"/>
          <w:kern w:val="0"/>
          <w:sz w:val="21"/>
          <w:szCs w:val="21"/>
          <w:lang w:val="zh-CN"/>
          <w14:textFill>
            <w14:solidFill>
              <w14:schemeClr w14:val="tx1"/>
            </w14:solidFill>
          </w14:textFill>
        </w:rPr>
        <w:t xml:space="preserve">套正本（包括价格部分文件、商务部分文件和技术部分文件，商务与技术可装订成册也可分开装订）、 </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hint="eastAsia" w:asciiTheme="minorEastAsia" w:hAnsiTheme="minorEastAsia" w:eastAsiaTheme="minorEastAsia"/>
          <w:b/>
          <w:color w:val="000000" w:themeColor="text1"/>
          <w:kern w:val="0"/>
          <w:sz w:val="21"/>
          <w:szCs w:val="21"/>
          <w:u w:val="single"/>
          <w14:textFill>
            <w14:solidFill>
              <w14:schemeClr w14:val="tx1"/>
            </w14:solidFill>
          </w14:textFill>
        </w:rPr>
        <w:t>2</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asciiTheme="minorEastAsia" w:hAnsiTheme="minorEastAsia" w:eastAsiaTheme="minorEastAsia"/>
          <w:b/>
          <w:color w:val="000000" w:themeColor="text1"/>
          <w:kern w:val="0"/>
          <w:sz w:val="21"/>
          <w:szCs w:val="21"/>
          <w:lang w:val="zh-CN"/>
          <w14:textFill>
            <w14:solidFill>
              <w14:schemeClr w14:val="tx1"/>
            </w14:solidFill>
          </w14:textFill>
        </w:rPr>
        <w:t>套副本（包括价格部分文件、商务部分文件和技术部分文件）及投标文件电子版 1份，限光盘或U盘，不留密码，无病毒，内容应与投标人打印产生的纸质投标文件内容一致，如有不同，以纸质投标文件为准。</w:t>
      </w:r>
    </w:p>
    <w:p>
      <w:pPr>
        <w:pStyle w:val="69"/>
        <w:numPr>
          <w:ilvl w:val="0"/>
          <w:numId w:val="21"/>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投标文件正本均须用不褪色墨水书写或打印，投标文件副本的所有资料都可以用投标文件的正本复印，并应在投标文件封面的右上角清楚地注明“正本”或“副本”。正本和副本如有不一致之处，以正本为准。</w:t>
      </w:r>
    </w:p>
    <w:p>
      <w:pPr>
        <w:pStyle w:val="69"/>
        <w:numPr>
          <w:ilvl w:val="0"/>
          <w:numId w:val="21"/>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投标文件正本主要内容（招标文件格式中要求法</w:t>
      </w:r>
      <w:r>
        <w:rPr>
          <w:rFonts w:hint="eastAsia" w:ascii="宋体" w:eastAsia="宋体"/>
          <w:color w:val="000000" w:themeColor="text1"/>
          <w:sz w:val="22"/>
          <w:szCs w:val="22"/>
          <w14:textFill>
            <w14:solidFill>
              <w14:schemeClr w14:val="tx1"/>
            </w14:solidFill>
          </w14:textFill>
        </w:rPr>
        <w:t>定</w:t>
      </w:r>
      <w:r>
        <w:rPr>
          <w:rFonts w:ascii="宋体" w:eastAsia="宋体"/>
          <w:color w:val="000000" w:themeColor="text1"/>
          <w:sz w:val="22"/>
          <w:szCs w:val="22"/>
          <w14:textFill>
            <w14:solidFill>
              <w14:schemeClr w14:val="tx1"/>
            </w14:solidFill>
          </w14:textFill>
        </w:rPr>
        <w:t>代表</w:t>
      </w:r>
      <w:r>
        <w:rPr>
          <w:rFonts w:hint="eastAsia" w:ascii="宋体" w:eastAsia="宋体"/>
          <w:color w:val="000000" w:themeColor="text1"/>
          <w:sz w:val="22"/>
          <w:szCs w:val="22"/>
          <w14:textFill>
            <w14:solidFill>
              <w14:schemeClr w14:val="tx1"/>
            </w14:solidFill>
          </w14:textFill>
        </w:rPr>
        <w:t>人</w:t>
      </w:r>
      <w:r>
        <w:rPr>
          <w:rFonts w:ascii="宋体" w:eastAsia="宋体"/>
          <w:color w:val="000000" w:themeColor="text1"/>
          <w:sz w:val="22"/>
          <w:szCs w:val="22"/>
          <w14:textFill>
            <w14:solidFill>
              <w14:schemeClr w14:val="tx1"/>
            </w14:solidFill>
          </w14:textFill>
        </w:rPr>
        <w:t>或授权委托人签字的内容和</w:t>
      </w:r>
      <w:r>
        <w:rPr>
          <w:rFonts w:hint="eastAsia" w:ascii="宋体" w:eastAsia="宋体"/>
          <w:color w:val="000000" w:themeColor="text1"/>
          <w:sz w:val="22"/>
          <w:szCs w:val="22"/>
          <w14:textFill>
            <w14:solidFill>
              <w14:schemeClr w14:val="tx1"/>
            </w14:solidFill>
          </w14:textFill>
        </w:rPr>
        <w:t>要求</w:t>
      </w:r>
      <w:r>
        <w:rPr>
          <w:rFonts w:ascii="宋体" w:eastAsia="宋体"/>
          <w:color w:val="000000" w:themeColor="text1"/>
          <w:sz w:val="22"/>
          <w:szCs w:val="22"/>
          <w14:textFill>
            <w14:solidFill>
              <w14:schemeClr w14:val="tx1"/>
            </w14:solidFill>
          </w14:textFill>
        </w:rPr>
        <w:t>加盖投标单位公章</w:t>
      </w:r>
      <w:r>
        <w:rPr>
          <w:rFonts w:hint="eastAsia" w:ascii="宋体" w:eastAsia="宋体"/>
          <w:color w:val="000000" w:themeColor="text1"/>
          <w:sz w:val="22"/>
          <w:szCs w:val="22"/>
          <w14:textFill>
            <w14:solidFill>
              <w14:schemeClr w14:val="tx1"/>
            </w14:solidFill>
          </w14:textFill>
        </w:rPr>
        <w:t>的内容</w:t>
      </w:r>
      <w:r>
        <w:rPr>
          <w:rFonts w:ascii="宋体" w:eastAsia="宋体"/>
          <w:color w:val="000000" w:themeColor="text1"/>
          <w:sz w:val="22"/>
          <w:szCs w:val="22"/>
          <w14:textFill>
            <w14:solidFill>
              <w14:schemeClr w14:val="tx1"/>
            </w14:solidFill>
          </w14:textFill>
        </w:rPr>
        <w:t>）应由投标单位的法</w:t>
      </w:r>
      <w:r>
        <w:rPr>
          <w:rFonts w:hint="eastAsia" w:ascii="宋体" w:eastAsia="宋体"/>
          <w:color w:val="000000" w:themeColor="text1"/>
          <w:sz w:val="22"/>
          <w:szCs w:val="22"/>
          <w14:textFill>
            <w14:solidFill>
              <w14:schemeClr w14:val="tx1"/>
            </w14:solidFill>
          </w14:textFill>
        </w:rPr>
        <w:t>定</w:t>
      </w:r>
      <w:r>
        <w:rPr>
          <w:rFonts w:ascii="宋体" w:eastAsia="宋体"/>
          <w:color w:val="000000" w:themeColor="text1"/>
          <w:sz w:val="22"/>
          <w:szCs w:val="22"/>
          <w14:textFill>
            <w14:solidFill>
              <w14:schemeClr w14:val="tx1"/>
            </w14:solidFill>
          </w14:textFill>
        </w:rPr>
        <w:t>代表</w:t>
      </w:r>
      <w:r>
        <w:rPr>
          <w:rFonts w:hint="eastAsia" w:ascii="宋体" w:eastAsia="宋体"/>
          <w:color w:val="000000" w:themeColor="text1"/>
          <w:sz w:val="22"/>
          <w:szCs w:val="22"/>
          <w14:textFill>
            <w14:solidFill>
              <w14:schemeClr w14:val="tx1"/>
            </w14:solidFill>
          </w14:textFill>
        </w:rPr>
        <w:t>人</w:t>
      </w:r>
      <w:r>
        <w:rPr>
          <w:rFonts w:ascii="宋体" w:eastAsia="宋体"/>
          <w:color w:val="000000" w:themeColor="text1"/>
          <w:sz w:val="22"/>
          <w:szCs w:val="22"/>
          <w14:textFill>
            <w14:solidFill>
              <w14:schemeClr w14:val="tx1"/>
            </w14:solidFill>
          </w14:textFill>
        </w:rPr>
        <w:t>或授权委托人签字</w:t>
      </w:r>
      <w:r>
        <w:rPr>
          <w:rFonts w:hint="eastAsia" w:ascii="宋体" w:eastAsia="宋体"/>
          <w:color w:val="000000" w:themeColor="text1"/>
          <w:sz w:val="22"/>
          <w:szCs w:val="22"/>
          <w14:textFill>
            <w14:solidFill>
              <w14:schemeClr w14:val="tx1"/>
            </w14:solidFill>
          </w14:textFill>
        </w:rPr>
        <w:t>（或盖私章）</w:t>
      </w:r>
      <w:r>
        <w:rPr>
          <w:rFonts w:ascii="宋体" w:eastAsia="宋体"/>
          <w:color w:val="000000" w:themeColor="text1"/>
          <w:sz w:val="22"/>
          <w:szCs w:val="22"/>
          <w14:textFill>
            <w14:solidFill>
              <w14:schemeClr w14:val="tx1"/>
            </w14:solidFill>
          </w14:textFill>
        </w:rPr>
        <w:t>和加盖投标</w:t>
      </w:r>
      <w:r>
        <w:rPr>
          <w:rFonts w:hint="eastAsia" w:ascii="宋体" w:eastAsia="宋体"/>
          <w:color w:val="000000" w:themeColor="text1"/>
          <w:sz w:val="22"/>
          <w:szCs w:val="22"/>
          <w14:textFill>
            <w14:solidFill>
              <w14:schemeClr w14:val="tx1"/>
            </w14:solidFill>
          </w14:textFill>
        </w:rPr>
        <w:t>人</w:t>
      </w:r>
      <w:r>
        <w:rPr>
          <w:rFonts w:ascii="宋体" w:eastAsia="宋体"/>
          <w:color w:val="000000" w:themeColor="text1"/>
          <w:sz w:val="22"/>
          <w:szCs w:val="22"/>
          <w14:textFill>
            <w14:solidFill>
              <w14:schemeClr w14:val="tx1"/>
            </w14:solidFill>
          </w14:textFill>
        </w:rPr>
        <w:t>公章，否则该投标文件将被视为无效文件。</w:t>
      </w:r>
    </w:p>
    <w:p>
      <w:pPr>
        <w:pStyle w:val="69"/>
        <w:numPr>
          <w:ilvl w:val="0"/>
          <w:numId w:val="21"/>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除投标人对错误处修改外，全套投标文件应无涂改或行间插字和增删。如有修改，修改处应由投标人加盖投标人的公章或由授权委托人签字。</w:t>
      </w:r>
    </w:p>
    <w:p>
      <w:pPr>
        <w:pStyle w:val="69"/>
        <w:numPr>
          <w:ilvl w:val="0"/>
          <w:numId w:val="21"/>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传真或电传的投标文件将被拒绝。</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79" w:name="_Toc93505754"/>
      <w:bookmarkStart w:id="80" w:name="_Toc19206"/>
      <w:bookmarkStart w:id="81" w:name="_Toc441844068"/>
      <w:r>
        <w:rPr>
          <w:rFonts w:ascii="宋体" w:hAnsi="宋体"/>
          <w:b/>
          <w:bCs/>
          <w:color w:val="000000" w:themeColor="text1"/>
          <w:sz w:val="22"/>
          <w:szCs w:val="22"/>
          <w14:textFill>
            <w14:solidFill>
              <w14:schemeClr w14:val="tx1"/>
            </w14:solidFill>
          </w14:textFill>
        </w:rPr>
        <w:t>投标报价和货币</w:t>
      </w:r>
      <w:bookmarkEnd w:id="79"/>
      <w:bookmarkEnd w:id="80"/>
      <w:bookmarkEnd w:id="81"/>
    </w:p>
    <w:p>
      <w:pPr>
        <w:pStyle w:val="113"/>
        <w:numPr>
          <w:ilvl w:val="0"/>
          <w:numId w:val="22"/>
        </w:numPr>
        <w:spacing w:line="360" w:lineRule="auto"/>
        <w:ind w:left="567" w:hanging="567" w:firstLineChars="0"/>
        <w:rPr>
          <w:rFonts w:cs="宋体" w:asciiTheme="minorEastAsia" w:hAnsiTheme="minorEastAsia" w:eastAsiaTheme="minorEastAsia"/>
          <w:color w:val="000000" w:themeColor="text1"/>
          <w:szCs w:val="21"/>
          <w:lang w:val="zh-CN"/>
          <w14:textFill>
            <w14:solidFill>
              <w14:schemeClr w14:val="tx1"/>
            </w14:solidFill>
          </w14:textFill>
        </w:rPr>
      </w:pPr>
      <w:r>
        <w:rPr>
          <w:rFonts w:hint="eastAsia" w:cs="宋体" w:asciiTheme="minorEastAsia" w:hAnsiTheme="minorEastAsia" w:eastAsiaTheme="minorEastAsia"/>
          <w:color w:val="000000" w:themeColor="text1"/>
          <w:szCs w:val="21"/>
          <w:lang w:val="zh-CN"/>
          <w14:textFill>
            <w14:solidFill>
              <w14:schemeClr w14:val="tx1"/>
            </w14:solidFill>
          </w14:textFill>
        </w:rPr>
        <w:t>投标人应按招标文件第二章中</w:t>
      </w:r>
      <w:r>
        <w:rPr>
          <w:rFonts w:hint="eastAsia" w:cs="宋体" w:asciiTheme="minorEastAsia" w:hAnsiTheme="minorEastAsia" w:eastAsiaTheme="minorEastAsia"/>
          <w:b/>
          <w:bCs/>
          <w:color w:val="000000" w:themeColor="text1"/>
          <w:szCs w:val="21"/>
          <w:u w:val="single"/>
          <w:lang w:val="zh-CN"/>
          <w14:textFill>
            <w14:solidFill>
              <w14:schemeClr w14:val="tx1"/>
            </w14:solidFill>
          </w14:textFill>
        </w:rPr>
        <w:t>投标人须知前附表</w:t>
      </w:r>
      <w:r>
        <w:rPr>
          <w:rFonts w:hint="eastAsia" w:cs="宋体" w:asciiTheme="minorEastAsia" w:hAnsiTheme="minorEastAsia" w:eastAsiaTheme="minorEastAsia"/>
          <w:color w:val="000000" w:themeColor="text1"/>
          <w:szCs w:val="21"/>
          <w:lang w:val="zh-CN"/>
          <w14:textFill>
            <w14:solidFill>
              <w14:schemeClr w14:val="tx1"/>
            </w14:solidFill>
          </w14:textFill>
        </w:rPr>
        <w:t>规定的报价要求报价。</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投标人必须以人民币报价，以其它货币标价的投标将予以拒绝。</w:t>
      </w:r>
      <w:r>
        <w:rPr>
          <w:rFonts w:hint="eastAsia" w:ascii="宋体" w:hAnsi="宋体"/>
          <w:color w:val="000000" w:themeColor="text1"/>
          <w:sz w:val="22"/>
          <w:szCs w:val="22"/>
          <w:lang w:val="zh-CN"/>
          <w14:textFill>
            <w14:solidFill>
              <w14:schemeClr w14:val="tx1"/>
            </w14:solidFill>
          </w14:textFill>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投标人所报的投标价在合同执行期间是固定不变的，不得以任何理由予以变更。投标价</w:t>
      </w:r>
      <w:r>
        <w:rPr>
          <w:rFonts w:ascii="宋体" w:hAnsi="宋体"/>
          <w:color w:val="000000" w:themeColor="text1"/>
          <w:sz w:val="22"/>
          <w:szCs w:val="22"/>
          <w:lang w:val="zh-CN"/>
          <w14:textFill>
            <w14:solidFill>
              <w14:schemeClr w14:val="tx1"/>
            </w14:solidFill>
          </w14:textFill>
        </w:rPr>
        <w:t>不是唯一的或不是固定不变</w:t>
      </w:r>
      <w:r>
        <w:rPr>
          <w:rFonts w:ascii="宋体" w:hAnsi="宋体"/>
          <w:color w:val="000000" w:themeColor="text1"/>
          <w:sz w:val="22"/>
          <w:szCs w:val="22"/>
          <w14:textFill>
            <w14:solidFill>
              <w14:schemeClr w14:val="tx1"/>
            </w14:solidFill>
          </w14:textFill>
        </w:rPr>
        <w:t>的投标文件将作为非实质性响应投标而予以拒绝。</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国产的产品及其有关服务的报价应包括要向中华人民共和国政府缴纳的增值税和其他税。</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在中华人民共和国境内提供的进口产品及其有关服务</w:t>
      </w:r>
      <w:r>
        <w:rPr>
          <w:rFonts w:hint="eastAsia" w:ascii="宋体" w:hAnsi="宋体"/>
          <w:color w:val="000000" w:themeColor="text1"/>
          <w:sz w:val="22"/>
          <w:szCs w:val="22"/>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的报价应包括要向中华人民共和国政府缴纳的关税、增值税和其他税。</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如果投标人对于招标文件或答疑文件中为满足技术要求中所提供的货物或服务有未报价或漏报、错报、缺报等情况，可以视其为投标人予以</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人的投标优惠报价，中标后不予调整。如果投标人不接受对其错误的更正，其投标将被拒绝。</w:t>
      </w:r>
    </w:p>
    <w:p>
      <w:pPr>
        <w:pStyle w:val="68"/>
        <w:numPr>
          <w:ilvl w:val="0"/>
          <w:numId w:val="4"/>
        </w:numPr>
        <w:spacing w:line="360" w:lineRule="auto"/>
        <w:ind w:left="0" w:firstLine="0" w:firstLineChars="0"/>
        <w:outlineLvl w:val="2"/>
        <w:rPr>
          <w:rFonts w:ascii="宋体" w:hAnsi="宋体"/>
          <w:b/>
          <w:color w:val="000000" w:themeColor="text1"/>
          <w:sz w:val="22"/>
          <w:szCs w:val="22"/>
          <w14:textFill>
            <w14:solidFill>
              <w14:schemeClr w14:val="tx1"/>
            </w14:solidFill>
          </w14:textFill>
        </w:rPr>
      </w:pPr>
      <w:bookmarkStart w:id="82" w:name="_Toc46502756"/>
      <w:bookmarkEnd w:id="82"/>
      <w:bookmarkStart w:id="83" w:name="_Toc46502753"/>
      <w:bookmarkEnd w:id="83"/>
      <w:bookmarkStart w:id="84" w:name="_Toc46502754"/>
      <w:bookmarkEnd w:id="84"/>
      <w:bookmarkStart w:id="85" w:name="_Toc521019318"/>
      <w:bookmarkEnd w:id="85"/>
      <w:bookmarkStart w:id="86" w:name="_Toc46502755"/>
      <w:bookmarkEnd w:id="86"/>
      <w:bookmarkStart w:id="87" w:name="_Toc46502757"/>
      <w:bookmarkEnd w:id="87"/>
      <w:bookmarkStart w:id="88" w:name="_Toc46502758"/>
      <w:bookmarkEnd w:id="88"/>
      <w:bookmarkStart w:id="89" w:name="_Toc7683"/>
      <w:bookmarkStart w:id="90" w:name="_Toc93505755"/>
      <w:bookmarkStart w:id="91" w:name="_Toc441844070"/>
      <w:r>
        <w:rPr>
          <w:rFonts w:ascii="宋体" w:hAnsi="宋体"/>
          <w:b/>
          <w:bCs/>
          <w:color w:val="000000" w:themeColor="text1"/>
          <w:sz w:val="22"/>
          <w:szCs w:val="22"/>
          <w14:textFill>
            <w14:solidFill>
              <w14:schemeClr w14:val="tx1"/>
            </w14:solidFill>
          </w14:textFill>
        </w:rPr>
        <w:t>证明</w:t>
      </w:r>
      <w:r>
        <w:rPr>
          <w:rFonts w:hint="eastAsia" w:ascii="宋体" w:hAnsi="宋体"/>
          <w:b/>
          <w:bCs/>
          <w:color w:val="000000" w:themeColor="text1"/>
          <w:sz w:val="22"/>
          <w:szCs w:val="22"/>
          <w14:textFill>
            <w14:solidFill>
              <w14:schemeClr w14:val="tx1"/>
            </w14:solidFill>
          </w14:textFill>
        </w:rPr>
        <w:t>货物和服务</w:t>
      </w:r>
      <w:r>
        <w:rPr>
          <w:rFonts w:ascii="宋体" w:hAnsi="宋体"/>
          <w:b/>
          <w:bCs/>
          <w:color w:val="000000" w:themeColor="text1"/>
          <w:sz w:val="22"/>
          <w:szCs w:val="22"/>
          <w14:textFill>
            <w14:solidFill>
              <w14:schemeClr w14:val="tx1"/>
            </w14:solidFill>
          </w14:textFill>
        </w:rPr>
        <w:t>的合格性和符合招标文件规定的文件</w:t>
      </w:r>
      <w:bookmarkEnd w:id="89"/>
      <w:bookmarkEnd w:id="90"/>
      <w:bookmarkEnd w:id="91"/>
    </w:p>
    <w:p>
      <w:pPr>
        <w:pStyle w:val="113"/>
        <w:numPr>
          <w:ilvl w:val="0"/>
          <w:numId w:val="23"/>
        </w:numPr>
        <w:spacing w:line="360" w:lineRule="auto"/>
        <w:ind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cs="Arial" w:asciiTheme="minorEastAsia" w:hAnsiTheme="minorEastAsia" w:eastAsiaTheme="minorEastAsia"/>
          <w:color w:val="000000" w:themeColor="text1"/>
          <w:szCs w:val="21"/>
          <w:lang w:val="zh-CN"/>
          <w14:textFill>
            <w14:solidFill>
              <w14:schemeClr w14:val="tx1"/>
            </w14:solidFill>
          </w14:textFill>
        </w:rPr>
        <w:t>投标人应提交证明文件证明其拟供的合同项下的货物和服务的合格性符合招标文件规定。该证明文件作为投标文件的一部分。</w:t>
      </w:r>
    </w:p>
    <w:p>
      <w:pPr>
        <w:pStyle w:val="113"/>
        <w:numPr>
          <w:ilvl w:val="0"/>
          <w:numId w:val="23"/>
        </w:numPr>
        <w:spacing w:line="360" w:lineRule="auto"/>
        <w:ind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hint="eastAsia" w:cs="Arial" w:asciiTheme="minorEastAsia" w:hAnsiTheme="minorEastAsia" w:eastAsiaTheme="minorEastAsia"/>
          <w:color w:val="000000" w:themeColor="text1"/>
          <w:szCs w:val="21"/>
          <w:lang w:val="zh-CN"/>
          <w14:textFill>
            <w14:solidFill>
              <w14:schemeClr w14:val="tx1"/>
            </w14:solidFill>
          </w14:textFill>
        </w:rPr>
        <w:t>证明货物和服务与招标文件的要求相一致的文件，可以是文字资料、图纸和数据。</w:t>
      </w:r>
    </w:p>
    <w:p>
      <w:pPr>
        <w:pStyle w:val="113"/>
        <w:numPr>
          <w:ilvl w:val="0"/>
          <w:numId w:val="23"/>
        </w:numPr>
        <w:spacing w:line="360" w:lineRule="auto"/>
        <w:ind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hint="eastAsia" w:cs="Arial" w:asciiTheme="minorEastAsia" w:hAnsiTheme="minorEastAsia" w:eastAsiaTheme="minorEastAsia"/>
          <w:b/>
          <w:bCs/>
          <w:color w:val="000000" w:themeColor="text1"/>
          <w:szCs w:val="21"/>
          <w:lang w:val="zh-CN"/>
          <w14:textFill>
            <w14:solidFill>
              <w14:schemeClr w14:val="tx1"/>
            </w14:solidFill>
          </w14:textFill>
        </w:rPr>
        <w:t>为说明第</w:t>
      </w:r>
      <w:r>
        <w:rPr>
          <w:rFonts w:cs="Arial" w:asciiTheme="minorEastAsia" w:hAnsiTheme="minorEastAsia" w:eastAsiaTheme="minorEastAsia"/>
          <w:b/>
          <w:bCs/>
          <w:color w:val="000000" w:themeColor="text1"/>
          <w:szCs w:val="21"/>
          <w:lang w:val="zh-CN"/>
          <w14:textFill>
            <w14:solidFill>
              <w14:schemeClr w14:val="tx1"/>
            </w14:solidFill>
          </w14:textFill>
        </w:rPr>
        <w:t>15.2</w:t>
      </w:r>
      <w:r>
        <w:rPr>
          <w:rFonts w:hint="eastAsia" w:cs="Arial" w:asciiTheme="minorEastAsia" w:hAnsiTheme="minorEastAsia" w:eastAsiaTheme="minorEastAsia"/>
          <w:b/>
          <w:bCs/>
          <w:color w:val="000000" w:themeColor="text1"/>
          <w:szCs w:val="21"/>
          <w:lang w:val="zh-CN"/>
          <w14:textFill>
            <w14:solidFill>
              <w14:schemeClr w14:val="tx1"/>
            </w14:solidFill>
          </w14:textFill>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cs="Arial" w:asciiTheme="minorEastAsia" w:hAnsiTheme="minorEastAsia" w:eastAsiaTheme="minorEastAsia"/>
          <w:b/>
          <w:bCs/>
          <w:color w:val="000000" w:themeColor="text1"/>
          <w:szCs w:val="21"/>
          <w:lang w:val="zh-CN"/>
          <w14:textFill>
            <w14:solidFill>
              <w14:schemeClr w14:val="tx1"/>
            </w14:solidFill>
          </w14:textFill>
        </w:rPr>
        <w:t>“</w:t>
      </w:r>
      <w:r>
        <w:rPr>
          <w:rFonts w:hint="eastAsia" w:cs="Arial" w:asciiTheme="minorEastAsia" w:hAnsiTheme="minorEastAsia" w:eastAsiaTheme="minorEastAsia"/>
          <w:b/>
          <w:bCs/>
          <w:color w:val="000000" w:themeColor="text1"/>
          <w:szCs w:val="21"/>
          <w:lang w:val="zh-CN"/>
          <w14:textFill>
            <w14:solidFill>
              <w14:schemeClr w14:val="tx1"/>
            </w14:solidFill>
          </w14:textFill>
        </w:rPr>
        <w:t>★</w:t>
      </w:r>
      <w:r>
        <w:rPr>
          <w:rFonts w:cs="Arial" w:asciiTheme="minorEastAsia" w:hAnsiTheme="minorEastAsia" w:eastAsiaTheme="minorEastAsia"/>
          <w:b/>
          <w:bCs/>
          <w:color w:val="000000" w:themeColor="text1"/>
          <w:szCs w:val="21"/>
          <w:lang w:val="zh-CN"/>
          <w14:textFill>
            <w14:solidFill>
              <w14:schemeClr w14:val="tx1"/>
            </w14:solidFill>
          </w14:textFill>
        </w:rPr>
        <w:t>”</w:t>
      </w:r>
      <w:r>
        <w:rPr>
          <w:rFonts w:hint="eastAsia" w:cs="Arial" w:asciiTheme="minorEastAsia" w:hAnsiTheme="minorEastAsia" w:eastAsiaTheme="minorEastAsia"/>
          <w:b/>
          <w:bCs/>
          <w:color w:val="000000" w:themeColor="text1"/>
          <w:szCs w:val="21"/>
          <w:lang w:val="zh-CN"/>
          <w14:textFill>
            <w14:solidFill>
              <w14:schemeClr w14:val="tx1"/>
            </w14:solidFill>
          </w14:textFill>
        </w:rPr>
        <w:t>的地方均被视为重要的技术要求或商务要求。投标人要特别加以注意，必须对此回答并完全满足这些要求，否则若有一项带</w:t>
      </w:r>
      <w:r>
        <w:rPr>
          <w:rFonts w:cs="Arial" w:asciiTheme="minorEastAsia" w:hAnsiTheme="minorEastAsia" w:eastAsiaTheme="minorEastAsia"/>
          <w:b/>
          <w:bCs/>
          <w:color w:val="000000" w:themeColor="text1"/>
          <w:szCs w:val="21"/>
          <w:lang w:val="zh-CN"/>
          <w14:textFill>
            <w14:solidFill>
              <w14:schemeClr w14:val="tx1"/>
            </w14:solidFill>
          </w14:textFill>
        </w:rPr>
        <w:t>“</w:t>
      </w:r>
      <w:bookmarkStart w:id="92" w:name="_Hlk61525924"/>
      <w:r>
        <w:rPr>
          <w:rFonts w:hint="eastAsia" w:cs="Arial" w:asciiTheme="minorEastAsia" w:hAnsiTheme="minorEastAsia" w:eastAsiaTheme="minorEastAsia"/>
          <w:b/>
          <w:bCs/>
          <w:color w:val="000000" w:themeColor="text1"/>
          <w:szCs w:val="21"/>
          <w:lang w:val="zh-CN"/>
          <w14:textFill>
            <w14:solidFill>
              <w14:schemeClr w14:val="tx1"/>
            </w14:solidFill>
          </w14:textFill>
        </w:rPr>
        <w:t>★</w:t>
      </w:r>
      <w:bookmarkEnd w:id="92"/>
      <w:r>
        <w:rPr>
          <w:rFonts w:cs="Arial" w:asciiTheme="minorEastAsia" w:hAnsiTheme="minorEastAsia" w:eastAsiaTheme="minorEastAsia"/>
          <w:b/>
          <w:bCs/>
          <w:color w:val="000000" w:themeColor="text1"/>
          <w:szCs w:val="21"/>
          <w:lang w:val="zh-CN"/>
          <w14:textFill>
            <w14:solidFill>
              <w14:schemeClr w14:val="tx1"/>
            </w14:solidFill>
          </w14:textFill>
        </w:rPr>
        <w:t>”</w:t>
      </w:r>
      <w:r>
        <w:rPr>
          <w:rFonts w:hint="eastAsia" w:cs="Arial" w:asciiTheme="minorEastAsia" w:hAnsiTheme="minorEastAsia" w:eastAsiaTheme="minorEastAsia"/>
          <w:b/>
          <w:bCs/>
          <w:color w:val="000000" w:themeColor="text1"/>
          <w:szCs w:val="21"/>
          <w:lang w:val="zh-CN"/>
          <w14:textFill>
            <w14:solidFill>
              <w14:schemeClr w14:val="tx1"/>
            </w14:solidFill>
          </w14:textFill>
        </w:rPr>
        <w:t>的条款未响应或不满足，将按无效投标处理</w:t>
      </w:r>
      <w:r>
        <w:rPr>
          <w:rFonts w:hint="eastAsia" w:cs="Arial" w:asciiTheme="minorEastAsia" w:hAnsiTheme="minorEastAsia" w:eastAsiaTheme="minorEastAsia"/>
          <w:color w:val="000000" w:themeColor="text1"/>
          <w:szCs w:val="21"/>
          <w:lang w:val="zh-CN"/>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93" w:name="_Toc441844071"/>
      <w:bookmarkStart w:id="94" w:name="_Toc93505756"/>
      <w:bookmarkStart w:id="95" w:name="_Toc10701"/>
      <w:r>
        <w:rPr>
          <w:rFonts w:ascii="宋体" w:hAnsi="宋体"/>
          <w:b/>
          <w:bCs/>
          <w:color w:val="000000" w:themeColor="text1"/>
          <w:sz w:val="22"/>
          <w:szCs w:val="22"/>
          <w14:textFill>
            <w14:solidFill>
              <w14:schemeClr w14:val="tx1"/>
            </w14:solidFill>
          </w14:textFill>
        </w:rPr>
        <w:t>投标保证金</w:t>
      </w:r>
      <w:bookmarkEnd w:id="93"/>
      <w:bookmarkEnd w:id="94"/>
      <w:bookmarkEnd w:id="95"/>
    </w:p>
    <w:p>
      <w:pPr>
        <w:pStyle w:val="113"/>
        <w:numPr>
          <w:ilvl w:val="0"/>
          <w:numId w:val="24"/>
        </w:numPr>
        <w:adjustRightInd w:val="0"/>
        <w:snapToGrid w:val="0"/>
        <w:spacing w:line="360" w:lineRule="auto"/>
        <w:ind w:left="567" w:hanging="567" w:firstLineChars="0"/>
        <w:jc w:val="lef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投标保证金形式、金额及账户信息：详</w:t>
      </w:r>
      <w:r>
        <w:rPr>
          <w:rFonts w:hint="eastAsia" w:ascii="宋体" w:hAnsi="宋体"/>
          <w:color w:val="000000" w:themeColor="text1"/>
          <w:sz w:val="22"/>
          <w:szCs w:val="22"/>
          <w:lang w:val="zh-CN"/>
          <w14:textFill>
            <w14:solidFill>
              <w14:schemeClr w14:val="tx1"/>
            </w14:solidFill>
          </w14:textFill>
        </w:rPr>
        <w:t>见</w:t>
      </w:r>
      <w:r>
        <w:rPr>
          <w:rFonts w:hint="eastAsia" w:cs="宋体" w:asciiTheme="minorEastAsia" w:hAnsiTheme="minorEastAsia" w:eastAsiaTheme="minorEastAsia"/>
          <w:color w:val="000000" w:themeColor="text1"/>
          <w:kern w:val="0"/>
          <w:szCs w:val="21"/>
          <w:lang w:val="zh-CN"/>
          <w14:textFill>
            <w14:solidFill>
              <w14:schemeClr w14:val="tx1"/>
            </w14:solidFill>
          </w14:textFill>
        </w:rPr>
        <w:t>《投标人须知前附表》</w:t>
      </w:r>
      <w:r>
        <w:rPr>
          <w:rFonts w:hint="eastAsia" w:ascii="宋体" w:hAnsi="宋体"/>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96" w:name="_Toc6686"/>
      <w:bookmarkStart w:id="97" w:name="_Toc441844072"/>
      <w:bookmarkStart w:id="98" w:name="_Toc93505757"/>
      <w:r>
        <w:rPr>
          <w:rFonts w:ascii="宋体" w:hAnsi="宋体"/>
          <w:b/>
          <w:bCs/>
          <w:color w:val="000000" w:themeColor="text1"/>
          <w:sz w:val="22"/>
          <w:szCs w:val="22"/>
          <w14:textFill>
            <w14:solidFill>
              <w14:schemeClr w14:val="tx1"/>
            </w14:solidFill>
          </w14:textFill>
        </w:rPr>
        <w:t>投标有效期</w:t>
      </w:r>
      <w:bookmarkEnd w:id="96"/>
      <w:bookmarkEnd w:id="97"/>
      <w:bookmarkEnd w:id="98"/>
    </w:p>
    <w:p>
      <w:pPr>
        <w:pStyle w:val="69"/>
        <w:numPr>
          <w:ilvl w:val="0"/>
          <w:numId w:val="25"/>
        </w:numPr>
        <w:tabs>
          <w:tab w:val="left" w:pos="142"/>
        </w:tabs>
        <w:spacing w:line="360" w:lineRule="auto"/>
        <w:ind w:left="567" w:hanging="567" w:firstLineChars="0"/>
        <w:rPr>
          <w:rFonts w:ascii="宋体" w:eastAsia="宋体"/>
          <w:b/>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投标文件应根据投标人须知的规定在投标截止时间后的</w:t>
      </w:r>
      <w:r>
        <w:rPr>
          <w:rFonts w:hint="eastAsia" w:ascii="宋体" w:eastAsia="宋体"/>
          <w:color w:val="000000" w:themeColor="text1"/>
          <w:sz w:val="22"/>
          <w:szCs w:val="22"/>
          <w14:textFill>
            <w14:solidFill>
              <w14:schemeClr w14:val="tx1"/>
            </w14:solidFill>
          </w14:textFill>
        </w:rPr>
        <w:t>90</w:t>
      </w:r>
      <w:r>
        <w:rPr>
          <w:rFonts w:ascii="宋体" w:eastAsia="宋体"/>
          <w:color w:val="000000" w:themeColor="text1"/>
          <w:sz w:val="22"/>
          <w:szCs w:val="22"/>
          <w14:textFill>
            <w14:solidFill>
              <w14:schemeClr w14:val="tx1"/>
            </w14:solidFill>
          </w14:textFill>
        </w:rPr>
        <w:t>天内保持有效。</w:t>
      </w:r>
      <w:r>
        <w:rPr>
          <w:rFonts w:ascii="宋体" w:eastAsia="宋体"/>
          <w:b/>
          <w:color w:val="000000" w:themeColor="text1"/>
          <w:sz w:val="22"/>
          <w:szCs w:val="22"/>
          <w14:textFill>
            <w14:solidFill>
              <w14:schemeClr w14:val="tx1"/>
            </w14:solidFill>
          </w14:textFill>
        </w:rPr>
        <w:t>投标有效期比规定期限短的将被视为非实质性响应标而予以拒绝。</w:t>
      </w:r>
    </w:p>
    <w:p>
      <w:pPr>
        <w:pStyle w:val="69"/>
        <w:numPr>
          <w:ilvl w:val="0"/>
          <w:numId w:val="25"/>
        </w:numPr>
        <w:tabs>
          <w:tab w:val="left" w:pos="142"/>
        </w:tabs>
        <w:spacing w:line="360" w:lineRule="auto"/>
        <w:ind w:left="567" w:hanging="567" w:firstLineChars="0"/>
        <w:rPr>
          <w:rFonts w:ascii="宋体"/>
          <w:bCs/>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特殊情况下，在原有投标有效期截止之前，</w:t>
      </w:r>
      <w:r>
        <w:rPr>
          <w:rFonts w:hint="eastAsia" w:ascii="宋体" w:eastAsia="宋体"/>
          <w:color w:val="000000" w:themeColor="text1"/>
          <w:sz w:val="22"/>
          <w:szCs w:val="22"/>
          <w14:textFill>
            <w14:solidFill>
              <w14:schemeClr w14:val="tx1"/>
            </w14:solidFill>
          </w14:textFill>
        </w:rPr>
        <w:t>招标人</w:t>
      </w:r>
      <w:r>
        <w:rPr>
          <w:rFonts w:ascii="宋体" w:eastAsia="宋体"/>
          <w:color w:val="000000" w:themeColor="text1"/>
          <w:sz w:val="22"/>
          <w:szCs w:val="22"/>
          <w14:textFill>
            <w14:solidFill>
              <w14:schemeClr w14:val="tx1"/>
            </w14:solidFill>
          </w14:textFill>
        </w:rPr>
        <w:t>可要求投标人同意延长投标有效期。这种要求与答复均应以书面形式提交。投标人可拒绝</w:t>
      </w:r>
      <w:r>
        <w:rPr>
          <w:rFonts w:hint="eastAsia" w:ascii="宋体" w:eastAsia="宋体"/>
          <w:color w:val="000000" w:themeColor="text1"/>
          <w:sz w:val="22"/>
          <w:szCs w:val="22"/>
          <w14:textFill>
            <w14:solidFill>
              <w14:schemeClr w14:val="tx1"/>
            </w14:solidFill>
          </w14:textFill>
        </w:rPr>
        <w:t>招标人</w:t>
      </w:r>
      <w:r>
        <w:rPr>
          <w:rFonts w:ascii="宋体" w:eastAsia="宋体"/>
          <w:color w:val="000000" w:themeColor="text1"/>
          <w:sz w:val="22"/>
          <w:szCs w:val="22"/>
          <w14:textFill>
            <w14:solidFill>
              <w14:schemeClr w14:val="tx1"/>
            </w14:solidFill>
          </w14:textFill>
        </w:rPr>
        <w:t>的这种要求，其投标保证金将不会被没收。接受投标有效期延长的投标人将不会被要求和允许修正其投标文件，而只会被要求相应地延长其投标保证金的有效期。在这种情况下，根据投标人须知有关投标保证金的退还的规定将在延长了的有效期内继续有效。</w:t>
      </w:r>
    </w:p>
    <w:p>
      <w:pPr>
        <w:pStyle w:val="4"/>
        <w:tabs>
          <w:tab w:val="left" w:pos="142"/>
          <w:tab w:val="clear" w:pos="1440"/>
        </w:tabs>
        <w:ind w:left="0" w:firstLine="0"/>
        <w:rPr>
          <w:rFonts w:ascii="宋体" w:hAnsi="宋体" w:eastAsia="宋体"/>
          <w:color w:val="000000" w:themeColor="text1"/>
          <w:sz w:val="22"/>
          <w:szCs w:val="22"/>
          <w:lang w:val="zh-CN"/>
          <w14:textFill>
            <w14:solidFill>
              <w14:schemeClr w14:val="tx1"/>
            </w14:solidFill>
          </w14:textFill>
        </w:rPr>
      </w:pPr>
      <w:bookmarkStart w:id="99" w:name="_Toc396137236"/>
      <w:bookmarkStart w:id="100" w:name="_Toc93505758"/>
      <w:bookmarkStart w:id="101" w:name="_Toc441844073"/>
      <w:bookmarkStart w:id="102" w:name="_Toc26698"/>
      <w:bookmarkStart w:id="103" w:name="_Toc425348137"/>
      <w:r>
        <w:rPr>
          <w:rFonts w:ascii="宋体" w:hAnsi="宋体" w:eastAsia="宋体"/>
          <w:color w:val="000000" w:themeColor="text1"/>
          <w:sz w:val="22"/>
          <w:szCs w:val="22"/>
          <w:lang w:val="zh-CN"/>
          <w14:textFill>
            <w14:solidFill>
              <w14:schemeClr w14:val="tx1"/>
            </w14:solidFill>
          </w14:textFill>
        </w:rPr>
        <w:t>（四）投标文件的递交</w:t>
      </w:r>
      <w:bookmarkEnd w:id="99"/>
      <w:bookmarkEnd w:id="100"/>
      <w:bookmarkEnd w:id="101"/>
      <w:bookmarkEnd w:id="102"/>
      <w:bookmarkEnd w:id="103"/>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04" w:name="_Toc441844074"/>
      <w:bookmarkStart w:id="105" w:name="_Toc93505759"/>
      <w:bookmarkStart w:id="106" w:name="_Toc20957"/>
      <w:r>
        <w:rPr>
          <w:rFonts w:ascii="宋体" w:hAnsi="宋体"/>
          <w:b/>
          <w:bCs/>
          <w:color w:val="000000" w:themeColor="text1"/>
          <w:sz w:val="22"/>
          <w:szCs w:val="22"/>
          <w14:textFill>
            <w14:solidFill>
              <w14:schemeClr w14:val="tx1"/>
            </w14:solidFill>
          </w14:textFill>
        </w:rPr>
        <w:t>投标文件的装订、密封和标记</w:t>
      </w:r>
      <w:bookmarkEnd w:id="104"/>
      <w:bookmarkEnd w:id="105"/>
      <w:bookmarkEnd w:id="106"/>
    </w:p>
    <w:p>
      <w:pPr>
        <w:pStyle w:val="113"/>
        <w:numPr>
          <w:ilvl w:val="0"/>
          <w:numId w:val="26"/>
        </w:numPr>
        <w:spacing w:line="360" w:lineRule="auto"/>
        <w:ind w:left="567" w:hanging="567" w:firstLineChars="0"/>
        <w:rPr>
          <w:rFonts w:ascii="宋体" w:hAnsi="宋体"/>
          <w:b/>
          <w:color w:val="000000" w:themeColor="text1"/>
          <w:sz w:val="22"/>
          <w:szCs w:val="22"/>
          <w:em w:val="dot"/>
          <w14:textFill>
            <w14:solidFill>
              <w14:schemeClr w14:val="tx1"/>
            </w14:solidFill>
          </w14:textFill>
        </w:rPr>
      </w:pPr>
      <w:r>
        <w:rPr>
          <w:rFonts w:hint="eastAsia" w:ascii="宋体" w:hAnsi="宋体"/>
          <w:b/>
          <w:color w:val="000000" w:themeColor="text1"/>
          <w:sz w:val="22"/>
          <w:szCs w:val="22"/>
          <w:em w:val="dot"/>
          <w14:textFill>
            <w14:solidFill>
              <w14:schemeClr w14:val="tx1"/>
            </w14:solidFill>
          </w14:textFill>
        </w:rPr>
        <w:t>投标文件的装订要求。投标文件的商务技术文件装订方式统一要求采用无线胶装，不得采用打孔胶条装订、线装装订方式。无线胶装样式要求见招标文件无线胶装样式。</w:t>
      </w:r>
      <w:r>
        <w:rPr>
          <w:rFonts w:hint="eastAsia" w:asciiTheme="minorEastAsia" w:hAnsiTheme="minorEastAsia" w:eastAsiaTheme="minorEastAsia"/>
          <w:b/>
          <w:color w:val="000000" w:themeColor="text1"/>
          <w:szCs w:val="21"/>
          <w:em w:val="dot"/>
          <w14:textFill>
            <w14:solidFill>
              <w14:schemeClr w14:val="tx1"/>
            </w14:solidFill>
          </w14:textFill>
        </w:rPr>
        <w:t>投标文件</w:t>
      </w:r>
      <w:r>
        <w:rPr>
          <w:rFonts w:hint="eastAsia" w:ascii="宋体" w:hAnsi="宋体"/>
          <w:b/>
          <w:color w:val="000000" w:themeColor="text1"/>
          <w:sz w:val="22"/>
          <w:szCs w:val="22"/>
          <w:em w:val="dot"/>
          <w14:textFill>
            <w14:solidFill>
              <w14:schemeClr w14:val="tx1"/>
            </w14:solidFill>
          </w14:textFill>
        </w:rPr>
        <w:t>中价格文件须单独装订，出现掉页或漏页的由投标人自己承担。</w:t>
      </w:r>
    </w:p>
    <w:p>
      <w:pPr>
        <w:pStyle w:val="113"/>
        <w:numPr>
          <w:ilvl w:val="0"/>
          <w:numId w:val="26"/>
        </w:numPr>
        <w:spacing w:line="360" w:lineRule="auto"/>
        <w:ind w:left="567" w:hanging="567" w:firstLineChars="0"/>
        <w:rPr>
          <w:rFonts w:ascii="宋体" w:hAnsi="宋体"/>
          <w:b/>
          <w:color w:val="000000" w:themeColor="text1"/>
          <w:sz w:val="22"/>
          <w:szCs w:val="22"/>
          <w:em w:val="dot"/>
          <w14:textFill>
            <w14:solidFill>
              <w14:schemeClr w14:val="tx1"/>
            </w14:solidFill>
          </w14:textFill>
        </w:rPr>
      </w:pPr>
      <w:r>
        <w:rPr>
          <w:rFonts w:ascii="宋体" w:hAnsi="宋体"/>
          <w:b/>
          <w:color w:val="000000" w:themeColor="text1"/>
          <w:sz w:val="22"/>
          <w:szCs w:val="22"/>
          <w:em w:val="dot"/>
          <w14:textFill>
            <w14:solidFill>
              <w14:schemeClr w14:val="tx1"/>
            </w14:solidFill>
          </w14:textFill>
        </w:rPr>
        <w:t>投标人应按以下要求准备投标文件（参投多个子包的投标人每个子包分别递交投标文件）：</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2103"/>
        <w:gridCol w:w="2877"/>
        <w:gridCol w:w="4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序号</w:t>
            </w:r>
          </w:p>
        </w:tc>
        <w:tc>
          <w:tcPr>
            <w:tcW w:w="1016"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投标文件名称</w:t>
            </w:r>
          </w:p>
        </w:tc>
        <w:tc>
          <w:tcPr>
            <w:tcW w:w="1390"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装订</w:t>
            </w:r>
          </w:p>
        </w:tc>
        <w:tc>
          <w:tcPr>
            <w:tcW w:w="2196"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w:t>
            </w:r>
          </w:p>
        </w:tc>
        <w:tc>
          <w:tcPr>
            <w:tcW w:w="1016" w:type="pct"/>
            <w:vAlign w:val="center"/>
          </w:tcPr>
          <w:p>
            <w:pPr>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电子文件</w:t>
            </w:r>
          </w:p>
        </w:tc>
        <w:tc>
          <w:tcPr>
            <w:tcW w:w="1390" w:type="pct"/>
            <w:vMerge w:val="restart"/>
            <w:vAlign w:val="center"/>
          </w:tcPr>
          <w:p>
            <w:pPr>
              <w:jc w:val="center"/>
              <w:rPr>
                <w:rFonts w:ascii="宋体" w:hAnsi="宋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独立</w:t>
            </w:r>
            <w:r>
              <w:rPr>
                <w:rFonts w:ascii="宋体" w:hAnsi="宋体"/>
                <w:color w:val="000000" w:themeColor="text1"/>
                <w:sz w:val="22"/>
                <w:szCs w:val="22"/>
                <w14:textFill>
                  <w14:solidFill>
                    <w14:schemeClr w14:val="tx1"/>
                  </w14:solidFill>
                </w14:textFill>
              </w:rPr>
              <w:t>装订、合并密封</w:t>
            </w:r>
          </w:p>
        </w:tc>
        <w:tc>
          <w:tcPr>
            <w:tcW w:w="219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含价格文件、商务技术文件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w:t>
            </w:r>
          </w:p>
        </w:tc>
        <w:tc>
          <w:tcPr>
            <w:tcW w:w="101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价格文件</w:t>
            </w:r>
          </w:p>
        </w:tc>
        <w:tc>
          <w:tcPr>
            <w:tcW w:w="1390" w:type="pct"/>
            <w:vMerge w:val="continue"/>
            <w:vAlign w:val="center"/>
          </w:tcPr>
          <w:p>
            <w:pPr>
              <w:jc w:val="center"/>
              <w:rPr>
                <w:rFonts w:ascii="宋体" w:hAnsi="宋体"/>
                <w:color w:val="000000" w:themeColor="text1"/>
                <w:sz w:val="22"/>
                <w:szCs w:val="22"/>
                <w14:textFill>
                  <w14:solidFill>
                    <w14:schemeClr w14:val="tx1"/>
                  </w14:solidFill>
                </w14:textFill>
              </w:rPr>
            </w:pPr>
          </w:p>
        </w:tc>
        <w:tc>
          <w:tcPr>
            <w:tcW w:w="219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含正、副本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p>
        </w:tc>
        <w:tc>
          <w:tcPr>
            <w:tcW w:w="101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商务技术文件</w:t>
            </w:r>
          </w:p>
        </w:tc>
        <w:tc>
          <w:tcPr>
            <w:tcW w:w="1390"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商务与技术可装订成册也可分开装订、独立密封</w:t>
            </w:r>
          </w:p>
        </w:tc>
        <w:tc>
          <w:tcPr>
            <w:tcW w:w="2196" w:type="pct"/>
            <w:vAlign w:val="center"/>
          </w:tcPr>
          <w:p>
            <w:pPr>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含正、副本</w:t>
            </w:r>
          </w:p>
        </w:tc>
      </w:tr>
    </w:tbl>
    <w:p>
      <w:pPr>
        <w:pStyle w:val="113"/>
        <w:numPr>
          <w:ilvl w:val="0"/>
          <w:numId w:val="26"/>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投标人应在密封袋上标明“</w:t>
      </w:r>
      <w:r>
        <w:rPr>
          <w:rFonts w:hint="eastAsia" w:ascii="宋体" w:hAnsi="宋体"/>
          <w:color w:val="000000" w:themeColor="text1"/>
          <w:sz w:val="22"/>
          <w:szCs w:val="22"/>
          <w14:textFill>
            <w14:solidFill>
              <w14:schemeClr w14:val="tx1"/>
            </w14:solidFill>
          </w14:textFill>
        </w:rPr>
        <w:t>价格文件</w:t>
      </w:r>
      <w:r>
        <w:rPr>
          <w:rFonts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14:textFill>
            <w14:solidFill>
              <w14:schemeClr w14:val="tx1"/>
            </w14:solidFill>
          </w14:textFill>
        </w:rPr>
        <w:t>商务技术文件</w:t>
      </w:r>
      <w:r>
        <w:rPr>
          <w:rFonts w:ascii="宋体" w:hAnsi="宋体"/>
          <w:color w:val="000000" w:themeColor="text1"/>
          <w:sz w:val="22"/>
          <w:szCs w:val="22"/>
          <w14:textFill>
            <w14:solidFill>
              <w14:schemeClr w14:val="tx1"/>
            </w14:solidFill>
          </w14:textFill>
        </w:rPr>
        <w:t>”等内容，并在密封袋的封口处加盖投标人公章。</w:t>
      </w:r>
    </w:p>
    <w:p>
      <w:pPr>
        <w:pStyle w:val="113"/>
        <w:numPr>
          <w:ilvl w:val="0"/>
          <w:numId w:val="26"/>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在投标文件密封袋上均应标明以下内容：</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项目</w:t>
      </w:r>
      <w:r>
        <w:rPr>
          <w:rFonts w:ascii="宋体" w:hAnsi="宋体"/>
          <w:color w:val="000000" w:themeColor="text1"/>
          <w:sz w:val="22"/>
          <w:szCs w:val="22"/>
          <w14:textFill>
            <w14:solidFill>
              <w14:schemeClr w14:val="tx1"/>
            </w14:solidFill>
          </w14:textFill>
        </w:rPr>
        <w:t>编号：</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（2）项目名称：</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年</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日</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时</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 xml:space="preserve">分开标，此时间以前不得开封； </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（4）投标人名称：</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w:t>
      </w:r>
    </w:p>
    <w:p>
      <w:pPr>
        <w:pStyle w:val="113"/>
        <w:numPr>
          <w:ilvl w:val="0"/>
          <w:numId w:val="26"/>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如果投标文件未按本须知第18.1～18.4款的规定装订和加写标记及密封，</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将不承担投标文件提前开封的责任。对由此造成提前开封的投标文件将予以拒绝，并退还给投标人。</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07" w:name="_Toc17549"/>
      <w:bookmarkStart w:id="108" w:name="_Toc441844075"/>
      <w:bookmarkStart w:id="109" w:name="_Toc439325685"/>
      <w:bookmarkStart w:id="110" w:name="_Toc93505760"/>
      <w:r>
        <w:rPr>
          <w:rFonts w:ascii="宋体" w:hAnsi="宋体"/>
          <w:b/>
          <w:bCs/>
          <w:color w:val="000000" w:themeColor="text1"/>
          <w:sz w:val="22"/>
          <w:szCs w:val="22"/>
          <w14:textFill>
            <w14:solidFill>
              <w14:schemeClr w14:val="tx1"/>
            </w14:solidFill>
          </w14:textFill>
        </w:rPr>
        <w:t>投标截止时间</w:t>
      </w:r>
      <w:bookmarkEnd w:id="107"/>
      <w:bookmarkEnd w:id="108"/>
      <w:bookmarkEnd w:id="109"/>
      <w:bookmarkEnd w:id="110"/>
    </w:p>
    <w:p>
      <w:pPr>
        <w:pStyle w:val="113"/>
        <w:numPr>
          <w:ilvl w:val="0"/>
          <w:numId w:val="27"/>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Cs w:val="21"/>
          <w:lang w:val="zh-CN"/>
          <w14:textFill>
            <w14:solidFill>
              <w14:schemeClr w14:val="tx1"/>
            </w14:solidFill>
          </w14:textFill>
        </w:rPr>
        <w:t>招标</w:t>
      </w:r>
      <w:r>
        <w:rPr>
          <w:rFonts w:hint="eastAsia" w:asciiTheme="minorEastAsia" w:hAnsiTheme="minorEastAsia" w:eastAsiaTheme="minorEastAsia"/>
          <w:color w:val="000000" w:themeColor="text1"/>
          <w:szCs w:val="21"/>
          <w14:textFill>
            <w14:solidFill>
              <w14:schemeClr w14:val="tx1"/>
            </w14:solidFill>
          </w14:textFill>
        </w:rPr>
        <w:t>人</w:t>
      </w:r>
      <w:r>
        <w:rPr>
          <w:rFonts w:asciiTheme="minorEastAsia" w:hAnsiTheme="minorEastAsia" w:eastAsiaTheme="minorEastAsia"/>
          <w:color w:val="000000" w:themeColor="text1"/>
          <w:szCs w:val="21"/>
          <w:lang w:val="zh-CN"/>
          <w14:textFill>
            <w14:solidFill>
              <w14:schemeClr w14:val="tx1"/>
            </w14:solidFill>
          </w14:textFill>
        </w:rPr>
        <w:t>在本须知第22.1条规定的地址收到投标的时间不迟于</w:t>
      </w:r>
      <w:r>
        <w:rPr>
          <w:rFonts w:hint="eastAsia" w:asciiTheme="minorEastAsia" w:hAnsiTheme="minorEastAsia" w:eastAsiaTheme="minorEastAsia"/>
          <w:color w:val="000000" w:themeColor="text1"/>
          <w:szCs w:val="21"/>
          <w:lang w:val="zh-CN"/>
          <w14:textFill>
            <w14:solidFill>
              <w14:schemeClr w14:val="tx1"/>
            </w14:solidFill>
          </w14:textFill>
        </w:rPr>
        <w:t>第一章投标邀请函中所规定的时间。</w:t>
      </w:r>
    </w:p>
    <w:p>
      <w:pPr>
        <w:pStyle w:val="113"/>
        <w:numPr>
          <w:ilvl w:val="0"/>
          <w:numId w:val="27"/>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可以按本须知第9条规定，通过修改招标文件自行决定酌情延长投标截止时间。在此情况下，</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人和投标人受投标截止时间制约的所有权利和义务均应延长至新的截止时间。</w:t>
      </w:r>
    </w:p>
    <w:p>
      <w:pPr>
        <w:pStyle w:val="113"/>
        <w:numPr>
          <w:ilvl w:val="0"/>
          <w:numId w:val="27"/>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于开标前</w:t>
      </w:r>
      <w:r>
        <w:rPr>
          <w:rFonts w:ascii="宋体" w:hAnsi="宋体"/>
          <w:b/>
          <w:color w:val="000000" w:themeColor="text1"/>
          <w:sz w:val="22"/>
          <w:szCs w:val="22"/>
          <w14:textFill>
            <w14:solidFill>
              <w14:schemeClr w14:val="tx1"/>
            </w14:solidFill>
          </w14:textFill>
        </w:rPr>
        <w:t>（30）</w:t>
      </w:r>
      <w:r>
        <w:rPr>
          <w:rFonts w:ascii="宋体" w:hAnsi="宋体"/>
          <w:color w:val="000000" w:themeColor="text1"/>
          <w:sz w:val="22"/>
          <w:szCs w:val="22"/>
          <w14:textFill>
            <w14:solidFill>
              <w14:schemeClr w14:val="tx1"/>
            </w14:solidFill>
          </w14:textFill>
        </w:rPr>
        <w:t>分钟开始接收投标文件。</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11" w:name="_Toc441844076"/>
      <w:bookmarkStart w:id="112" w:name="_Toc93505761"/>
      <w:bookmarkStart w:id="113" w:name="_Toc6958"/>
      <w:bookmarkStart w:id="114" w:name="_Toc439325686"/>
      <w:r>
        <w:rPr>
          <w:rFonts w:ascii="宋体" w:hAnsi="宋体"/>
          <w:b/>
          <w:bCs/>
          <w:color w:val="000000" w:themeColor="text1"/>
          <w:sz w:val="22"/>
          <w:szCs w:val="22"/>
          <w14:textFill>
            <w14:solidFill>
              <w14:schemeClr w14:val="tx1"/>
            </w14:solidFill>
          </w14:textFill>
        </w:rPr>
        <w:t>迟交的投标文件</w:t>
      </w:r>
      <w:bookmarkEnd w:id="111"/>
      <w:bookmarkEnd w:id="112"/>
      <w:bookmarkEnd w:id="113"/>
      <w:bookmarkEnd w:id="114"/>
    </w:p>
    <w:p>
      <w:pPr>
        <w:pStyle w:val="113"/>
        <w:numPr>
          <w:ilvl w:val="0"/>
          <w:numId w:val="2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招标人将拒绝并原封退回在本须知第</w:t>
      </w:r>
      <w:r>
        <w:rPr>
          <w:rFonts w:ascii="宋体" w:hAnsi="宋体"/>
          <w:color w:val="000000" w:themeColor="text1"/>
          <w:sz w:val="22"/>
          <w:szCs w:val="22"/>
          <w14:textFill>
            <w14:solidFill>
              <w14:schemeClr w14:val="tx1"/>
            </w14:solidFill>
          </w14:textFill>
        </w:rPr>
        <w:t>22.1</w:t>
      </w:r>
      <w:r>
        <w:rPr>
          <w:rFonts w:hint="eastAsia" w:ascii="宋体" w:hAnsi="宋体"/>
          <w:color w:val="000000" w:themeColor="text1"/>
          <w:sz w:val="22"/>
          <w:szCs w:val="22"/>
          <w14:textFill>
            <w14:solidFill>
              <w14:schemeClr w14:val="tx1"/>
            </w14:solidFill>
          </w14:textFill>
        </w:rPr>
        <w:t>条规定的截止时间后收到的任何投标文件。</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15" w:name="_Toc5227"/>
      <w:bookmarkStart w:id="116" w:name="_Toc93505762"/>
      <w:bookmarkStart w:id="117" w:name="_Toc439325687"/>
      <w:bookmarkStart w:id="118" w:name="_Toc441844077"/>
      <w:r>
        <w:rPr>
          <w:rFonts w:ascii="宋体" w:hAnsi="宋体"/>
          <w:b/>
          <w:bCs/>
          <w:color w:val="000000" w:themeColor="text1"/>
          <w:sz w:val="22"/>
          <w:szCs w:val="22"/>
          <w14:textFill>
            <w14:solidFill>
              <w14:schemeClr w14:val="tx1"/>
            </w14:solidFill>
          </w14:textFill>
        </w:rPr>
        <w:t>投标文件的修改与撤回</w:t>
      </w:r>
      <w:bookmarkEnd w:id="115"/>
      <w:bookmarkEnd w:id="116"/>
      <w:bookmarkEnd w:id="117"/>
      <w:bookmarkEnd w:id="118"/>
    </w:p>
    <w:p>
      <w:pPr>
        <w:pStyle w:val="113"/>
        <w:numPr>
          <w:ilvl w:val="0"/>
          <w:numId w:val="29"/>
        </w:numPr>
        <w:spacing w:line="360" w:lineRule="auto"/>
        <w:ind w:left="567" w:hanging="567"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hint="eastAsia" w:cs="Arial" w:asciiTheme="minorEastAsia" w:hAnsiTheme="minorEastAsia" w:eastAsiaTheme="minorEastAsia"/>
          <w:color w:val="000000" w:themeColor="text1"/>
          <w:szCs w:val="21"/>
          <w:lang w:val="zh-CN"/>
          <w14:textFill>
            <w14:solidFill>
              <w14:schemeClr w14:val="tx1"/>
            </w14:solidFill>
          </w14:textFill>
        </w:rPr>
        <w:t>投标人在递交投标文件后，可以修改或撤回其投标，但招标</w:t>
      </w:r>
      <w:r>
        <w:rPr>
          <w:rFonts w:hint="eastAsia" w:cs="Arial" w:asciiTheme="minorEastAsia" w:hAnsiTheme="minorEastAsia" w:eastAsiaTheme="minorEastAsia"/>
          <w:color w:val="000000" w:themeColor="text1"/>
          <w:szCs w:val="21"/>
          <w14:textFill>
            <w14:solidFill>
              <w14:schemeClr w14:val="tx1"/>
            </w14:solidFill>
          </w14:textFill>
        </w:rPr>
        <w:t>人</w:t>
      </w:r>
      <w:r>
        <w:rPr>
          <w:rFonts w:hint="eastAsia" w:cs="Arial" w:asciiTheme="minorEastAsia" w:hAnsiTheme="minorEastAsia" w:eastAsiaTheme="minorEastAsia"/>
          <w:color w:val="000000" w:themeColor="text1"/>
          <w:szCs w:val="21"/>
          <w:lang w:val="zh-CN"/>
          <w14:textFill>
            <w14:solidFill>
              <w14:schemeClr w14:val="tx1"/>
            </w14:solidFill>
          </w14:textFill>
        </w:rPr>
        <w:t>必须在第</w:t>
      </w:r>
      <w:r>
        <w:rPr>
          <w:rFonts w:cs="Arial" w:asciiTheme="minorEastAsia" w:hAnsiTheme="minorEastAsia" w:eastAsiaTheme="minorEastAsia"/>
          <w:color w:val="000000" w:themeColor="text1"/>
          <w:szCs w:val="21"/>
          <w:lang w:val="zh-CN"/>
          <w14:textFill>
            <w14:solidFill>
              <w14:schemeClr w14:val="tx1"/>
            </w14:solidFill>
          </w14:textFill>
        </w:rPr>
        <w:t>19</w:t>
      </w:r>
      <w:r>
        <w:rPr>
          <w:rFonts w:hint="eastAsia" w:cs="Arial" w:asciiTheme="minorEastAsia" w:hAnsiTheme="minorEastAsia" w:eastAsiaTheme="minorEastAsia"/>
          <w:color w:val="000000" w:themeColor="text1"/>
          <w:szCs w:val="21"/>
          <w:lang w:val="zh-CN"/>
          <w14:textFill>
            <w14:solidFill>
              <w14:schemeClr w14:val="tx1"/>
            </w14:solidFill>
          </w14:textFill>
        </w:rPr>
        <w:t>条规定的投标截止时间之前，收到修改或撤回的书面通知。</w:t>
      </w:r>
    </w:p>
    <w:p>
      <w:pPr>
        <w:pStyle w:val="113"/>
        <w:numPr>
          <w:ilvl w:val="0"/>
          <w:numId w:val="2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投标人的修改或撤回通知应按本须知第18条规定编制、密封、标记和发送。</w:t>
      </w:r>
    </w:p>
    <w:p>
      <w:pPr>
        <w:pStyle w:val="113"/>
        <w:numPr>
          <w:ilvl w:val="0"/>
          <w:numId w:val="2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在投标截止时间之后，投标人不得对其投标做任何修改。</w:t>
      </w:r>
    </w:p>
    <w:p>
      <w:pPr>
        <w:pStyle w:val="113"/>
        <w:numPr>
          <w:ilvl w:val="0"/>
          <w:numId w:val="2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从投标截止时间至投标人在投标书格式中确定的投标有效期之间的这段时间内，投标人不得撤回其投标，否则其投标保证金将按照本须知第16.8条的规定</w:t>
      </w:r>
      <w:r>
        <w:rPr>
          <w:rFonts w:hint="eastAsia" w:ascii="宋体" w:hAnsi="宋体"/>
          <w:color w:val="000000" w:themeColor="text1"/>
          <w:sz w:val="22"/>
          <w:szCs w:val="22"/>
          <w14:textFill>
            <w14:solidFill>
              <w14:schemeClr w14:val="tx1"/>
            </w14:solidFill>
          </w14:textFill>
        </w:rPr>
        <w:t>不予退还</w:t>
      </w:r>
      <w:r>
        <w:rPr>
          <w:rFonts w:ascii="宋体" w:hAnsi="宋体"/>
          <w:color w:val="000000" w:themeColor="text1"/>
          <w:sz w:val="22"/>
          <w:szCs w:val="22"/>
          <w14:textFill>
            <w14:solidFill>
              <w14:schemeClr w14:val="tx1"/>
            </w14:solidFill>
          </w14:textFill>
        </w:rPr>
        <w:t>。</w:t>
      </w:r>
    </w:p>
    <w:p>
      <w:pPr>
        <w:pStyle w:val="4"/>
        <w:tabs>
          <w:tab w:val="left" w:pos="142"/>
          <w:tab w:val="clear" w:pos="1440"/>
        </w:tabs>
        <w:ind w:left="0" w:firstLine="0"/>
        <w:rPr>
          <w:rFonts w:ascii="宋体" w:hAnsi="宋体" w:eastAsia="宋体"/>
          <w:b w:val="0"/>
          <w:color w:val="000000" w:themeColor="text1"/>
          <w:sz w:val="22"/>
          <w:szCs w:val="22"/>
          <w:lang w:val="zh-CN"/>
          <w14:textFill>
            <w14:solidFill>
              <w14:schemeClr w14:val="tx1"/>
            </w14:solidFill>
          </w14:textFill>
        </w:rPr>
      </w:pPr>
      <w:bookmarkStart w:id="119" w:name="_Toc441844078"/>
      <w:bookmarkStart w:id="120" w:name="_Toc21962"/>
      <w:bookmarkStart w:id="121" w:name="_Toc93505763"/>
      <w:r>
        <w:rPr>
          <w:rFonts w:ascii="宋体" w:hAnsi="宋体" w:eastAsia="宋体"/>
          <w:color w:val="000000" w:themeColor="text1"/>
          <w:sz w:val="22"/>
          <w:szCs w:val="22"/>
          <w:lang w:val="zh-CN"/>
          <w14:textFill>
            <w14:solidFill>
              <w14:schemeClr w14:val="tx1"/>
            </w14:solidFill>
          </w14:textFill>
        </w:rPr>
        <w:t>（五）开标与评标</w:t>
      </w:r>
      <w:bookmarkEnd w:id="119"/>
      <w:r>
        <w:rPr>
          <w:rFonts w:hint="eastAsia" w:ascii="宋体" w:hAnsi="宋体" w:eastAsia="宋体"/>
          <w:color w:val="000000" w:themeColor="text1"/>
          <w:sz w:val="22"/>
          <w:szCs w:val="22"/>
          <w:lang w:val="zh-CN"/>
          <w14:textFill>
            <w14:solidFill>
              <w14:schemeClr w14:val="tx1"/>
            </w14:solidFill>
          </w14:textFill>
        </w:rPr>
        <w:t>、</w:t>
      </w:r>
      <w:r>
        <w:rPr>
          <w:rFonts w:ascii="宋体" w:hAnsi="宋体" w:eastAsia="宋体"/>
          <w:color w:val="000000" w:themeColor="text1"/>
          <w:sz w:val="22"/>
          <w:szCs w:val="22"/>
          <w:lang w:val="zh-CN"/>
          <w14:textFill>
            <w14:solidFill>
              <w14:schemeClr w14:val="tx1"/>
            </w14:solidFill>
          </w14:textFill>
        </w:rPr>
        <w:t>定标</w:t>
      </w:r>
      <w:bookmarkEnd w:id="120"/>
      <w:bookmarkEnd w:id="121"/>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22" w:name="_Toc439325690"/>
      <w:bookmarkStart w:id="123" w:name="_Toc23837"/>
      <w:bookmarkStart w:id="124" w:name="_Toc93505764"/>
      <w:bookmarkStart w:id="125" w:name="_Toc441844079"/>
      <w:r>
        <w:rPr>
          <w:rFonts w:ascii="宋体" w:hAnsi="宋体"/>
          <w:b/>
          <w:bCs/>
          <w:color w:val="000000" w:themeColor="text1"/>
          <w:sz w:val="22"/>
          <w:szCs w:val="22"/>
          <w14:textFill>
            <w14:solidFill>
              <w14:schemeClr w14:val="tx1"/>
            </w14:solidFill>
          </w14:textFill>
        </w:rPr>
        <w:t>开标</w:t>
      </w:r>
      <w:bookmarkEnd w:id="122"/>
      <w:bookmarkEnd w:id="123"/>
      <w:bookmarkEnd w:id="124"/>
      <w:bookmarkEnd w:id="125"/>
    </w:p>
    <w:p>
      <w:pPr>
        <w:pStyle w:val="113"/>
        <w:numPr>
          <w:ilvl w:val="0"/>
          <w:numId w:val="30"/>
        </w:numPr>
        <w:spacing w:line="360" w:lineRule="auto"/>
        <w:ind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hint="eastAsia" w:cs="Arial" w:asciiTheme="minorEastAsia" w:hAnsiTheme="minorEastAsia" w:eastAsiaTheme="minorEastAsia"/>
          <w:color w:val="000000" w:themeColor="text1"/>
          <w:szCs w:val="21"/>
          <w:lang w:val="zh-CN"/>
          <w14:textFill>
            <w14:solidFill>
              <w14:schemeClr w14:val="tx1"/>
            </w14:solidFill>
          </w14:textFill>
        </w:rPr>
        <w:t>招标</w:t>
      </w:r>
      <w:r>
        <w:rPr>
          <w:rFonts w:cs="Arial" w:asciiTheme="minorEastAsia" w:hAnsiTheme="minorEastAsia" w:eastAsiaTheme="minorEastAsia"/>
          <w:color w:val="000000" w:themeColor="text1"/>
          <w:szCs w:val="21"/>
          <w:lang w:val="zh-CN"/>
          <w14:textFill>
            <w14:solidFill>
              <w14:schemeClr w14:val="tx1"/>
            </w14:solidFill>
          </w14:textFill>
        </w:rPr>
        <w:t>人在</w:t>
      </w:r>
      <w:r>
        <w:rPr>
          <w:rFonts w:hint="eastAsia" w:cs="Arial" w:asciiTheme="minorEastAsia" w:hAnsiTheme="minorEastAsia" w:eastAsiaTheme="minorEastAsia"/>
          <w:color w:val="000000" w:themeColor="text1"/>
          <w:szCs w:val="21"/>
          <w:lang w:val="zh-CN"/>
          <w14:textFill>
            <w14:solidFill>
              <w14:schemeClr w14:val="tx1"/>
            </w14:solidFill>
          </w14:textFill>
        </w:rPr>
        <w:t>第一章投标邀请函中约定的时间和地点</w:t>
      </w:r>
      <w:r>
        <w:rPr>
          <w:rFonts w:cs="Arial" w:asciiTheme="minorEastAsia" w:hAnsiTheme="minorEastAsia" w:eastAsiaTheme="minorEastAsia"/>
          <w:color w:val="000000" w:themeColor="text1"/>
          <w:szCs w:val="21"/>
          <w:lang w:val="zh-CN"/>
          <w14:textFill>
            <w14:solidFill>
              <w14:schemeClr w14:val="tx1"/>
            </w14:solidFill>
          </w14:textFill>
        </w:rPr>
        <w:t>组织公开开标。</w:t>
      </w:r>
    </w:p>
    <w:p>
      <w:pPr>
        <w:pStyle w:val="113"/>
        <w:numPr>
          <w:ilvl w:val="0"/>
          <w:numId w:val="30"/>
        </w:numPr>
        <w:spacing w:line="360" w:lineRule="auto"/>
        <w:ind w:left="567" w:hanging="567" w:firstLineChars="0"/>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开标程序</w:t>
      </w:r>
    </w:p>
    <w:p>
      <w:pPr>
        <w:pStyle w:val="113"/>
        <w:numPr>
          <w:ilvl w:val="0"/>
          <w:numId w:val="31"/>
        </w:numPr>
        <w:snapToGrid w:val="0"/>
        <w:spacing w:line="360" w:lineRule="auto"/>
        <w:ind w:left="709" w:hanging="709" w:firstLineChars="0"/>
        <w:rPr>
          <w:rFonts w:ascii="宋体" w:hAnsi="宋体"/>
          <w:bCs/>
          <w:color w:val="000000" w:themeColor="text1"/>
          <w:kern w:val="28"/>
          <w:sz w:val="22"/>
          <w:szCs w:val="22"/>
          <w14:textFill>
            <w14:solidFill>
              <w14:schemeClr w14:val="tx1"/>
            </w14:solidFill>
          </w14:textFill>
        </w:rPr>
      </w:pPr>
      <w:r>
        <w:rPr>
          <w:rFonts w:hint="eastAsia" w:ascii="宋体" w:hAnsi="宋体"/>
          <w:bCs/>
          <w:color w:val="000000" w:themeColor="text1"/>
          <w:kern w:val="28"/>
          <w:sz w:val="22"/>
          <w:szCs w:val="22"/>
          <w14:textFill>
            <w14:solidFill>
              <w14:schemeClr w14:val="tx1"/>
            </w14:solidFill>
          </w14:textFill>
        </w:rPr>
        <w:t>开标会由招标人主持，投标人的法定代表人或其授权代表务必携带有效身份证明准时参加开标会并签名报到，以证明其出席。投标人的法定代表人或其授权代表未参加开标会的，视同认可开标结果。投标人递交投标文件并签到后可自行离场，本项目不进行开标、唱标。</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26" w:name="_Toc93505765"/>
      <w:bookmarkStart w:id="127" w:name="_Toc11456"/>
      <w:bookmarkStart w:id="128" w:name="_Toc441844080"/>
      <w:bookmarkStart w:id="129" w:name="_Toc439325688"/>
      <w:r>
        <w:rPr>
          <w:rFonts w:ascii="宋体" w:hAnsi="宋体"/>
          <w:b/>
          <w:bCs/>
          <w:color w:val="000000" w:themeColor="text1"/>
          <w:sz w:val="22"/>
          <w:szCs w:val="22"/>
          <w14:textFill>
            <w14:solidFill>
              <w14:schemeClr w14:val="tx1"/>
            </w14:solidFill>
          </w14:textFill>
        </w:rPr>
        <w:t>评标委员会</w:t>
      </w:r>
      <w:bookmarkEnd w:id="126"/>
      <w:bookmarkEnd w:id="127"/>
      <w:bookmarkEnd w:id="128"/>
      <w:bookmarkEnd w:id="129"/>
    </w:p>
    <w:p>
      <w:pPr>
        <w:pStyle w:val="113"/>
        <w:numPr>
          <w:ilvl w:val="0"/>
          <w:numId w:val="32"/>
        </w:numPr>
        <w:spacing w:line="360" w:lineRule="auto"/>
        <w:ind w:left="567"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评标委员会将只对确定为实质上响应招标文件要求的投标，即对</w:t>
      </w:r>
      <w:r>
        <w:rPr>
          <w:rFonts w:hint="eastAsia" w:ascii="宋体" w:hAnsi="宋体"/>
          <w:color w:val="000000" w:themeColor="text1"/>
          <w:sz w:val="22"/>
          <w:szCs w:val="22"/>
          <w:lang w:val="zh-CN"/>
          <w14:textFill>
            <w14:solidFill>
              <w14:schemeClr w14:val="tx1"/>
            </w14:solidFill>
          </w14:textFill>
        </w:rPr>
        <w:t>资格、符合性审查合格的投标文件进行商务和技术评估</w:t>
      </w:r>
      <w:r>
        <w:rPr>
          <w:rFonts w:ascii="宋体" w:hAnsi="宋体"/>
          <w:color w:val="000000" w:themeColor="text1"/>
          <w:sz w:val="22"/>
          <w:szCs w:val="22"/>
          <w:lang w:val="zh-CN"/>
          <w14:textFill>
            <w14:solidFill>
              <w14:schemeClr w14:val="tx1"/>
            </w14:solidFill>
          </w14:textFill>
        </w:rPr>
        <w:t>，响应的依据是招标文件本身的内容，而不寻求其它证据。实质上响应的投标应该是与招标文件要求的全部主要条款、条件和规格相符，没有重大偏离的投标。</w:t>
      </w:r>
    </w:p>
    <w:p>
      <w:pPr>
        <w:pStyle w:val="113"/>
        <w:numPr>
          <w:ilvl w:val="0"/>
          <w:numId w:val="32"/>
        </w:numPr>
        <w:spacing w:line="360" w:lineRule="auto"/>
        <w:ind w:left="567"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评标委员会依法根据招标文件的规定，进行投标文件的评审、得出评审结果，评标委员会递交评标报告并依</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文件规定向招标人推荐</w:t>
      </w:r>
      <w:r>
        <w:rPr>
          <w:rFonts w:hint="eastAsia" w:ascii="宋体" w:hAnsi="宋体"/>
          <w:color w:val="000000" w:themeColor="text1"/>
          <w:sz w:val="22"/>
          <w:szCs w:val="22"/>
          <w:lang w:val="zh-CN"/>
          <w14:textFill>
            <w14:solidFill>
              <w14:schemeClr w14:val="tx1"/>
            </w14:solidFill>
          </w14:textFill>
        </w:rPr>
        <w:t>定</w:t>
      </w:r>
      <w:r>
        <w:rPr>
          <w:rFonts w:ascii="宋体" w:hAnsi="宋体"/>
          <w:color w:val="000000" w:themeColor="text1"/>
          <w:sz w:val="22"/>
          <w:szCs w:val="22"/>
          <w:lang w:val="zh-CN"/>
          <w14:textFill>
            <w14:solidFill>
              <w14:schemeClr w14:val="tx1"/>
            </w14:solidFill>
          </w14:textFill>
        </w:rPr>
        <w:t>标候选人。</w:t>
      </w:r>
    </w:p>
    <w:p>
      <w:pPr>
        <w:pStyle w:val="113"/>
        <w:numPr>
          <w:ilvl w:val="0"/>
          <w:numId w:val="32"/>
        </w:numPr>
        <w:spacing w:line="360" w:lineRule="auto"/>
        <w:ind w:left="567"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所有参加评标人员必须遵守国家、地方政府以及</w:t>
      </w:r>
      <w:r>
        <w:rPr>
          <w:rFonts w:hint="eastAsia" w:ascii="宋体" w:hAnsi="宋体"/>
          <w:color w:val="000000" w:themeColor="text1"/>
          <w:sz w:val="22"/>
          <w:szCs w:val="22"/>
          <w:lang w:val="zh-CN"/>
          <w14:textFill>
            <w14:solidFill>
              <w14:schemeClr w14:val="tx1"/>
            </w14:solidFill>
          </w14:textFill>
        </w:rPr>
        <w:t>东莞市数据互联有限公司</w:t>
      </w:r>
      <w:r>
        <w:rPr>
          <w:rFonts w:ascii="宋体" w:hAnsi="宋体"/>
          <w:color w:val="000000" w:themeColor="text1"/>
          <w:sz w:val="22"/>
          <w:szCs w:val="22"/>
          <w:lang w:val="zh-CN"/>
          <w14:textFill>
            <w14:solidFill>
              <w14:schemeClr w14:val="tx1"/>
            </w14:solidFill>
          </w14:textFill>
        </w:rPr>
        <w:t>制定的有关</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采购的法则、规定，遵守有关</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采购的保密制度；如有违反者，给予行政处分；情节严重，构成犯罪的，由司法机关依法追究其刑事责任。</w:t>
      </w:r>
    </w:p>
    <w:p>
      <w:pPr>
        <w:pStyle w:val="113"/>
        <w:numPr>
          <w:ilvl w:val="0"/>
          <w:numId w:val="32"/>
        </w:numPr>
        <w:spacing w:line="360" w:lineRule="auto"/>
        <w:ind w:left="567"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全体参与评标人员：</w:t>
      </w:r>
    </w:p>
    <w:p>
      <w:pPr>
        <w:pStyle w:val="113"/>
        <w:numPr>
          <w:ilvl w:val="0"/>
          <w:numId w:val="33"/>
        </w:numPr>
        <w:spacing w:line="360" w:lineRule="auto"/>
        <w:ind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必须遵守评标纪律、不得泄密；</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必须公正、不得循私；</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必须科学、不得草率；</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必须客观、不得带有成见；</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必须平等、不得强加于人；</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必须严谨、不得随意马虎。</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0" w:name="_Toc30003"/>
      <w:bookmarkStart w:id="131" w:name="_Toc441844081"/>
      <w:bookmarkStart w:id="132" w:name="_Toc93505766"/>
      <w:r>
        <w:rPr>
          <w:rFonts w:ascii="宋体" w:hAnsi="宋体"/>
          <w:b/>
          <w:bCs/>
          <w:color w:val="000000" w:themeColor="text1"/>
          <w:sz w:val="22"/>
          <w:szCs w:val="22"/>
          <w14:textFill>
            <w14:solidFill>
              <w14:schemeClr w14:val="tx1"/>
            </w14:solidFill>
          </w14:textFill>
        </w:rPr>
        <w:t>评标过程的保密性</w:t>
      </w:r>
      <w:bookmarkEnd w:id="130"/>
      <w:bookmarkEnd w:id="131"/>
      <w:bookmarkEnd w:id="132"/>
    </w:p>
    <w:p>
      <w:pPr>
        <w:pStyle w:val="113"/>
        <w:numPr>
          <w:ilvl w:val="0"/>
          <w:numId w:val="34"/>
        </w:numPr>
        <w:tabs>
          <w:tab w:val="left" w:pos="567"/>
        </w:tabs>
        <w:spacing w:line="360" w:lineRule="auto"/>
        <w:ind w:left="567" w:right="18" w:hanging="567" w:firstLineChars="0"/>
        <w:rPr>
          <w:rFonts w:asciiTheme="minorEastAsia" w:hAnsiTheme="minorEastAsia" w:eastAsiaTheme="minorEastAsia"/>
          <w:color w:val="000000" w:themeColor="text1"/>
          <w:szCs w:val="21"/>
          <w:lang w:val="zh-CN"/>
          <w14:textFill>
            <w14:solidFill>
              <w14:schemeClr w14:val="tx1"/>
            </w14:solidFill>
          </w14:textFill>
        </w:rPr>
      </w:pPr>
      <w:r>
        <w:rPr>
          <w:rFonts w:hint="eastAsia" w:asciiTheme="minorEastAsia" w:hAnsiTheme="minorEastAsia" w:eastAsiaTheme="minorEastAsia"/>
          <w:color w:val="000000" w:themeColor="text1"/>
          <w:szCs w:val="21"/>
          <w:lang w:val="zh-CN"/>
          <w14:textFill>
            <w14:solidFill>
              <w14:schemeClr w14:val="tx1"/>
            </w14:solidFill>
          </w14:textFill>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pPr>
        <w:pStyle w:val="113"/>
        <w:numPr>
          <w:ilvl w:val="0"/>
          <w:numId w:val="34"/>
        </w:numPr>
        <w:tabs>
          <w:tab w:val="left" w:pos="567"/>
        </w:tabs>
        <w:spacing w:line="360" w:lineRule="auto"/>
        <w:ind w:left="567" w:right="18"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在评标过程中，如果投标人试图在投标文件审查、澄清、比较及授予合同方面向招标人施加任何影响，其投标文件将被拒绝。</w:t>
      </w:r>
    </w:p>
    <w:p>
      <w:pPr>
        <w:pStyle w:val="113"/>
        <w:numPr>
          <w:ilvl w:val="0"/>
          <w:numId w:val="34"/>
        </w:numPr>
        <w:tabs>
          <w:tab w:val="left" w:pos="567"/>
        </w:tabs>
        <w:spacing w:line="360" w:lineRule="auto"/>
        <w:ind w:left="567" w:right="18"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3" w:name="_Toc441844082"/>
      <w:bookmarkStart w:id="134" w:name="_Toc32055"/>
      <w:bookmarkStart w:id="135" w:name="_Toc93505767"/>
      <w:r>
        <w:rPr>
          <w:rFonts w:ascii="宋体" w:hAnsi="宋体"/>
          <w:b/>
          <w:bCs/>
          <w:color w:val="000000" w:themeColor="text1"/>
          <w:sz w:val="22"/>
          <w:szCs w:val="22"/>
          <w14:textFill>
            <w14:solidFill>
              <w14:schemeClr w14:val="tx1"/>
            </w14:solidFill>
          </w14:textFill>
        </w:rPr>
        <w:t>投标文件</w:t>
      </w:r>
      <w:bookmarkEnd w:id="133"/>
      <w:r>
        <w:rPr>
          <w:rFonts w:hint="eastAsia" w:ascii="宋体" w:hAnsi="宋体"/>
          <w:b/>
          <w:bCs/>
          <w:color w:val="000000" w:themeColor="text1"/>
          <w:sz w:val="22"/>
          <w:szCs w:val="22"/>
          <w14:textFill>
            <w14:solidFill>
              <w14:schemeClr w14:val="tx1"/>
            </w14:solidFill>
          </w14:textFill>
        </w:rPr>
        <w:t>评审</w:t>
      </w:r>
      <w:bookmarkEnd w:id="134"/>
      <w:bookmarkEnd w:id="135"/>
    </w:p>
    <w:p>
      <w:pPr>
        <w:pStyle w:val="113"/>
        <w:numPr>
          <w:ilvl w:val="0"/>
          <w:numId w:val="35"/>
        </w:numPr>
        <w:spacing w:line="360" w:lineRule="auto"/>
        <w:ind w:firstLineChars="0"/>
        <w:rPr>
          <w:rFonts w:asciiTheme="minorEastAsia" w:hAnsiTheme="minorEastAsia" w:eastAsiaTheme="minorEastAsia"/>
          <w:color w:val="000000" w:themeColor="text1"/>
          <w:szCs w:val="21"/>
          <w:lang w:val="zh-CN"/>
          <w14:textFill>
            <w14:solidFill>
              <w14:schemeClr w14:val="tx1"/>
            </w14:solidFill>
          </w14:textFill>
        </w:rPr>
      </w:pPr>
      <w:r>
        <w:rPr>
          <w:rFonts w:hint="eastAsia" w:asciiTheme="minorEastAsia" w:hAnsiTheme="minorEastAsia" w:eastAsiaTheme="minorEastAsia"/>
          <w:color w:val="000000" w:themeColor="text1"/>
          <w:szCs w:val="21"/>
          <w:lang w:val="zh-CN"/>
          <w14:textFill>
            <w14:solidFill>
              <w14:schemeClr w14:val="tx1"/>
            </w14:solidFill>
          </w14:textFill>
        </w:rPr>
        <w:t>评标委员会应当对投标人的投标文件进行资格、符合性审查，以确定其是否满足招标文件的实质性要求（详见第三章 评标办法）。</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6" w:name="_Toc46502772"/>
      <w:bookmarkEnd w:id="136"/>
      <w:bookmarkStart w:id="137" w:name="_Toc27327"/>
      <w:bookmarkStart w:id="138" w:name="_Toc441844083"/>
      <w:bookmarkStart w:id="139" w:name="_Toc93505768"/>
      <w:r>
        <w:rPr>
          <w:rFonts w:ascii="宋体" w:hAnsi="宋体"/>
          <w:b/>
          <w:bCs/>
          <w:color w:val="000000" w:themeColor="text1"/>
          <w:sz w:val="22"/>
          <w:szCs w:val="22"/>
          <w14:textFill>
            <w14:solidFill>
              <w14:schemeClr w14:val="tx1"/>
            </w14:solidFill>
          </w14:textFill>
        </w:rPr>
        <w:t>投标文件的澄清</w:t>
      </w:r>
      <w:bookmarkEnd w:id="137"/>
      <w:bookmarkEnd w:id="138"/>
      <w:bookmarkEnd w:id="139"/>
    </w:p>
    <w:p>
      <w:pPr>
        <w:pStyle w:val="113"/>
        <w:numPr>
          <w:ilvl w:val="0"/>
          <w:numId w:val="36"/>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hint="eastAsia" w:asciiTheme="minorEastAsia" w:hAnsiTheme="minorEastAsia" w:eastAsiaTheme="minorEastAsia"/>
          <w:color w:val="000000" w:themeColor="text1"/>
          <w:szCs w:val="21"/>
          <w:lang w:val="zh-CN"/>
          <w14:textFill>
            <w14:solidFill>
              <w14:schemeClr w14:val="tx1"/>
            </w14:solidFill>
          </w14:textFill>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pPr>
        <w:pStyle w:val="113"/>
        <w:numPr>
          <w:ilvl w:val="0"/>
          <w:numId w:val="36"/>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除评标委员会主动要求澄清、说明或者纠正外，评标定标期间，任何投标人均不得就与其投标相关的任何问题与评标委员会联系。</w:t>
      </w:r>
    </w:p>
    <w:p>
      <w:pPr>
        <w:pStyle w:val="113"/>
        <w:numPr>
          <w:ilvl w:val="0"/>
          <w:numId w:val="36"/>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评标委员会成员均应当阅读投标人的澄清，但应独立参考澄清对投标文件进行评审。整个澄清的过程不得存在排斥潜在投标人的现象。</w:t>
      </w:r>
    </w:p>
    <w:p>
      <w:pPr>
        <w:pStyle w:val="113"/>
        <w:numPr>
          <w:ilvl w:val="0"/>
          <w:numId w:val="36"/>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如果投标文件实质上不响应招标文件的各项要求，评标委员会将按照</w:t>
      </w:r>
      <w:r>
        <w:rPr>
          <w:rFonts w:hint="eastAsia" w:asciiTheme="minorEastAsia" w:hAnsiTheme="minorEastAsia" w:eastAsiaTheme="minorEastAsia"/>
          <w:color w:val="000000" w:themeColor="text1"/>
          <w:szCs w:val="21"/>
          <w:lang w:val="zh-CN"/>
          <w14:textFill>
            <w14:solidFill>
              <w14:schemeClr w14:val="tx1"/>
            </w14:solidFill>
          </w14:textFill>
        </w:rPr>
        <w:t>资格、</w:t>
      </w:r>
      <w:r>
        <w:rPr>
          <w:rFonts w:asciiTheme="minorEastAsia" w:hAnsiTheme="minorEastAsia" w:eastAsiaTheme="minorEastAsia"/>
          <w:color w:val="000000" w:themeColor="text1"/>
          <w:szCs w:val="21"/>
          <w:lang w:val="zh-CN"/>
          <w14:textFill>
            <w14:solidFill>
              <w14:schemeClr w14:val="tx1"/>
            </w14:solidFill>
          </w14:textFill>
        </w:rPr>
        <w:t>符合性审查标准予以拒绝，不接受投标人通过修改或撤销其不符合要求的差异或保留，使之成为具有响应性的投标。</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40" w:name="_Toc21595"/>
      <w:bookmarkStart w:id="141" w:name="_Toc93505769"/>
      <w:r>
        <w:rPr>
          <w:rFonts w:ascii="宋体" w:hAnsi="宋体"/>
          <w:b/>
          <w:bCs/>
          <w:color w:val="000000" w:themeColor="text1"/>
          <w:sz w:val="22"/>
          <w:szCs w:val="22"/>
          <w14:textFill>
            <w14:solidFill>
              <w14:schemeClr w14:val="tx1"/>
            </w14:solidFill>
          </w14:textFill>
        </w:rPr>
        <w:t>对投标文件的比较和评价</w:t>
      </w:r>
      <w:bookmarkEnd w:id="140"/>
      <w:bookmarkEnd w:id="141"/>
    </w:p>
    <w:p>
      <w:pPr>
        <w:pStyle w:val="113"/>
        <w:numPr>
          <w:ilvl w:val="0"/>
          <w:numId w:val="37"/>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评标委员会将对资格</w:t>
      </w:r>
      <w:r>
        <w:rPr>
          <w:rFonts w:hint="eastAsia" w:asciiTheme="minorEastAsia" w:hAnsiTheme="minorEastAsia" w:eastAsiaTheme="minorEastAsia"/>
          <w:color w:val="000000" w:themeColor="text1"/>
          <w:szCs w:val="21"/>
          <w:lang w:val="zh-CN"/>
          <w14:textFill>
            <w14:solidFill>
              <w14:schemeClr w14:val="tx1"/>
            </w14:solidFill>
          </w14:textFill>
        </w:rPr>
        <w:t>、</w:t>
      </w:r>
      <w:r>
        <w:rPr>
          <w:rFonts w:asciiTheme="minorEastAsia" w:hAnsiTheme="minorEastAsia" w:eastAsiaTheme="minorEastAsia"/>
          <w:color w:val="000000" w:themeColor="text1"/>
          <w:szCs w:val="21"/>
          <w:lang w:val="zh-CN"/>
          <w14:textFill>
            <w14:solidFill>
              <w14:schemeClr w14:val="tx1"/>
            </w14:solidFill>
          </w14:textFill>
        </w:rPr>
        <w:t>符合性</w:t>
      </w:r>
      <w:r>
        <w:rPr>
          <w:rFonts w:hint="eastAsia" w:asciiTheme="minorEastAsia" w:hAnsiTheme="minorEastAsia" w:eastAsiaTheme="minorEastAsia"/>
          <w:color w:val="000000" w:themeColor="text1"/>
          <w:szCs w:val="21"/>
          <w:lang w:val="zh-CN"/>
          <w14:textFill>
            <w14:solidFill>
              <w14:schemeClr w14:val="tx1"/>
            </w14:solidFill>
          </w14:textFill>
        </w:rPr>
        <w:t>审查</w:t>
      </w:r>
      <w:r>
        <w:rPr>
          <w:rFonts w:asciiTheme="minorEastAsia" w:hAnsiTheme="minorEastAsia" w:eastAsiaTheme="minorEastAsia"/>
          <w:color w:val="000000" w:themeColor="text1"/>
          <w:szCs w:val="21"/>
          <w:lang w:val="zh-CN"/>
          <w14:textFill>
            <w14:solidFill>
              <w14:schemeClr w14:val="tx1"/>
            </w14:solidFill>
          </w14:textFill>
        </w:rPr>
        <w:t>合格的投标文件进行比较和评价，包括技术、商务的详细评审</w:t>
      </w:r>
      <w:r>
        <w:rPr>
          <w:rFonts w:hint="eastAsia" w:asciiTheme="minorEastAsia" w:hAnsiTheme="minorEastAsia" w:eastAsiaTheme="minorEastAsia"/>
          <w:color w:val="000000" w:themeColor="text1"/>
          <w:szCs w:val="21"/>
          <w:lang w:val="zh-CN"/>
          <w14:textFill>
            <w14:solidFill>
              <w14:schemeClr w14:val="tx1"/>
            </w14:solidFill>
          </w14:textFill>
        </w:rPr>
        <w:t>，</w:t>
      </w:r>
      <w:r>
        <w:rPr>
          <w:rFonts w:asciiTheme="minorEastAsia" w:hAnsiTheme="minorEastAsia" w:eastAsiaTheme="minorEastAsia"/>
          <w:color w:val="000000" w:themeColor="text1"/>
          <w:szCs w:val="21"/>
          <w:lang w:val="zh-CN"/>
          <w14:textFill>
            <w14:solidFill>
              <w14:schemeClr w14:val="tx1"/>
            </w14:solidFill>
          </w14:textFill>
        </w:rPr>
        <w:t>详见</w:t>
      </w:r>
      <w:r>
        <w:rPr>
          <w:rFonts w:hint="eastAsia" w:asciiTheme="minorEastAsia" w:hAnsiTheme="minorEastAsia" w:eastAsiaTheme="minorEastAsia"/>
          <w:color w:val="000000" w:themeColor="text1"/>
          <w:szCs w:val="21"/>
          <w:lang w:val="zh-CN"/>
          <w14:textFill>
            <w14:solidFill>
              <w14:schemeClr w14:val="tx1"/>
            </w14:solidFill>
          </w14:textFill>
        </w:rPr>
        <w:t>第三章《评标、定标办法》。</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42" w:name="_Toc30747"/>
      <w:bookmarkStart w:id="143" w:name="_Toc93505770"/>
      <w:bookmarkStart w:id="144" w:name="_Toc441844084"/>
      <w:r>
        <w:rPr>
          <w:rFonts w:ascii="宋体" w:hAnsi="宋体"/>
          <w:b/>
          <w:bCs/>
          <w:color w:val="000000" w:themeColor="text1"/>
          <w:sz w:val="22"/>
          <w:szCs w:val="22"/>
          <w14:textFill>
            <w14:solidFill>
              <w14:schemeClr w14:val="tx1"/>
            </w14:solidFill>
          </w14:textFill>
        </w:rPr>
        <w:t>评标原则及方法</w:t>
      </w:r>
      <w:bookmarkEnd w:id="142"/>
      <w:bookmarkEnd w:id="143"/>
      <w:bookmarkEnd w:id="144"/>
    </w:p>
    <w:p>
      <w:pPr>
        <w:pStyle w:val="113"/>
        <w:numPr>
          <w:ilvl w:val="0"/>
          <w:numId w:val="38"/>
        </w:numPr>
        <w:tabs>
          <w:tab w:val="left" w:pos="360"/>
        </w:tabs>
        <w:spacing w:line="360" w:lineRule="auto"/>
        <w:ind w:left="567" w:right="51" w:hanging="567" w:firstLineChars="0"/>
        <w:rPr>
          <w:rFonts w:asciiTheme="minorEastAsia" w:hAnsiTheme="minorEastAsia" w:eastAsiaTheme="minorEastAsia"/>
          <w:color w:val="000000" w:themeColor="text1"/>
          <w:szCs w:val="21"/>
          <w:lang w:val="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评标原则：</w:t>
      </w:r>
      <w:r>
        <w:rPr>
          <w:rFonts w:hint="eastAsia" w:asciiTheme="minorEastAsia" w:hAnsiTheme="minorEastAsia" w:eastAsiaTheme="minorEastAsia"/>
          <w:color w:val="000000" w:themeColor="text1"/>
          <w:szCs w:val="21"/>
          <w:lang w:val="zh-CN"/>
          <w14:textFill>
            <w14:solidFill>
              <w14:schemeClr w14:val="tx1"/>
            </w14:solidFill>
          </w14:textFill>
        </w:rPr>
        <w:t>坚持</w:t>
      </w:r>
      <w:r>
        <w:rPr>
          <w:rFonts w:asciiTheme="minorEastAsia" w:hAnsiTheme="minorEastAsia" w:eastAsiaTheme="minorEastAsia"/>
          <w:color w:val="000000" w:themeColor="text1"/>
          <w:szCs w:val="21"/>
          <w:lang w:val="zh-CN"/>
          <w14:textFill>
            <w14:solidFill>
              <w14:schemeClr w14:val="tx1"/>
            </w14:solidFill>
          </w14:textFill>
        </w:rPr>
        <w:t>“</w:t>
      </w:r>
      <w:r>
        <w:rPr>
          <w:rFonts w:hint="eastAsia" w:asciiTheme="minorEastAsia" w:hAnsiTheme="minorEastAsia" w:eastAsiaTheme="minorEastAsia"/>
          <w:color w:val="000000" w:themeColor="text1"/>
          <w:szCs w:val="21"/>
          <w:lang w:val="zh-CN"/>
          <w14:textFill>
            <w14:solidFill>
              <w14:schemeClr w14:val="tx1"/>
            </w14:solidFill>
          </w14:textFill>
        </w:rPr>
        <w:t>公开、公平、公正、科学、择优</w:t>
      </w:r>
      <w:r>
        <w:rPr>
          <w:rFonts w:asciiTheme="minorEastAsia" w:hAnsiTheme="minorEastAsia" w:eastAsiaTheme="minorEastAsia"/>
          <w:color w:val="000000" w:themeColor="text1"/>
          <w:szCs w:val="21"/>
          <w:lang w:val="zh-CN"/>
          <w14:textFill>
            <w14:solidFill>
              <w14:schemeClr w14:val="tx1"/>
            </w14:solidFill>
          </w14:textFill>
        </w:rPr>
        <w:t>”</w:t>
      </w:r>
      <w:r>
        <w:rPr>
          <w:rFonts w:hint="eastAsia" w:asciiTheme="minorEastAsia" w:hAnsiTheme="minorEastAsia" w:eastAsiaTheme="minorEastAsia"/>
          <w:color w:val="000000" w:themeColor="text1"/>
          <w:szCs w:val="21"/>
          <w:lang w:val="zh-CN"/>
          <w14:textFill>
            <w14:solidFill>
              <w14:schemeClr w14:val="tx1"/>
            </w14:solidFill>
          </w14:textFill>
        </w:rPr>
        <w:t>的评标原则，严格评审。</w:t>
      </w:r>
    </w:p>
    <w:p>
      <w:pPr>
        <w:pStyle w:val="113"/>
        <w:numPr>
          <w:ilvl w:val="0"/>
          <w:numId w:val="38"/>
        </w:numPr>
        <w:tabs>
          <w:tab w:val="left" w:pos="360"/>
        </w:tabs>
        <w:spacing w:line="360" w:lineRule="auto"/>
        <w:ind w:left="567" w:right="51" w:hanging="567" w:firstLineChars="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本次招标的评标方法采用综合评分法，综合评分法是指投标文件满足招标文件全部实质性要求，且按照评审因素的量化指标评审得分最高的投标人为中标候选人的评标方法</w:t>
      </w:r>
      <w:r>
        <w:rPr>
          <w:rFonts w:ascii="宋体" w:hAnsi="宋体"/>
          <w:color w:val="000000" w:themeColor="text1"/>
          <w:sz w:val="22"/>
          <w:szCs w:val="22"/>
          <w:lang w:val="zh-CN"/>
          <w14:textFill>
            <w14:solidFill>
              <w14:schemeClr w14:val="tx1"/>
            </w14:solidFill>
          </w14:textFill>
        </w:rPr>
        <w:t>。</w:t>
      </w:r>
    </w:p>
    <w:p>
      <w:pPr>
        <w:pStyle w:val="113"/>
        <w:numPr>
          <w:ilvl w:val="0"/>
          <w:numId w:val="38"/>
        </w:numPr>
        <w:tabs>
          <w:tab w:val="left" w:pos="360"/>
        </w:tabs>
        <w:spacing w:line="360" w:lineRule="auto"/>
        <w:ind w:left="567" w:right="51"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具体评标方法</w:t>
      </w:r>
      <w:r>
        <w:rPr>
          <w:rFonts w:ascii="宋体" w:hAnsi="宋体"/>
          <w:b/>
          <w:color w:val="000000" w:themeColor="text1"/>
          <w:sz w:val="22"/>
          <w:szCs w:val="22"/>
          <w14:textFill>
            <w14:solidFill>
              <w14:schemeClr w14:val="tx1"/>
            </w14:solidFill>
          </w14:textFill>
        </w:rPr>
        <w:t>详见第三章</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评标办法</w:t>
      </w:r>
      <w:r>
        <w:rPr>
          <w:rFonts w:hint="eastAsia"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45" w:name="_Toc441844085"/>
      <w:bookmarkStart w:id="146" w:name="_Toc93505771"/>
      <w:bookmarkStart w:id="147" w:name="_Toc17808"/>
      <w:r>
        <w:rPr>
          <w:rFonts w:ascii="宋体" w:hAnsi="宋体"/>
          <w:b/>
          <w:bCs/>
          <w:color w:val="000000" w:themeColor="text1"/>
          <w:sz w:val="22"/>
          <w:szCs w:val="22"/>
          <w14:textFill>
            <w14:solidFill>
              <w14:schemeClr w14:val="tx1"/>
            </w14:solidFill>
          </w14:textFill>
        </w:rPr>
        <w:t>评标</w:t>
      </w:r>
      <w:r>
        <w:rPr>
          <w:rFonts w:hint="eastAsia" w:ascii="宋体" w:hAnsi="宋体"/>
          <w:b/>
          <w:bCs/>
          <w:color w:val="000000" w:themeColor="text1"/>
          <w:sz w:val="22"/>
          <w:szCs w:val="22"/>
          <w14:textFill>
            <w14:solidFill>
              <w14:schemeClr w14:val="tx1"/>
            </w14:solidFill>
          </w14:textFill>
        </w:rPr>
        <w:t>、</w:t>
      </w:r>
      <w:r>
        <w:rPr>
          <w:rFonts w:ascii="宋体" w:hAnsi="宋体"/>
          <w:b/>
          <w:bCs/>
          <w:color w:val="000000" w:themeColor="text1"/>
          <w:sz w:val="22"/>
          <w:szCs w:val="22"/>
          <w14:textFill>
            <w14:solidFill>
              <w14:schemeClr w14:val="tx1"/>
            </w14:solidFill>
          </w14:textFill>
        </w:rPr>
        <w:t>定标结果公示</w:t>
      </w:r>
      <w:bookmarkEnd w:id="145"/>
      <w:r>
        <w:rPr>
          <w:rFonts w:hint="eastAsia" w:ascii="宋体" w:hAnsi="宋体"/>
          <w:b/>
          <w:bCs/>
          <w:color w:val="000000" w:themeColor="text1"/>
          <w:sz w:val="22"/>
          <w:szCs w:val="22"/>
          <w14:textFill>
            <w14:solidFill>
              <w14:schemeClr w14:val="tx1"/>
            </w14:solidFill>
          </w14:textFill>
        </w:rPr>
        <w:t>及异议、投诉</w:t>
      </w:r>
      <w:bookmarkEnd w:id="146"/>
      <w:bookmarkEnd w:id="147"/>
    </w:p>
    <w:p>
      <w:pPr>
        <w:pStyle w:val="113"/>
        <w:numPr>
          <w:ilvl w:val="0"/>
          <w:numId w:val="39"/>
        </w:numPr>
        <w:spacing w:line="360" w:lineRule="auto"/>
        <w:ind w:firstLineChars="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招标人在招标公告发布媒体公示中标候选人，公示期为3日。投标人或者其他利害关系人对评标、定标结果有异议的，应当在中标候选人公示期间向招标人以书面的形式提出，并将完整的异议书面材料原件送达招标人，逾期则视为对评标结果无异议。超出提交异议截止时间而提出的任何疑问，招标人可不予答复。</w:t>
      </w:r>
    </w:p>
    <w:p>
      <w:pPr>
        <w:spacing w:line="360" w:lineRule="auto"/>
        <w:ind w:left="424" w:leftChars="202" w:firstLine="440" w:firstLineChars="20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招标人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pPr>
        <w:pStyle w:val="113"/>
        <w:numPr>
          <w:ilvl w:val="0"/>
          <w:numId w:val="39"/>
        </w:numPr>
        <w:spacing w:line="360" w:lineRule="auto"/>
        <w:ind w:firstLineChars="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结果公示后，中标候选人有义务在结果公示之日起3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w:t>
      </w:r>
      <w:r>
        <w:rPr>
          <w:rFonts w:hint="eastAsia" w:hAnsi="宋体"/>
          <w:color w:val="000000" w:themeColor="text1"/>
          <w:sz w:val="22"/>
          <w:szCs w:val="22"/>
          <w14:textFill>
            <w14:solidFill>
              <w14:schemeClr w14:val="tx1"/>
            </w14:solidFill>
          </w14:textFill>
        </w:rPr>
        <w:t>不退还</w:t>
      </w:r>
      <w:r>
        <w:rPr>
          <w:rFonts w:hint="eastAsia" w:hAnsi="宋体"/>
          <w:color w:val="000000" w:themeColor="text1"/>
          <w:sz w:val="22"/>
          <w:szCs w:val="22"/>
          <w:lang w:val="zh-CN"/>
          <w14:textFill>
            <w14:solidFill>
              <w14:schemeClr w14:val="tx1"/>
            </w14:solidFill>
          </w14:textFill>
        </w:rPr>
        <w:t>其投标保证金。涉嫌违法犯罪的，将</w:t>
      </w:r>
      <w:r>
        <w:rPr>
          <w:rFonts w:hAnsi="宋体"/>
          <w:color w:val="000000" w:themeColor="text1"/>
          <w:sz w:val="22"/>
          <w:szCs w:val="22"/>
          <w:lang w:val="zh-CN"/>
          <w14:textFill>
            <w14:solidFill>
              <w14:schemeClr w14:val="tx1"/>
            </w14:solidFill>
          </w14:textFill>
        </w:rPr>
        <w:t>移交司法机关处理</w:t>
      </w:r>
      <w:r>
        <w:rPr>
          <w:rFonts w:hint="eastAsia" w:hAnsi="宋体"/>
          <w:color w:val="000000" w:themeColor="text1"/>
          <w:sz w:val="22"/>
          <w:szCs w:val="22"/>
          <w:lang w:val="zh-CN"/>
          <w14:textFill>
            <w14:solidFill>
              <w14:schemeClr w14:val="tx1"/>
            </w14:solidFill>
          </w14:textFill>
        </w:rPr>
        <w:t>。</w:t>
      </w:r>
    </w:p>
    <w:p>
      <w:pPr>
        <w:pStyle w:val="113"/>
        <w:numPr>
          <w:ilvl w:val="0"/>
          <w:numId w:val="39"/>
        </w:numPr>
        <w:spacing w:line="360" w:lineRule="auto"/>
        <w:ind w:firstLineChars="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投标人或者其他利害关系人认为招标投标活动不符合法律、行政法规规定的，可以自知道或者应当知道之日起</w:t>
      </w:r>
      <w:r>
        <w:rPr>
          <w:rFonts w:hint="eastAsia" w:ascii="宋体" w:hAnsi="宋体"/>
          <w:color w:val="000000" w:themeColor="text1"/>
          <w:sz w:val="22"/>
          <w:szCs w:val="22"/>
          <w:lang w:val="zh-CN"/>
          <w14:textFill>
            <w14:solidFill>
              <w14:schemeClr w14:val="tx1"/>
            </w14:solidFill>
          </w14:textFill>
        </w:rPr>
        <w:t>10</w:t>
      </w:r>
      <w:r>
        <w:rPr>
          <w:rFonts w:hint="eastAsia" w:hAnsi="宋体"/>
          <w:color w:val="000000" w:themeColor="text1"/>
          <w:sz w:val="22"/>
          <w:szCs w:val="22"/>
          <w:lang w:val="zh-CN"/>
          <w14:textFill>
            <w14:solidFill>
              <w14:schemeClr w14:val="tx1"/>
            </w14:solidFill>
          </w14:textFill>
        </w:rPr>
        <w:t>日内，按程序向招标人招标活动的</w:t>
      </w:r>
      <w:r>
        <w:rPr>
          <w:rFonts w:hAnsi="宋体"/>
          <w:color w:val="000000" w:themeColor="text1"/>
          <w:sz w:val="22"/>
          <w:szCs w:val="22"/>
          <w:lang w:val="zh-CN"/>
          <w14:textFill>
            <w14:solidFill>
              <w14:schemeClr w14:val="tx1"/>
            </w14:solidFill>
          </w14:textFill>
        </w:rPr>
        <w:t>监督</w:t>
      </w:r>
      <w:r>
        <w:rPr>
          <w:rFonts w:hint="eastAsia" w:hAnsi="宋体"/>
          <w:color w:val="000000" w:themeColor="text1"/>
          <w:sz w:val="22"/>
          <w:szCs w:val="22"/>
          <w:lang w:val="zh-CN"/>
          <w14:textFill>
            <w14:solidFill>
              <w14:schemeClr w14:val="tx1"/>
            </w14:solidFill>
          </w14:textFill>
        </w:rPr>
        <w:t>部门</w:t>
      </w:r>
      <w:r>
        <w:rPr>
          <w:rFonts w:hAnsi="宋体"/>
          <w:color w:val="000000" w:themeColor="text1"/>
          <w:sz w:val="22"/>
          <w:szCs w:val="22"/>
          <w:lang w:val="zh-CN"/>
          <w14:textFill>
            <w14:solidFill>
              <w14:schemeClr w14:val="tx1"/>
            </w14:solidFill>
          </w14:textFill>
        </w:rPr>
        <w:t>投诉。</w:t>
      </w:r>
      <w:r>
        <w:rPr>
          <w:rFonts w:hint="eastAsia" w:hAnsi="宋体"/>
          <w:color w:val="000000" w:themeColor="text1"/>
          <w:sz w:val="22"/>
          <w:szCs w:val="22"/>
          <w:lang w:val="zh-CN"/>
          <w14:textFill>
            <w14:solidFill>
              <w14:schemeClr w14:val="tx1"/>
            </w14:solidFill>
          </w14:textFill>
        </w:rPr>
        <w:t>投诉应当有明确的请求和必要的证明材料。</w:t>
      </w:r>
    </w:p>
    <w:p>
      <w:pPr>
        <w:pStyle w:val="113"/>
        <w:spacing w:line="360" w:lineRule="auto"/>
        <w:ind w:left="420" w:firstLine="4" w:firstLineChars="2"/>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（一）投诉人和被投诉人的姓名或者名称、通讯地址、邮编、联系人及联系电话；</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（二）异议和异议答复情况说明及相关证明材料；</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（三）具体、明确的投诉事项和与投诉事项相关的投诉请求；</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（四）事实依据；</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（五）法律依据；</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（六）提起投诉的日期。</w:t>
      </w:r>
    </w:p>
    <w:p>
      <w:pPr>
        <w:pStyle w:val="113"/>
        <w:spacing w:line="360" w:lineRule="auto"/>
        <w:ind w:left="420" w:firstLine="4" w:firstLineChars="2"/>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xml:space="preserve">  </w:t>
      </w:r>
      <w:r>
        <w:rPr>
          <w:rFonts w:hAnsi="宋体"/>
          <w:color w:val="000000" w:themeColor="text1"/>
          <w:sz w:val="22"/>
          <w:szCs w:val="22"/>
          <w:lang w:val="zh-CN"/>
          <w14:textFill>
            <w14:solidFill>
              <w14:schemeClr w14:val="tx1"/>
            </w14:solidFill>
          </w14:textFill>
        </w:rPr>
        <w:t xml:space="preserve">    </w:t>
      </w:r>
      <w:r>
        <w:rPr>
          <w:rFonts w:hint="eastAsia" w:hAnsi="宋体"/>
          <w:color w:val="000000" w:themeColor="text1"/>
          <w:sz w:val="22"/>
          <w:szCs w:val="22"/>
          <w:lang w:val="zh-CN"/>
          <w14:textFill>
            <w14:solidFill>
              <w14:schemeClr w14:val="tx1"/>
            </w14:solidFill>
          </w14:textFill>
        </w:rPr>
        <w:t>投诉人为法人或者其他组织的，应当由法定代表人、主要负责人，或者其授权代表签字或者盖章，并加盖公章。投诉人投诉的事项不得超出已异议事项的范围，但基于异议答复内容提出的投诉事项除外。</w:t>
      </w:r>
    </w:p>
    <w:p>
      <w:pPr>
        <w:snapToGrid w:val="0"/>
        <w:spacing w:line="360" w:lineRule="auto"/>
        <w:ind w:left="525" w:leftChars="250" w:firstLine="440" w:firstLineChars="20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投诉部门：东莞市数据互联有限公司</w:t>
      </w:r>
      <w:r>
        <w:rPr>
          <w:rFonts w:hint="eastAsia" w:ascii="宋体" w:hAnsi="宋体"/>
          <w:color w:val="000000" w:themeColor="text1"/>
          <w:sz w:val="22"/>
          <w:szCs w:val="22"/>
          <w14:textFill>
            <w14:solidFill>
              <w14:schemeClr w14:val="tx1"/>
            </w14:solidFill>
          </w14:textFill>
        </w:rPr>
        <w:t>综合事务</w:t>
      </w:r>
      <w:r>
        <w:rPr>
          <w:rFonts w:hint="eastAsia" w:ascii="宋体" w:hAnsi="宋体"/>
          <w:color w:val="000000" w:themeColor="text1"/>
          <w:sz w:val="22"/>
          <w:szCs w:val="22"/>
          <w:lang w:val="zh-CN"/>
          <w14:textFill>
            <w14:solidFill>
              <w14:schemeClr w14:val="tx1"/>
            </w14:solidFill>
          </w14:textFill>
        </w:rPr>
        <w:t>部，联系人：</w:t>
      </w:r>
      <w:r>
        <w:rPr>
          <w:rFonts w:hint="eastAsia" w:ascii="宋体" w:hAnsi="宋体"/>
          <w:color w:val="000000" w:themeColor="text1"/>
          <w:sz w:val="22"/>
          <w:szCs w:val="22"/>
          <w14:textFill>
            <w14:solidFill>
              <w14:schemeClr w14:val="tx1"/>
            </w14:solidFill>
          </w14:textFill>
        </w:rPr>
        <w:t>黄先生</w:t>
      </w:r>
      <w:r>
        <w:rPr>
          <w:rFonts w:hint="eastAsia" w:ascii="宋体" w:hAnsi="宋体"/>
          <w:color w:val="000000" w:themeColor="text1"/>
          <w:sz w:val="22"/>
          <w:szCs w:val="22"/>
          <w:lang w:val="zh-CN"/>
          <w14:textFill>
            <w14:solidFill>
              <w14:schemeClr w14:val="tx1"/>
            </w14:solidFill>
          </w14:textFill>
        </w:rPr>
        <w:t>，联系电话：0769-23308225</w:t>
      </w:r>
      <w:r>
        <w:rPr>
          <w:rFonts w:ascii="宋体" w:hAnsi="宋体"/>
          <w:color w:val="000000" w:themeColor="text1"/>
          <w:sz w:val="22"/>
          <w:szCs w:val="22"/>
          <w:lang w:val="zh-CN"/>
          <w14:textFill>
            <w14:solidFill>
              <w14:schemeClr w14:val="tx1"/>
            </w14:solidFill>
          </w14:textFill>
        </w:rPr>
        <w:t xml:space="preserve"> </w:t>
      </w:r>
      <w:r>
        <w:rPr>
          <w:rFonts w:hint="eastAsia" w:ascii="宋体" w:hAnsi="宋体"/>
          <w:color w:val="000000" w:themeColor="text1"/>
          <w:sz w:val="22"/>
          <w:szCs w:val="22"/>
          <w:lang w:val="zh-CN"/>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48" w:name="_Toc93505772"/>
      <w:bookmarkStart w:id="149" w:name="_Toc25540"/>
      <w:bookmarkStart w:id="150" w:name="_Hlk3198297"/>
      <w:r>
        <w:rPr>
          <w:rFonts w:hint="eastAsia" w:ascii="宋体" w:hAnsi="宋体"/>
          <w:b/>
          <w:bCs/>
          <w:color w:val="000000" w:themeColor="text1"/>
          <w:sz w:val="22"/>
          <w:szCs w:val="22"/>
          <w14:textFill>
            <w14:solidFill>
              <w14:schemeClr w14:val="tx1"/>
            </w14:solidFill>
          </w14:textFill>
        </w:rPr>
        <w:t>真实性审查</w:t>
      </w:r>
      <w:bookmarkEnd w:id="148"/>
      <w:bookmarkEnd w:id="149"/>
    </w:p>
    <w:bookmarkEnd w:id="150"/>
    <w:p>
      <w:pPr>
        <w:pStyle w:val="113"/>
        <w:numPr>
          <w:ilvl w:val="0"/>
          <w:numId w:val="40"/>
        </w:numPr>
        <w:spacing w:after="60" w:line="360" w:lineRule="auto"/>
        <w:ind w:left="567" w:hanging="567" w:firstLineChars="0"/>
        <w:rPr>
          <w:rFonts w:ascii="黑体" w:hAnsi="黑体" w:eastAsia="黑体" w:cs="黑体"/>
          <w:b/>
          <w:bCs/>
          <w:color w:val="000000" w:themeColor="text1"/>
          <w:sz w:val="22"/>
          <w:szCs w:val="22"/>
          <w14:textFill>
            <w14:solidFill>
              <w14:schemeClr w14:val="tx1"/>
            </w14:solidFill>
          </w14:textFill>
        </w:rPr>
      </w:pPr>
      <w:r>
        <w:rPr>
          <w:rFonts w:hint="eastAsia" w:ascii="黑体" w:hAnsi="黑体" w:eastAsia="黑体" w:cs="黑体"/>
          <w:b/>
          <w:bCs/>
          <w:color w:val="000000" w:themeColor="text1"/>
          <w:sz w:val="22"/>
          <w:szCs w:val="22"/>
          <w14:textFill>
            <w14:solidFill>
              <w14:schemeClr w14:val="tx1"/>
            </w14:solidFill>
          </w14:textFill>
        </w:rPr>
        <w:t>在授予合同前，招标人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pStyle w:val="113"/>
        <w:numPr>
          <w:ilvl w:val="0"/>
          <w:numId w:val="40"/>
        </w:numPr>
        <w:spacing w:after="60" w:line="360" w:lineRule="auto"/>
        <w:ind w:left="567" w:hanging="567" w:firstLineChars="0"/>
        <w:rPr>
          <w:rFonts w:ascii="黑体" w:hAnsi="黑体" w:eastAsia="黑体" w:cs="黑体"/>
          <w:b/>
          <w:bCs/>
          <w:color w:val="000000" w:themeColor="text1"/>
          <w:sz w:val="22"/>
          <w:szCs w:val="22"/>
          <w14:textFill>
            <w14:solidFill>
              <w14:schemeClr w14:val="tx1"/>
            </w14:solidFill>
          </w14:textFill>
        </w:rPr>
      </w:pPr>
      <w:r>
        <w:rPr>
          <w:rFonts w:hint="eastAsia" w:ascii="黑体" w:hAnsi="黑体" w:eastAsia="黑体" w:cs="黑体"/>
          <w:b/>
          <w:bCs/>
          <w:color w:val="000000" w:themeColor="text1"/>
          <w:sz w:val="22"/>
          <w:szCs w:val="22"/>
          <w14:textFill>
            <w14:solidFill>
              <w14:schemeClr w14:val="tx1"/>
            </w14:solidFill>
          </w14:textFill>
        </w:rPr>
        <w:t>投标人在招标人或评标委员会通知其提供上述证明资料原件进行核查的要求后，未能在约定的时间内提供原件进行核查的，视为投标人无法提供真实的资料，</w:t>
      </w:r>
      <w:r>
        <w:rPr>
          <w:rFonts w:ascii="黑体" w:hAnsi="黑体" w:eastAsia="黑体" w:cs="黑体"/>
          <w:b/>
          <w:bCs/>
          <w:color w:val="000000" w:themeColor="text1"/>
          <w:sz w:val="22"/>
          <w:szCs w:val="22"/>
          <w14:textFill>
            <w14:solidFill>
              <w14:schemeClr w14:val="tx1"/>
            </w14:solidFill>
          </w14:textFill>
        </w:rPr>
        <w:t xml:space="preserve"> </w:t>
      </w:r>
      <w:r>
        <w:rPr>
          <w:rFonts w:hint="eastAsia" w:ascii="黑体" w:hAnsi="黑体" w:eastAsia="黑体" w:cs="黑体"/>
          <w:b/>
          <w:bCs/>
          <w:color w:val="000000" w:themeColor="text1"/>
          <w:sz w:val="22"/>
          <w:szCs w:val="22"/>
          <w14:textFill>
            <w14:solidFill>
              <w14:schemeClr w14:val="tx1"/>
            </w14:solidFill>
          </w14:textFill>
        </w:rPr>
        <w:t>招标人有权</w:t>
      </w:r>
      <w:r>
        <w:rPr>
          <w:rFonts w:ascii="黑体" w:hAnsi="黑体" w:eastAsia="黑体" w:cs="黑体"/>
          <w:b/>
          <w:bCs/>
          <w:color w:val="000000" w:themeColor="text1"/>
          <w:sz w:val="22"/>
          <w:szCs w:val="22"/>
          <w14:textFill>
            <w14:solidFill>
              <w14:schemeClr w14:val="tx1"/>
            </w14:solidFill>
          </w14:textFill>
        </w:rPr>
        <w:t>按照中标候选人名单排序依次确定其他中标候选人为中标人或重新招标</w:t>
      </w:r>
      <w:r>
        <w:rPr>
          <w:rFonts w:hint="eastAsia" w:ascii="黑体" w:hAnsi="黑体" w:eastAsia="黑体" w:cs="黑体"/>
          <w:b/>
          <w:bCs/>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51" w:name="_Toc93505773"/>
      <w:bookmarkStart w:id="152" w:name="_Toc9054"/>
      <w:bookmarkStart w:id="153" w:name="_Toc441844087"/>
      <w:r>
        <w:rPr>
          <w:rFonts w:ascii="宋体" w:hAnsi="宋体"/>
          <w:b/>
          <w:bCs/>
          <w:color w:val="000000" w:themeColor="text1"/>
          <w:sz w:val="22"/>
          <w:szCs w:val="22"/>
          <w14:textFill>
            <w14:solidFill>
              <w14:schemeClr w14:val="tx1"/>
            </w14:solidFill>
          </w14:textFill>
        </w:rPr>
        <w:t>中标通知书</w:t>
      </w:r>
      <w:bookmarkEnd w:id="151"/>
      <w:bookmarkEnd w:id="152"/>
      <w:bookmarkEnd w:id="153"/>
    </w:p>
    <w:p>
      <w:pPr>
        <w:pStyle w:val="113"/>
        <w:numPr>
          <w:ilvl w:val="0"/>
          <w:numId w:val="41"/>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中标人确定后，</w:t>
      </w:r>
      <w:r>
        <w:rPr>
          <w:rFonts w:ascii="宋体" w:hAnsi="宋体"/>
          <w:color w:val="000000" w:themeColor="text1"/>
          <w:sz w:val="22"/>
          <w:szCs w:val="22"/>
          <w14:textFill>
            <w14:solidFill>
              <w14:schemeClr w14:val="tx1"/>
            </w14:solidFill>
          </w14:textFill>
        </w:rPr>
        <w:t>招标人将向中标人发出中标通</w:t>
      </w:r>
      <w:r>
        <w:rPr>
          <w:rFonts w:hint="eastAsia" w:ascii="宋体" w:hAnsi="宋体"/>
          <w:color w:val="000000" w:themeColor="text1"/>
          <w:sz w:val="22"/>
          <w:szCs w:val="22"/>
          <w14:textFill>
            <w14:solidFill>
              <w14:schemeClr w14:val="tx1"/>
            </w14:solidFill>
          </w14:textFill>
        </w:rPr>
        <w:t>知书。</w:t>
      </w:r>
    </w:p>
    <w:p>
      <w:pPr>
        <w:pStyle w:val="113"/>
        <w:numPr>
          <w:ilvl w:val="0"/>
          <w:numId w:val="41"/>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中标通知书是合同的一个组成部分。对招标人和中标人具有法律效力。中标通知书发出后，招标人改变中标结果的，或者中标人放弃中标项目的，应当依法承担法律责任。</w:t>
      </w:r>
    </w:p>
    <w:p>
      <w:pPr>
        <w:pStyle w:val="4"/>
        <w:tabs>
          <w:tab w:val="left" w:pos="142"/>
          <w:tab w:val="clear" w:pos="1440"/>
        </w:tabs>
        <w:ind w:left="0" w:firstLine="0"/>
        <w:rPr>
          <w:rFonts w:ascii="宋体" w:hAnsi="宋体" w:eastAsia="宋体"/>
          <w:color w:val="000000" w:themeColor="text1"/>
          <w:sz w:val="22"/>
          <w:szCs w:val="22"/>
          <w:lang w:val="zh-CN"/>
          <w14:textFill>
            <w14:solidFill>
              <w14:schemeClr w14:val="tx1"/>
            </w14:solidFill>
          </w14:textFill>
        </w:rPr>
      </w:pPr>
      <w:bookmarkStart w:id="154" w:name="_Toc19482"/>
      <w:bookmarkStart w:id="155" w:name="_Toc93505774"/>
      <w:bookmarkStart w:id="156" w:name="_Toc427232330"/>
      <w:bookmarkStart w:id="157" w:name="_Toc441844088"/>
      <w:r>
        <w:rPr>
          <w:rFonts w:ascii="宋体" w:hAnsi="宋体" w:eastAsia="宋体"/>
          <w:color w:val="000000" w:themeColor="text1"/>
          <w:sz w:val="22"/>
          <w:szCs w:val="22"/>
          <w:lang w:val="zh-CN"/>
          <w14:textFill>
            <w14:solidFill>
              <w14:schemeClr w14:val="tx1"/>
            </w14:solidFill>
          </w14:textFill>
        </w:rPr>
        <w:t>（六）合同的授予</w:t>
      </w:r>
      <w:bookmarkEnd w:id="154"/>
      <w:bookmarkEnd w:id="155"/>
      <w:bookmarkEnd w:id="156"/>
      <w:bookmarkEnd w:id="157"/>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58" w:name="_Toc441844089"/>
      <w:bookmarkStart w:id="159" w:name="_Toc427232331"/>
      <w:bookmarkStart w:id="160" w:name="_Toc14525"/>
      <w:bookmarkStart w:id="161" w:name="_Toc93505775"/>
      <w:r>
        <w:rPr>
          <w:rFonts w:ascii="宋体" w:hAnsi="宋体"/>
          <w:b/>
          <w:bCs/>
          <w:color w:val="000000" w:themeColor="text1"/>
          <w:sz w:val="22"/>
          <w:szCs w:val="22"/>
          <w14:textFill>
            <w14:solidFill>
              <w14:schemeClr w14:val="tx1"/>
            </w14:solidFill>
          </w14:textFill>
        </w:rPr>
        <w:t>合同授予标准</w:t>
      </w:r>
      <w:bookmarkEnd w:id="158"/>
      <w:bookmarkEnd w:id="159"/>
      <w:bookmarkEnd w:id="160"/>
      <w:bookmarkEnd w:id="161"/>
    </w:p>
    <w:p>
      <w:pPr>
        <w:pStyle w:val="69"/>
        <w:numPr>
          <w:ilvl w:val="0"/>
          <w:numId w:val="42"/>
        </w:numPr>
        <w:tabs>
          <w:tab w:val="left" w:pos="709"/>
        </w:tabs>
        <w:spacing w:line="360" w:lineRule="auto"/>
        <w:ind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招标人</w:t>
      </w:r>
      <w:r>
        <w:rPr>
          <w:rFonts w:hint="eastAsia" w:asciiTheme="minorEastAsia" w:hAnsiTheme="minorEastAsia" w:eastAsiaTheme="minorEastAsia"/>
          <w:color w:val="000000" w:themeColor="text1"/>
          <w:kern w:val="0"/>
          <w:sz w:val="21"/>
          <w:szCs w:val="21"/>
          <w14:textFill>
            <w14:solidFill>
              <w14:schemeClr w14:val="tx1"/>
            </w14:solidFill>
          </w14:textFill>
        </w:rPr>
        <w:t>根据中标结果授予合同</w:t>
      </w:r>
      <w:r>
        <w:rPr>
          <w:rFonts w:asciiTheme="minorEastAsia" w:hAnsiTheme="minorEastAsia" w:eastAsiaTheme="minorEastAsia"/>
          <w:color w:val="000000" w:themeColor="text1"/>
          <w:kern w:val="0"/>
          <w:sz w:val="21"/>
          <w:szCs w:val="21"/>
          <w:lang w:val="zh-CN"/>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62" w:name="_Toc441844090"/>
      <w:bookmarkStart w:id="163" w:name="_Toc93505776"/>
      <w:bookmarkStart w:id="164" w:name="_Toc9728"/>
      <w:bookmarkStart w:id="165" w:name="_Toc321917131"/>
      <w:bookmarkStart w:id="166" w:name="_Toc401738073"/>
      <w:bookmarkStart w:id="167" w:name="_Toc395863102"/>
      <w:bookmarkStart w:id="168" w:name="_Toc427232334"/>
      <w:bookmarkStart w:id="169" w:name="_Toc321994755"/>
      <w:bookmarkStart w:id="170" w:name="_Toc326689490"/>
      <w:bookmarkStart w:id="171" w:name="_Toc326689400"/>
      <w:r>
        <w:rPr>
          <w:rFonts w:ascii="宋体" w:hAnsi="宋体"/>
          <w:b/>
          <w:bCs/>
          <w:color w:val="000000" w:themeColor="text1"/>
          <w:sz w:val="22"/>
          <w:szCs w:val="22"/>
          <w14:textFill>
            <w14:solidFill>
              <w14:schemeClr w14:val="tx1"/>
            </w14:solidFill>
          </w14:textFill>
        </w:rPr>
        <w:t>接受和拒绝任何或所有投标的权利</w:t>
      </w:r>
      <w:bookmarkEnd w:id="162"/>
      <w:bookmarkEnd w:id="163"/>
      <w:bookmarkEnd w:id="164"/>
    </w:p>
    <w:p>
      <w:pPr>
        <w:pStyle w:val="69"/>
        <w:numPr>
          <w:ilvl w:val="0"/>
          <w:numId w:val="43"/>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bookmarkStart w:id="172" w:name="_Toc326689399"/>
      <w:bookmarkStart w:id="173" w:name="_Toc395863101"/>
      <w:bookmarkStart w:id="174" w:name="_Toc401738072"/>
      <w:bookmarkStart w:id="175" w:name="_Toc326689489"/>
      <w:bookmarkStart w:id="176" w:name="_Toc321994754"/>
      <w:bookmarkStart w:id="177" w:name="_Toc427232333"/>
      <w:bookmarkStart w:id="178" w:name="_Toc321917130"/>
      <w:bookmarkStart w:id="179" w:name="_Toc441844091"/>
      <w:r>
        <w:rPr>
          <w:rFonts w:asciiTheme="minorEastAsia" w:hAnsiTheme="minorEastAsia" w:eastAsiaTheme="minorEastAsia"/>
          <w:color w:val="000000" w:themeColor="text1"/>
          <w:kern w:val="0"/>
          <w:sz w:val="21"/>
          <w:szCs w:val="21"/>
          <w:lang w:val="zh-CN"/>
          <w14:textFill>
            <w14:solidFill>
              <w14:schemeClr w14:val="tx1"/>
            </w14:solidFill>
          </w14:textFill>
        </w:rPr>
        <w:t>招标人在确定中标人之前，有权依据评标委员</w:t>
      </w:r>
      <w:bookmarkEnd w:id="172"/>
      <w:bookmarkEnd w:id="173"/>
      <w:bookmarkEnd w:id="174"/>
      <w:bookmarkEnd w:id="175"/>
      <w:bookmarkEnd w:id="176"/>
      <w:bookmarkEnd w:id="177"/>
      <w:bookmarkEnd w:id="178"/>
      <w:r>
        <w:rPr>
          <w:rFonts w:asciiTheme="minorEastAsia" w:hAnsiTheme="minorEastAsia" w:eastAsiaTheme="minorEastAsia"/>
          <w:color w:val="000000" w:themeColor="text1"/>
          <w:kern w:val="0"/>
          <w:sz w:val="21"/>
          <w:szCs w:val="21"/>
          <w:lang w:val="zh-CN"/>
          <w14:textFill>
            <w14:solidFill>
              <w14:schemeClr w14:val="tx1"/>
            </w14:solidFill>
          </w14:textFill>
        </w:rPr>
        <w:t>会的评标报告拒绝不合格的投标。</w:t>
      </w:r>
      <w:bookmarkEnd w:id="179"/>
    </w:p>
    <w:p>
      <w:pPr>
        <w:pStyle w:val="69"/>
        <w:numPr>
          <w:ilvl w:val="0"/>
          <w:numId w:val="43"/>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招标人保留在授标之前任何时候接受或拒绝任何投标，以及宣布招标程序无效或拒绝所有投标的权利，对受影响的投标人不承担任何责任。</w:t>
      </w:r>
      <w:bookmarkEnd w:id="165"/>
      <w:bookmarkEnd w:id="166"/>
      <w:bookmarkEnd w:id="167"/>
      <w:bookmarkEnd w:id="168"/>
      <w:bookmarkEnd w:id="169"/>
      <w:bookmarkEnd w:id="170"/>
      <w:bookmarkEnd w:id="171"/>
    </w:p>
    <w:p>
      <w:pPr>
        <w:pStyle w:val="69"/>
        <w:numPr>
          <w:ilvl w:val="0"/>
          <w:numId w:val="43"/>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因不可抗力或自身原因不能履行合同的、不按要求与招标人签订合同、中标人放弃中标、中标资格被依法确认无效的，招标</w:t>
      </w:r>
      <w:r>
        <w:rPr>
          <w:rFonts w:ascii="宋体" w:eastAsia="宋体"/>
          <w:color w:val="000000" w:themeColor="text1"/>
          <w:sz w:val="22"/>
          <w:szCs w:val="22"/>
          <w14:textFill>
            <w14:solidFill>
              <w14:schemeClr w14:val="tx1"/>
            </w14:solidFill>
          </w14:textFill>
        </w:rPr>
        <w:t>人可以按照评标委员会提出的中标候选人名单排序依次确定其他中标候选人为中标人或重新招标。</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0" w:name="_Toc93505777"/>
      <w:bookmarkStart w:id="181" w:name="_Toc441844092"/>
      <w:bookmarkStart w:id="182" w:name="_Toc427232335"/>
      <w:bookmarkStart w:id="183" w:name="_Toc19871"/>
      <w:r>
        <w:rPr>
          <w:rFonts w:ascii="宋体" w:hAnsi="宋体"/>
          <w:b/>
          <w:bCs/>
          <w:color w:val="000000" w:themeColor="text1"/>
          <w:sz w:val="22"/>
          <w:szCs w:val="22"/>
          <w14:textFill>
            <w14:solidFill>
              <w14:schemeClr w14:val="tx1"/>
            </w14:solidFill>
          </w14:textFill>
        </w:rPr>
        <w:t>授标时更改采购数量的权利</w:t>
      </w:r>
      <w:bookmarkEnd w:id="180"/>
      <w:bookmarkEnd w:id="181"/>
      <w:bookmarkEnd w:id="182"/>
      <w:bookmarkEnd w:id="183"/>
    </w:p>
    <w:p>
      <w:pPr>
        <w:spacing w:after="60" w:line="360" w:lineRule="auto"/>
        <w:ind w:left="422" w:leftChars="199" w:hanging="4" w:hangingChars="2"/>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招标人在授予合同时有权在（数量增减变更：</w:t>
      </w:r>
      <w:r>
        <w:rPr>
          <w:rFonts w:hint="eastAsia" w:ascii="宋体" w:hAnsi="宋体"/>
          <w:color w:val="000000" w:themeColor="text1"/>
          <w:sz w:val="22"/>
          <w:szCs w:val="22"/>
          <w14:textFill>
            <w14:solidFill>
              <w14:schemeClr w14:val="tx1"/>
            </w14:solidFill>
          </w14:textFill>
        </w:rPr>
        <w:t>中标</w:t>
      </w:r>
      <w:r>
        <w:rPr>
          <w:rFonts w:ascii="宋体" w:hAnsi="宋体"/>
          <w:color w:val="000000" w:themeColor="text1"/>
          <w:sz w:val="22"/>
          <w:szCs w:val="22"/>
          <w14:textFill>
            <w14:solidFill>
              <w14:schemeClr w14:val="tx1"/>
            </w14:solidFill>
          </w14:textFill>
        </w:rPr>
        <w:t>价的±10%）幅度内对“用户需求书”中规定的</w:t>
      </w:r>
      <w:r>
        <w:rPr>
          <w:rFonts w:hint="eastAsia" w:ascii="宋体" w:hAnsi="宋体"/>
          <w:color w:val="000000" w:themeColor="text1"/>
          <w:sz w:val="22"/>
          <w:szCs w:val="22"/>
          <w14:textFill>
            <w14:solidFill>
              <w14:schemeClr w14:val="tx1"/>
            </w14:solidFill>
          </w14:textFill>
        </w:rPr>
        <w:t>货物或服</w:t>
      </w:r>
      <w:r>
        <w:rPr>
          <w:rFonts w:ascii="宋体" w:hAnsi="宋体"/>
          <w:color w:val="000000" w:themeColor="text1"/>
          <w:sz w:val="22"/>
          <w:szCs w:val="22"/>
          <w14:textFill>
            <w14:solidFill>
              <w14:schemeClr w14:val="tx1"/>
            </w14:solidFill>
          </w14:textFill>
        </w:rPr>
        <w:t>物</w:t>
      </w:r>
      <w:r>
        <w:rPr>
          <w:rFonts w:hint="eastAsia" w:ascii="宋体" w:hAnsi="宋体"/>
          <w:color w:val="000000" w:themeColor="text1"/>
          <w:sz w:val="22"/>
          <w:szCs w:val="22"/>
          <w14:textFill>
            <w14:solidFill>
              <w14:schemeClr w14:val="tx1"/>
            </w14:solidFill>
          </w14:textFill>
        </w:rPr>
        <w:t>范围</w:t>
      </w:r>
      <w:r>
        <w:rPr>
          <w:rFonts w:ascii="宋体" w:hAnsi="宋体"/>
          <w:color w:val="000000" w:themeColor="text1"/>
          <w:sz w:val="22"/>
          <w:szCs w:val="22"/>
          <w14:textFill>
            <w14:solidFill>
              <w14:schemeClr w14:val="tx1"/>
            </w14:solidFill>
          </w14:textFill>
        </w:rPr>
        <w:t>予以增加或减少，但不得对单价或其它的条款和条件做任何改变。</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4" w:name="_Toc441844093"/>
      <w:bookmarkStart w:id="185" w:name="_Toc427232337"/>
      <w:bookmarkStart w:id="186" w:name="_Toc11707"/>
      <w:bookmarkStart w:id="187" w:name="_Toc93505778"/>
      <w:r>
        <w:rPr>
          <w:rFonts w:ascii="宋体" w:hAnsi="宋体"/>
          <w:b/>
          <w:bCs/>
          <w:color w:val="000000" w:themeColor="text1"/>
          <w:sz w:val="22"/>
          <w:szCs w:val="22"/>
          <w14:textFill>
            <w14:solidFill>
              <w14:schemeClr w14:val="tx1"/>
            </w14:solidFill>
          </w14:textFill>
        </w:rPr>
        <w:t>履约</w:t>
      </w:r>
      <w:bookmarkEnd w:id="184"/>
      <w:bookmarkEnd w:id="185"/>
      <w:r>
        <w:rPr>
          <w:rFonts w:hint="eastAsia" w:ascii="宋体" w:hAnsi="宋体"/>
          <w:b/>
          <w:bCs/>
          <w:color w:val="000000" w:themeColor="text1"/>
          <w:sz w:val="22"/>
          <w:szCs w:val="22"/>
          <w14:textFill>
            <w14:solidFill>
              <w14:schemeClr w14:val="tx1"/>
            </w14:solidFill>
          </w14:textFill>
        </w:rPr>
        <w:t>担保</w:t>
      </w:r>
      <w:bookmarkEnd w:id="186"/>
      <w:bookmarkEnd w:id="187"/>
    </w:p>
    <w:p>
      <w:pPr>
        <w:pStyle w:val="113"/>
        <w:numPr>
          <w:ilvl w:val="0"/>
          <w:numId w:val="44"/>
        </w:numPr>
        <w:spacing w:line="360" w:lineRule="auto"/>
        <w:ind w:left="567" w:hanging="563"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中标的投标人必须在发出通知后的十个日历日内交纳履约担保，其提交履约担保金额</w:t>
      </w:r>
      <w:r>
        <w:rPr>
          <w:rFonts w:hint="eastAsia" w:ascii="宋体" w:hAnsi="宋体"/>
          <w:b/>
          <w:color w:val="000000" w:themeColor="text1"/>
          <w:sz w:val="22"/>
          <w:szCs w:val="22"/>
          <w:u w:val="single"/>
          <w14:textFill>
            <w14:solidFill>
              <w14:schemeClr w14:val="tx1"/>
            </w14:solidFill>
          </w14:textFill>
        </w:rPr>
        <w:t>详见《投标人须知前附表》</w:t>
      </w:r>
      <w:r>
        <w:rPr>
          <w:rFonts w:hint="eastAsia" w:ascii="宋体" w:hAnsi="宋体"/>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8" w:name="_Toc93505779"/>
      <w:bookmarkStart w:id="189" w:name="_Toc22765"/>
      <w:bookmarkStart w:id="190" w:name="_Toc441844094"/>
      <w:bookmarkStart w:id="191" w:name="_Toc427232338"/>
      <w:r>
        <w:rPr>
          <w:rFonts w:ascii="宋体" w:hAnsi="宋体"/>
          <w:b/>
          <w:bCs/>
          <w:color w:val="000000" w:themeColor="text1"/>
          <w:sz w:val="22"/>
          <w:szCs w:val="22"/>
          <w14:textFill>
            <w14:solidFill>
              <w14:schemeClr w14:val="tx1"/>
            </w14:solidFill>
          </w14:textFill>
        </w:rPr>
        <w:t>合同协议书的签订</w:t>
      </w:r>
      <w:bookmarkEnd w:id="188"/>
      <w:bookmarkEnd w:id="189"/>
      <w:bookmarkEnd w:id="190"/>
      <w:bookmarkEnd w:id="191"/>
    </w:p>
    <w:p>
      <w:pPr>
        <w:pStyle w:val="69"/>
        <w:numPr>
          <w:ilvl w:val="0"/>
          <w:numId w:val="45"/>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w:t>
      </w:r>
      <w:r>
        <w:rPr>
          <w:rFonts w:hint="eastAsia" w:asciiTheme="minorEastAsia" w:hAnsiTheme="minorEastAsia" w:eastAsiaTheme="minorEastAsia"/>
          <w:color w:val="000000" w:themeColor="text1"/>
          <w:kern w:val="0"/>
          <w:sz w:val="21"/>
          <w:szCs w:val="21"/>
          <w:lang w:val="zh-CN"/>
          <w14:textFill>
            <w14:solidFill>
              <w14:schemeClr w14:val="tx1"/>
            </w14:solidFill>
          </w14:textFill>
        </w:rPr>
        <w:t>向</w:t>
      </w:r>
      <w:r>
        <w:rPr>
          <w:rFonts w:asciiTheme="minorEastAsia" w:hAnsiTheme="minorEastAsia" w:eastAsiaTheme="minorEastAsia"/>
          <w:color w:val="000000" w:themeColor="text1"/>
          <w:kern w:val="0"/>
          <w:sz w:val="21"/>
          <w:szCs w:val="21"/>
          <w:lang w:val="zh-CN"/>
          <w14:textFill>
            <w14:solidFill>
              <w14:schemeClr w14:val="tx1"/>
            </w14:solidFill>
          </w14:textFill>
        </w:rPr>
        <w:t>招标</w:t>
      </w:r>
      <w:r>
        <w:rPr>
          <w:rFonts w:hint="eastAsia" w:asciiTheme="minorEastAsia" w:hAnsiTheme="minorEastAsia" w:eastAsiaTheme="minorEastAsia"/>
          <w:color w:val="000000" w:themeColor="text1"/>
          <w:kern w:val="0"/>
          <w:sz w:val="21"/>
          <w:szCs w:val="21"/>
          <w14:textFill>
            <w14:solidFill>
              <w14:schemeClr w14:val="tx1"/>
            </w14:solidFill>
          </w14:textFill>
        </w:rPr>
        <w:t>人</w:t>
      </w:r>
      <w:r>
        <w:rPr>
          <w:rFonts w:hint="eastAsia" w:asciiTheme="minorEastAsia" w:hAnsiTheme="minorEastAsia" w:eastAsiaTheme="minorEastAsia"/>
          <w:color w:val="000000" w:themeColor="text1"/>
          <w:kern w:val="0"/>
          <w:sz w:val="21"/>
          <w:szCs w:val="21"/>
          <w:lang w:val="zh-CN"/>
          <w14:textFill>
            <w14:solidFill>
              <w14:schemeClr w14:val="tx1"/>
            </w14:solidFill>
          </w14:textFill>
        </w:rPr>
        <w:t>提交一份合同副本</w:t>
      </w:r>
      <w:r>
        <w:rPr>
          <w:rFonts w:asciiTheme="minorEastAsia" w:hAnsiTheme="minorEastAsia" w:eastAsiaTheme="minorEastAsia"/>
          <w:color w:val="000000" w:themeColor="text1"/>
          <w:kern w:val="0"/>
          <w:sz w:val="21"/>
          <w:szCs w:val="21"/>
          <w:lang w:val="zh-CN"/>
          <w14:textFill>
            <w14:solidFill>
              <w14:schemeClr w14:val="tx1"/>
            </w14:solidFill>
          </w14:textFill>
        </w:rPr>
        <w:t>。</w:t>
      </w:r>
    </w:p>
    <w:p>
      <w:pPr>
        <w:pStyle w:val="69"/>
        <w:numPr>
          <w:ilvl w:val="0"/>
          <w:numId w:val="45"/>
        </w:numPr>
        <w:spacing w:line="360" w:lineRule="auto"/>
        <w:ind w:left="567" w:hanging="567" w:firstLineChars="0"/>
        <w:rPr>
          <w:rFonts w:ascii="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“招标文件”、中标人的“投标文件”及其澄清文件等，均为签订经济合同的依据。</w:t>
      </w:r>
    </w:p>
    <w:p>
      <w:pPr>
        <w:pStyle w:val="69"/>
        <w:numPr>
          <w:ilvl w:val="0"/>
          <w:numId w:val="4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中标人如不按本投标须知第</w:t>
      </w:r>
      <w:r>
        <w:rPr>
          <w:rFonts w:ascii="宋体" w:eastAsia="宋体"/>
          <w:color w:val="000000" w:themeColor="text1"/>
          <w:sz w:val="22"/>
          <w:szCs w:val="22"/>
          <w14:textFill>
            <w14:solidFill>
              <w14:schemeClr w14:val="tx1"/>
            </w14:solidFill>
          </w14:textFill>
        </w:rPr>
        <w:t>32.1款</w:t>
      </w:r>
      <w:r>
        <w:rPr>
          <w:rFonts w:hint="eastAsia" w:ascii="宋体" w:eastAsia="宋体"/>
          <w:color w:val="000000" w:themeColor="text1"/>
          <w:sz w:val="22"/>
          <w:szCs w:val="22"/>
          <w14:textFill>
            <w14:solidFill>
              <w14:schemeClr w14:val="tx1"/>
            </w14:solidFill>
          </w14:textFill>
        </w:rPr>
        <w:t>的规定与招标人订立合同，则招标人将废除授标，履约担保不予退还，给招标人造成的损失超过履约担保数额的，还应当对超过部分予以赔偿，同时依法承担相应法律责任</w:t>
      </w:r>
      <w:r>
        <w:rPr>
          <w:rFonts w:ascii="宋体" w:eastAsia="宋体"/>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92" w:name="_Toc441844095"/>
      <w:bookmarkStart w:id="193" w:name="_Toc17275"/>
      <w:bookmarkStart w:id="194" w:name="_Toc93505780"/>
      <w:bookmarkStart w:id="195" w:name="_Toc427232339"/>
      <w:r>
        <w:rPr>
          <w:rFonts w:ascii="宋体" w:hAnsi="宋体"/>
          <w:b/>
          <w:bCs/>
          <w:color w:val="000000" w:themeColor="text1"/>
          <w:sz w:val="22"/>
          <w:szCs w:val="22"/>
          <w14:textFill>
            <w14:solidFill>
              <w14:schemeClr w14:val="tx1"/>
            </w14:solidFill>
          </w14:textFill>
        </w:rPr>
        <w:t>其他</w:t>
      </w:r>
      <w:bookmarkEnd w:id="192"/>
      <w:bookmarkEnd w:id="193"/>
      <w:bookmarkEnd w:id="194"/>
      <w:bookmarkEnd w:id="195"/>
    </w:p>
    <w:p>
      <w:pPr>
        <w:pStyle w:val="69"/>
        <w:numPr>
          <w:ilvl w:val="0"/>
          <w:numId w:val="46"/>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如投标人提供虚假材料谋取中标的，或者采取不正当手段诋毁、排挤其他投标人的，以及与其他的投标人恶意串通的，我公司将严肃处理，并保留追究其责任的权利。</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96" w:name="_Toc427232340"/>
      <w:bookmarkStart w:id="197" w:name="_Toc4947"/>
      <w:bookmarkStart w:id="198" w:name="_Toc93505781"/>
      <w:bookmarkStart w:id="199" w:name="_Toc441844096"/>
      <w:r>
        <w:rPr>
          <w:rFonts w:ascii="宋体" w:hAnsi="宋体"/>
          <w:b/>
          <w:bCs/>
          <w:color w:val="000000" w:themeColor="text1"/>
          <w:sz w:val="22"/>
          <w:szCs w:val="22"/>
          <w14:textFill>
            <w14:solidFill>
              <w14:schemeClr w14:val="tx1"/>
            </w14:solidFill>
          </w14:textFill>
        </w:rPr>
        <w:t>招标文件的解释权</w:t>
      </w:r>
      <w:bookmarkEnd w:id="196"/>
      <w:bookmarkEnd w:id="197"/>
      <w:bookmarkEnd w:id="198"/>
      <w:bookmarkEnd w:id="199"/>
    </w:p>
    <w:p>
      <w:pPr>
        <w:pStyle w:val="69"/>
        <w:spacing w:line="360" w:lineRule="auto"/>
        <w:ind w:firstLine="0"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38.1</w:t>
      </w:r>
      <w:r>
        <w:rPr>
          <w:rFonts w:hint="eastAsia" w:asciiTheme="minorEastAsia" w:hAnsiTheme="minorEastAsia" w:eastAsiaTheme="minorEastAsia"/>
          <w:color w:val="000000" w:themeColor="text1"/>
          <w:kern w:val="0"/>
          <w:sz w:val="21"/>
          <w:szCs w:val="21"/>
          <w:lang w:val="zh-CN"/>
          <w14:textFill>
            <w14:solidFill>
              <w14:schemeClr w14:val="tx1"/>
            </w14:solidFill>
          </w14:textFill>
        </w:rPr>
        <w:t>本招标文件的解释权属招标人。</w:t>
      </w:r>
    </w:p>
    <w:p>
      <w:pPr>
        <w:widowControl/>
        <w:jc w:val="left"/>
        <w:rPr>
          <w:rFonts w:asciiTheme="minorEastAsia" w:hAnsiTheme="minorEastAsia" w:eastAsiaTheme="minorEastAsia"/>
          <w:color w:val="000000" w:themeColor="text1"/>
          <w:kern w:val="0"/>
          <w:szCs w:val="21"/>
          <w:lang w:val="zh-CN"/>
          <w14:textFill>
            <w14:solidFill>
              <w14:schemeClr w14:val="tx1"/>
            </w14:solidFill>
          </w14:textFill>
        </w:rPr>
      </w:pPr>
      <w:r>
        <w:rPr>
          <w:rFonts w:asciiTheme="minorEastAsia" w:hAnsiTheme="minorEastAsia" w:eastAsiaTheme="minorEastAsia"/>
          <w:color w:val="000000" w:themeColor="text1"/>
          <w:kern w:val="0"/>
          <w:szCs w:val="21"/>
          <w:lang w:val="zh-CN"/>
          <w14:textFill>
            <w14:solidFill>
              <w14:schemeClr w14:val="tx1"/>
            </w14:solidFill>
          </w14:textFill>
        </w:rPr>
        <w:br w:type="page"/>
      </w:r>
    </w:p>
    <w:p>
      <w:pPr>
        <w:spacing w:line="360" w:lineRule="auto"/>
        <w:rPr>
          <w:rFonts w:ascii="宋体" w:hAnsi="宋体"/>
          <w:color w:val="000000" w:themeColor="text1"/>
          <w:sz w:val="22"/>
          <w:szCs w:val="22"/>
          <w14:textFill>
            <w14:solidFill>
              <w14:schemeClr w14:val="tx1"/>
            </w14:solidFill>
          </w14:textFill>
        </w:rPr>
      </w:pPr>
      <w:bookmarkStart w:id="200" w:name="_Toc441844097"/>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pStyle w:val="3"/>
        <w:jc w:val="center"/>
        <w:rPr>
          <w:rFonts w:ascii="Times New Roman" w:hAnsi="Times New Roman" w:eastAsiaTheme="minorEastAsia"/>
          <w:color w:val="000000" w:themeColor="text1"/>
          <w14:textFill>
            <w14:solidFill>
              <w14:schemeClr w14:val="tx1"/>
            </w14:solidFill>
          </w14:textFill>
        </w:rPr>
      </w:pPr>
      <w:bookmarkStart w:id="201" w:name="_Toc93505786"/>
      <w:bookmarkStart w:id="202" w:name="_Toc14706"/>
      <w:r>
        <w:rPr>
          <w:rFonts w:ascii="Times New Roman" w:hAnsi="Times New Roman" w:eastAsiaTheme="minorEastAsia"/>
          <w:color w:val="000000" w:themeColor="text1"/>
          <w14:textFill>
            <w14:solidFill>
              <w14:schemeClr w14:val="tx1"/>
            </w14:solidFill>
          </w14:textFill>
        </w:rPr>
        <w:t>第三章 评标办法</w:t>
      </w:r>
      <w:bookmarkEnd w:id="200"/>
      <w:bookmarkEnd w:id="201"/>
      <w:bookmarkEnd w:id="202"/>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widowControl/>
        <w:jc w:val="left"/>
        <w:rPr>
          <w:rFonts w:ascii="Times New Roman" w:hAnsi="Times New Roman" w:eastAsia="黑体"/>
          <w:b/>
          <w:color w:val="000000" w:themeColor="text1"/>
          <w:kern w:val="0"/>
          <w:sz w:val="22"/>
          <w:szCs w:val="22"/>
          <w14:textFill>
            <w14:solidFill>
              <w14:schemeClr w14:val="tx1"/>
            </w14:solidFill>
          </w14:textFill>
        </w:rPr>
      </w:pPr>
      <w:bookmarkStart w:id="203" w:name="_Toc396137263"/>
      <w:bookmarkStart w:id="204" w:name="_Toc425348171"/>
      <w:bookmarkStart w:id="205" w:name="_Toc441844098"/>
      <w:r>
        <w:rPr>
          <w:rFonts w:ascii="Times New Roman" w:hAnsi="Times New Roman"/>
          <w:color w:val="000000" w:themeColor="text1"/>
          <w:sz w:val="22"/>
          <w:szCs w:val="22"/>
          <w14:textFill>
            <w14:solidFill>
              <w14:schemeClr w14:val="tx1"/>
            </w14:solidFill>
          </w14:textFill>
        </w:rPr>
        <w:br w:type="page"/>
      </w:r>
    </w:p>
    <w:p>
      <w:pPr>
        <w:pStyle w:val="4"/>
        <w:tabs>
          <w:tab w:val="left" w:pos="0"/>
          <w:tab w:val="clear" w:pos="1440"/>
        </w:tabs>
        <w:ind w:left="0" w:firstLine="0"/>
        <w:rPr>
          <w:rFonts w:ascii="Times New Roman" w:hAnsi="Times New Roman"/>
          <w:color w:val="000000" w:themeColor="text1"/>
          <w:sz w:val="22"/>
          <w:szCs w:val="22"/>
          <w14:textFill>
            <w14:solidFill>
              <w14:schemeClr w14:val="tx1"/>
            </w14:solidFill>
          </w14:textFill>
        </w:rPr>
      </w:pPr>
      <w:bookmarkStart w:id="206" w:name="_Toc93505787"/>
      <w:bookmarkStart w:id="207" w:name="_Toc31122"/>
      <w:r>
        <w:rPr>
          <w:rFonts w:ascii="Times New Roman" w:hAnsi="Times New Roman"/>
          <w:color w:val="000000" w:themeColor="text1"/>
          <w:sz w:val="22"/>
          <w:szCs w:val="22"/>
          <w14:textFill>
            <w14:solidFill>
              <w14:schemeClr w14:val="tx1"/>
            </w14:solidFill>
          </w14:textFill>
        </w:rPr>
        <w:t>一、评标</w:t>
      </w:r>
      <w:r>
        <w:rPr>
          <w:rFonts w:hint="eastAsia" w:ascii="Times New Roman" w:hAnsi="Times New Roman"/>
          <w:color w:val="000000" w:themeColor="text1"/>
          <w:sz w:val="22"/>
          <w:szCs w:val="22"/>
          <w14:textFill>
            <w14:solidFill>
              <w14:schemeClr w14:val="tx1"/>
            </w14:solidFill>
          </w14:textFill>
        </w:rPr>
        <w:t>、</w:t>
      </w:r>
      <w:r>
        <w:rPr>
          <w:rFonts w:ascii="Times New Roman" w:hAnsi="Times New Roman"/>
          <w:color w:val="000000" w:themeColor="text1"/>
          <w:sz w:val="22"/>
          <w:szCs w:val="22"/>
          <w14:textFill>
            <w14:solidFill>
              <w14:schemeClr w14:val="tx1"/>
            </w14:solidFill>
          </w14:textFill>
        </w:rPr>
        <w:t>定标原则和目的</w:t>
      </w:r>
      <w:bookmarkEnd w:id="203"/>
      <w:bookmarkEnd w:id="204"/>
      <w:bookmarkEnd w:id="205"/>
      <w:bookmarkEnd w:id="206"/>
      <w:bookmarkEnd w:id="207"/>
    </w:p>
    <w:p>
      <w:pPr>
        <w:pStyle w:val="113"/>
        <w:spacing w:line="360" w:lineRule="auto"/>
        <w:ind w:left="420" w:hanging="420" w:firstLineChars="0"/>
        <w:rPr>
          <w:rFonts w:cs="宋体" w:asciiTheme="minorEastAsia" w:hAnsiTheme="minorEastAsia" w:eastAsiaTheme="minorEastAsia"/>
          <w:color w:val="000000" w:themeColor="text1"/>
          <w:szCs w:val="21"/>
          <w:lang w:val="zh-CN"/>
          <w14:textFill>
            <w14:solidFill>
              <w14:schemeClr w14:val="tx1"/>
            </w14:solidFill>
          </w14:textFill>
        </w:rPr>
      </w:pPr>
      <w:r>
        <w:rPr>
          <w:rFonts w:cs="宋体" w:asciiTheme="minorEastAsia" w:hAnsiTheme="minorEastAsia" w:eastAsiaTheme="minorEastAsia"/>
          <w:color w:val="000000" w:themeColor="text1"/>
          <w:szCs w:val="21"/>
          <w:lang w:val="zh-CN"/>
          <w14:textFill>
            <w14:solidFill>
              <w14:schemeClr w14:val="tx1"/>
            </w14:solidFill>
          </w14:textFill>
        </w:rPr>
        <w:t>1.1  本项目的招标</w:t>
      </w:r>
      <w:r>
        <w:rPr>
          <w:rFonts w:hint="eastAsia" w:cs="宋体" w:asciiTheme="minorEastAsia" w:hAnsiTheme="minorEastAsia" w:eastAsiaTheme="minorEastAsia"/>
          <w:color w:val="000000" w:themeColor="text1"/>
          <w:szCs w:val="21"/>
          <w:lang w:val="zh-CN"/>
          <w14:textFill>
            <w14:solidFill>
              <w14:schemeClr w14:val="tx1"/>
            </w14:solidFill>
          </w14:textFill>
        </w:rPr>
        <w:t>参照《中华人民共和国招标投标法》及实施条例、</w:t>
      </w:r>
      <w:r>
        <w:rPr>
          <w:rFonts w:hint="eastAsia" w:cs="宋体" w:asciiTheme="minorEastAsia" w:hAnsiTheme="minorEastAsia" w:eastAsiaTheme="minorEastAsia"/>
          <w:color w:val="000000" w:themeColor="text1"/>
          <w:szCs w:val="21"/>
          <w14:textFill>
            <w14:solidFill>
              <w14:schemeClr w14:val="tx1"/>
            </w14:solidFill>
          </w14:textFill>
        </w:rPr>
        <w:t>东莞市交通投资集团有限公司及</w:t>
      </w:r>
      <w:r>
        <w:rPr>
          <w:rFonts w:hint="eastAsia" w:cs="宋体" w:asciiTheme="minorEastAsia" w:hAnsiTheme="minorEastAsia" w:eastAsiaTheme="minorEastAsia"/>
          <w:color w:val="000000" w:themeColor="text1"/>
          <w:szCs w:val="21"/>
          <w:lang w:val="zh-CN"/>
          <w14:textFill>
            <w14:solidFill>
              <w14:schemeClr w14:val="tx1"/>
            </w14:solidFill>
          </w14:textFill>
        </w:rPr>
        <w:t>东莞市数据互联有限公司等</w:t>
      </w:r>
      <w:r>
        <w:rPr>
          <w:rFonts w:cs="宋体" w:asciiTheme="minorEastAsia" w:hAnsiTheme="minorEastAsia" w:eastAsiaTheme="minorEastAsia"/>
          <w:color w:val="000000" w:themeColor="text1"/>
          <w:szCs w:val="21"/>
          <w:lang w:val="zh-CN"/>
          <w14:textFill>
            <w14:solidFill>
              <w14:schemeClr w14:val="tx1"/>
            </w14:solidFill>
          </w14:textFill>
        </w:rPr>
        <w:t>有关招标的相关文件规定执行。评标必须遵循公开、公平、公正、诚实信用的原则。评标按照招标文件规定的内容进行，采取</w:t>
      </w:r>
      <w:r>
        <w:rPr>
          <w:rFonts w:hint="eastAsia" w:cs="宋体" w:asciiTheme="minorEastAsia" w:hAnsiTheme="minorEastAsia" w:eastAsiaTheme="minorEastAsia"/>
          <w:color w:val="000000" w:themeColor="text1"/>
          <w:szCs w:val="21"/>
          <w:lang w:val="zh-CN"/>
          <w14:textFill>
            <w14:solidFill>
              <w14:schemeClr w14:val="tx1"/>
            </w14:solidFill>
          </w14:textFill>
        </w:rPr>
        <w:t>由招标人根据评标委员会提交的评标报告和中标候选人名单</w:t>
      </w:r>
      <w:r>
        <w:rPr>
          <w:rFonts w:hint="eastAsia" w:cs="宋体" w:asciiTheme="minorEastAsia" w:hAnsiTheme="minorEastAsia" w:eastAsiaTheme="minorEastAsia"/>
          <w:color w:val="000000" w:themeColor="text1"/>
          <w:szCs w:val="21"/>
          <w14:textFill>
            <w14:solidFill>
              <w14:schemeClr w14:val="tx1"/>
            </w14:solidFill>
          </w14:textFill>
        </w:rPr>
        <w:t>排名确定中标候选人</w:t>
      </w:r>
      <w:r>
        <w:rPr>
          <w:rFonts w:cs="宋体" w:asciiTheme="minorEastAsia" w:hAnsiTheme="minorEastAsia" w:eastAsiaTheme="minorEastAsia"/>
          <w:color w:val="000000" w:themeColor="text1"/>
          <w:szCs w:val="21"/>
          <w:lang w:val="zh-CN"/>
          <w14:textFill>
            <w14:solidFill>
              <w14:schemeClr w14:val="tx1"/>
            </w14:solidFill>
          </w14:textFill>
        </w:rPr>
        <w:t>。</w:t>
      </w:r>
    </w:p>
    <w:p>
      <w:pPr>
        <w:pStyle w:val="113"/>
        <w:spacing w:line="360" w:lineRule="auto"/>
        <w:ind w:left="420" w:hanging="420" w:firstLineChars="0"/>
        <w:rPr>
          <w:rFonts w:cs="宋体" w:asciiTheme="minorEastAsia" w:hAnsiTheme="minorEastAsia" w:eastAsiaTheme="minorEastAsia"/>
          <w:color w:val="000000" w:themeColor="text1"/>
          <w:szCs w:val="21"/>
          <w:lang w:val="zh-CN"/>
          <w14:textFill>
            <w14:solidFill>
              <w14:schemeClr w14:val="tx1"/>
            </w14:solidFill>
          </w14:textFill>
        </w:rPr>
      </w:pPr>
      <w:r>
        <w:rPr>
          <w:rFonts w:cs="宋体" w:asciiTheme="minorEastAsia" w:hAnsiTheme="minorEastAsia" w:eastAsiaTheme="minorEastAsia"/>
          <w:color w:val="000000" w:themeColor="text1"/>
          <w:szCs w:val="21"/>
          <w:lang w:val="zh-CN"/>
          <w14:textFill>
            <w14:solidFill>
              <w14:schemeClr w14:val="tx1"/>
            </w14:solidFill>
          </w14:textFill>
        </w:rPr>
        <w:t>1.2  本办法的评标对象是指投标人按照招标文件要求提供的有效投标文件，包括投标人应评标委员会要求对原投标文件作出的正式书面澄清文件</w:t>
      </w:r>
      <w:r>
        <w:rPr>
          <w:rFonts w:hint="eastAsia" w:cs="宋体" w:asciiTheme="minorEastAsia" w:hAnsiTheme="minorEastAsia" w:eastAsiaTheme="minorEastAsia"/>
          <w:color w:val="000000" w:themeColor="text1"/>
          <w:szCs w:val="21"/>
          <w:lang w:val="zh-CN"/>
          <w14:textFill>
            <w14:solidFill>
              <w14:schemeClr w14:val="tx1"/>
            </w14:solidFill>
          </w14:textFill>
        </w:rPr>
        <w:t>。</w:t>
      </w:r>
    </w:p>
    <w:p>
      <w:pPr>
        <w:pStyle w:val="113"/>
        <w:spacing w:line="360" w:lineRule="auto"/>
        <w:ind w:left="420" w:hanging="420" w:firstLineChars="0"/>
        <w:rPr>
          <w:rFonts w:cs="宋体" w:asciiTheme="minorEastAsia" w:hAnsiTheme="minorEastAsia" w:eastAsiaTheme="minorEastAsia"/>
          <w:color w:val="000000" w:themeColor="text1"/>
          <w:szCs w:val="21"/>
          <w:lang w:val="zh-CN"/>
          <w14:textFill>
            <w14:solidFill>
              <w14:schemeClr w14:val="tx1"/>
            </w14:solidFill>
          </w14:textFill>
        </w:rPr>
      </w:pPr>
      <w:r>
        <w:rPr>
          <w:rFonts w:cs="宋体" w:asciiTheme="minorEastAsia" w:hAnsiTheme="minorEastAsia" w:eastAsiaTheme="minorEastAsia"/>
          <w:color w:val="000000" w:themeColor="text1"/>
          <w:szCs w:val="21"/>
          <w:lang w:val="zh-CN"/>
          <w14:textFill>
            <w14:solidFill>
              <w14:schemeClr w14:val="tx1"/>
            </w14:solidFill>
          </w14:textFill>
        </w:rPr>
        <w:t xml:space="preserve">1.3 </w:t>
      </w:r>
      <w:r>
        <w:rPr>
          <w:rFonts w:hint="eastAsia" w:cs="宋体" w:asciiTheme="minorEastAsia" w:hAnsiTheme="minorEastAsia" w:eastAsiaTheme="minorEastAsia"/>
          <w:color w:val="000000" w:themeColor="text1"/>
          <w:szCs w:val="21"/>
          <w:lang w:val="zh-CN"/>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pStyle w:val="4"/>
        <w:tabs>
          <w:tab w:val="left" w:pos="0"/>
          <w:tab w:val="clear" w:pos="1440"/>
        </w:tabs>
        <w:ind w:left="0" w:firstLine="0"/>
        <w:rPr>
          <w:rFonts w:ascii="宋体" w:hAnsi="宋体" w:eastAsia="宋体"/>
          <w:color w:val="000000" w:themeColor="text1"/>
          <w:sz w:val="22"/>
          <w:szCs w:val="22"/>
          <w14:textFill>
            <w14:solidFill>
              <w14:schemeClr w14:val="tx1"/>
            </w14:solidFill>
          </w14:textFill>
        </w:rPr>
      </w:pPr>
      <w:bookmarkStart w:id="208" w:name="_Toc396137264"/>
      <w:bookmarkStart w:id="209" w:name="_Toc425348172"/>
      <w:bookmarkStart w:id="210" w:name="_Toc1897"/>
      <w:bookmarkStart w:id="211" w:name="_Toc441844099"/>
      <w:bookmarkStart w:id="212" w:name="_Toc93505788"/>
      <w:r>
        <w:rPr>
          <w:rFonts w:ascii="宋体" w:hAnsi="宋体" w:eastAsia="宋体"/>
          <w:color w:val="000000" w:themeColor="text1"/>
          <w:sz w:val="22"/>
          <w:szCs w:val="22"/>
          <w14:textFill>
            <w14:solidFill>
              <w14:schemeClr w14:val="tx1"/>
            </w14:solidFill>
          </w14:textFill>
        </w:rPr>
        <w:t>二、评标程序</w:t>
      </w:r>
      <w:bookmarkEnd w:id="208"/>
      <w:bookmarkEnd w:id="209"/>
      <w:bookmarkEnd w:id="210"/>
      <w:bookmarkEnd w:id="211"/>
      <w:bookmarkEnd w:id="212"/>
    </w:p>
    <w:p>
      <w:pPr>
        <w:spacing w:line="360" w:lineRule="auto"/>
        <w:ind w:left="420" w:leftChars="200"/>
        <w:rPr>
          <w:rFonts w:ascii="宋体" w:hAnsi="宋体"/>
          <w:b/>
          <w:color w:val="000000" w:themeColor="text1"/>
          <w:sz w:val="22"/>
          <w:szCs w:val="22"/>
          <w14:textFill>
            <w14:solidFill>
              <w14:schemeClr w14:val="tx1"/>
            </w14:solidFill>
          </w14:textFill>
        </w:rPr>
      </w:pPr>
      <w:bookmarkStart w:id="213" w:name="_Toc441844100"/>
      <w:r>
        <w:rPr>
          <w:rFonts w:ascii="宋体" w:hAnsi="宋体"/>
          <w:color w:val="000000" w:themeColor="text1"/>
          <w:sz w:val="22"/>
          <w:szCs w:val="22"/>
          <w14:textFill>
            <w14:solidFill>
              <w14:schemeClr w14:val="tx1"/>
            </w14:solidFill>
          </w14:textFill>
        </w:rPr>
        <w:t>评标步骤：</w:t>
      </w:r>
      <w:r>
        <w:rPr>
          <w:rFonts w:hint="eastAsia" w:ascii="宋体" w:hAnsi="宋体"/>
          <w:color w:val="000000" w:themeColor="text1"/>
          <w:sz w:val="22"/>
          <w:szCs w:val="22"/>
          <w14:textFill>
            <w14:solidFill>
              <w14:schemeClr w14:val="tx1"/>
            </w14:solidFill>
          </w14:textFill>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213"/>
    </w:p>
    <w:p>
      <w:pPr>
        <w:pStyle w:val="113"/>
        <w:numPr>
          <w:ilvl w:val="0"/>
          <w:numId w:val="47"/>
        </w:numPr>
        <w:spacing w:line="360" w:lineRule="auto"/>
        <w:ind w:left="426" w:hanging="426" w:firstLineChars="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资格、符合性审查</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1、资格性审查是指评标委员会依据法律法规和招标文件的规定，对投标文件中的资格要求证明、投标保证金、投标人（含其不具有独立法人资格的分支机构）信用等进行审查，以确定投标人是否具备投标资格。</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2、符合性审查时，投标人存在下列情况之一的，投标无效：</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1)投标文件未按招标文件要求签署、盖章的；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包括但不限于：</w:t>
      </w:r>
    </w:p>
    <w:p>
      <w:pPr>
        <w:spacing w:line="360" w:lineRule="auto"/>
        <w:ind w:left="42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①投标文件无法定代表人或其授权代表签字，或签字人无法定代表人有效授权的；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②投标文件签字、盖章不符合招标文件要求的；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③投标文件的关键内容字迹模糊、无法辨认的。</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2)报价超过招标文件中规定的预算金额或者最高限价的；</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3)投标文件含有招标人不能接受的附加条件的；</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4)投标文件未满足招标文件的实质性要求的；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包括但不限于：</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①投标文件不满足招标文件中加注星号（★）的重要条款要求的；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②投标有效期未满足招标文件要求的；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③投标文件商务和技术响应与事实不符或虚假投标的；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④将一个包中的内容拆开投标的；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⑤投标人对同一服务投标时，同时提供两套或两套以上的投标方案的；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⑥投标文件份数不满足招标文件要求的；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fldChar w:fldCharType="begin"/>
      </w:r>
      <w:r>
        <w:rPr>
          <w:rFonts w:ascii="宋体" w:hAnsi="宋体"/>
          <w:color w:val="000000" w:themeColor="text1"/>
          <w:sz w:val="22"/>
          <w:szCs w:val="22"/>
          <w14:textFill>
            <w14:solidFill>
              <w14:schemeClr w14:val="tx1"/>
            </w14:solidFill>
          </w14:textFill>
        </w:rPr>
        <w:instrText xml:space="preserve"> </w:instrText>
      </w:r>
      <w:r>
        <w:rPr>
          <w:rFonts w:hint="eastAsia" w:ascii="宋体" w:hAnsi="宋体"/>
          <w:color w:val="000000" w:themeColor="text1"/>
          <w:sz w:val="22"/>
          <w:szCs w:val="22"/>
          <w14:textFill>
            <w14:solidFill>
              <w14:schemeClr w14:val="tx1"/>
            </w14:solidFill>
          </w14:textFill>
        </w:rPr>
        <w:instrText xml:space="preserve">= 7 \* GB3</w:instrText>
      </w:r>
      <w:r>
        <w:rPr>
          <w:rFonts w:ascii="宋体" w:hAnsi="宋体"/>
          <w:color w:val="000000" w:themeColor="text1"/>
          <w:sz w:val="22"/>
          <w:szCs w:val="22"/>
          <w14:textFill>
            <w14:solidFill>
              <w14:schemeClr w14:val="tx1"/>
            </w14:solidFill>
          </w14:textFill>
        </w:rPr>
        <w:instrText xml:space="preserve"> </w:instrText>
      </w:r>
      <w:r>
        <w:rPr>
          <w:rFonts w:ascii="宋体" w:hAnsi="宋体"/>
          <w:color w:val="000000" w:themeColor="text1"/>
          <w:sz w:val="22"/>
          <w:szCs w:val="22"/>
          <w14:textFill>
            <w14:solidFill>
              <w14:schemeClr w14:val="tx1"/>
            </w14:solidFill>
          </w14:textFill>
        </w:rPr>
        <w:fldChar w:fldCharType="separate"/>
      </w:r>
      <w:r>
        <w:rPr>
          <w:rFonts w:hint="eastAsia" w:ascii="宋体" w:hAnsi="宋体"/>
          <w:color w:val="000000" w:themeColor="text1"/>
          <w:sz w:val="22"/>
          <w:szCs w:val="22"/>
          <w14:textFill>
            <w14:solidFill>
              <w14:schemeClr w14:val="tx1"/>
            </w14:solidFill>
          </w14:textFill>
        </w:rPr>
        <w:t>⑦</w:t>
      </w:r>
      <w:r>
        <w:rPr>
          <w:rFonts w:ascii="宋体" w:hAnsi="宋体"/>
          <w:color w:val="000000" w:themeColor="text1"/>
          <w:sz w:val="22"/>
          <w:szCs w:val="22"/>
          <w14:textFill>
            <w14:solidFill>
              <w14:schemeClr w14:val="tx1"/>
            </w14:solidFill>
          </w14:textFill>
        </w:rPr>
        <w:fldChar w:fldCharType="end"/>
      </w:r>
      <w:r>
        <w:rPr>
          <w:rFonts w:hint="eastAsia" w:ascii="宋体" w:hAnsi="宋体"/>
          <w:color w:val="000000" w:themeColor="text1"/>
          <w:sz w:val="22"/>
          <w:szCs w:val="22"/>
          <w14:textFill>
            <w14:solidFill>
              <w14:schemeClr w14:val="tx1"/>
            </w14:solidFill>
          </w14:textFill>
        </w:rPr>
        <w:t>其他未实质性响应招标文件要求的。</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5)法律、法规和招标文件规定的其他无效情形。</w:t>
      </w:r>
    </w:p>
    <w:p>
      <w:pPr>
        <w:pStyle w:val="113"/>
        <w:numPr>
          <w:ilvl w:val="0"/>
          <w:numId w:val="47"/>
        </w:numPr>
        <w:spacing w:line="360" w:lineRule="auto"/>
        <w:ind w:left="426" w:hanging="426" w:firstLineChars="0"/>
        <w:rPr>
          <w:rFonts w:ascii="Times New Roman" w:hAnsi="Times New Roman"/>
          <w:b/>
          <w:color w:val="000000" w:themeColor="text1"/>
          <w:sz w:val="22"/>
          <w:szCs w:val="22"/>
          <w14:textFill>
            <w14:solidFill>
              <w14:schemeClr w14:val="tx1"/>
            </w14:solidFill>
          </w14:textFill>
        </w:rPr>
      </w:pPr>
      <w:r>
        <w:rPr>
          <w:rFonts w:hint="eastAsia" w:ascii="Times New Roman" w:hAnsi="Times New Roman"/>
          <w:b/>
          <w:color w:val="000000" w:themeColor="text1"/>
          <w:sz w:val="22"/>
          <w:szCs w:val="22"/>
          <w14:textFill>
            <w14:solidFill>
              <w14:schemeClr w14:val="tx1"/>
            </w14:solidFill>
          </w14:textFill>
        </w:rPr>
        <w:t>资格、符合性审查表</w:t>
      </w:r>
    </w:p>
    <w:tbl>
      <w:tblPr>
        <w:tblStyle w:val="52"/>
        <w:tblW w:w="92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2126"/>
        <w:gridCol w:w="1418"/>
        <w:gridCol w:w="1559"/>
        <w:gridCol w:w="1559"/>
        <w:gridCol w:w="162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0" w:hRule="atLeast"/>
        </w:trPr>
        <w:tc>
          <w:tcPr>
            <w:tcW w:w="3085" w:type="dxa"/>
            <w:gridSpan w:val="2"/>
            <w:tcBorders>
              <w:tl2br w:val="single" w:color="auto" w:sz="4" w:space="0"/>
            </w:tcBorders>
          </w:tcPr>
          <w:p>
            <w:pPr>
              <w:spacing w:line="360" w:lineRule="auto"/>
              <w:ind w:firstLine="1540" w:firstLineChars="7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投标单位</w:t>
            </w:r>
          </w:p>
          <w:p>
            <w:pPr>
              <w:spacing w:line="360" w:lineRule="auto"/>
              <w:rPr>
                <w:rFonts w:ascii="宋体" w:hAnsi="宋体"/>
                <w:b/>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评审内容</w:t>
            </w:r>
          </w:p>
        </w:tc>
        <w:tc>
          <w:tcPr>
            <w:tcW w:w="1418" w:type="dxa"/>
          </w:tcPr>
          <w:p>
            <w:pPr>
              <w:spacing w:line="360" w:lineRule="auto"/>
              <w:rPr>
                <w:rFonts w:ascii="宋体" w:hAnsi="宋体"/>
                <w:b/>
                <w:color w:val="000000" w:themeColor="text1"/>
                <w:sz w:val="22"/>
                <w:szCs w:val="22"/>
                <w14:textFill>
                  <w14:solidFill>
                    <w14:schemeClr w14:val="tx1"/>
                  </w14:solidFill>
                </w14:textFill>
              </w:rPr>
            </w:pPr>
          </w:p>
        </w:tc>
        <w:tc>
          <w:tcPr>
            <w:tcW w:w="1559" w:type="dxa"/>
          </w:tcPr>
          <w:p>
            <w:pPr>
              <w:spacing w:line="360" w:lineRule="auto"/>
              <w:rPr>
                <w:rFonts w:ascii="宋体" w:hAnsi="宋体"/>
                <w:b/>
                <w:color w:val="000000" w:themeColor="text1"/>
                <w:sz w:val="22"/>
                <w:szCs w:val="22"/>
                <w14:textFill>
                  <w14:solidFill>
                    <w14:schemeClr w14:val="tx1"/>
                  </w14:solidFill>
                </w14:textFill>
              </w:rPr>
            </w:pPr>
          </w:p>
        </w:tc>
        <w:tc>
          <w:tcPr>
            <w:tcW w:w="1559" w:type="dxa"/>
          </w:tcPr>
          <w:p>
            <w:pPr>
              <w:spacing w:line="360" w:lineRule="auto"/>
              <w:rPr>
                <w:rFonts w:ascii="宋体" w:hAnsi="宋体"/>
                <w:b/>
                <w:color w:val="000000" w:themeColor="text1"/>
                <w:sz w:val="22"/>
                <w:szCs w:val="22"/>
                <w14:textFill>
                  <w14:solidFill>
                    <w14:schemeClr w14:val="tx1"/>
                  </w14:solidFill>
                </w14:textFill>
              </w:rPr>
            </w:pPr>
          </w:p>
        </w:tc>
        <w:tc>
          <w:tcPr>
            <w:tcW w:w="1621" w:type="dxa"/>
          </w:tcPr>
          <w:p>
            <w:pPr>
              <w:spacing w:line="360" w:lineRule="auto"/>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资格性审查</w:t>
            </w: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1.投标人必须是在中华人民共和国境内登记注册的、合法存续、正常经营且具有独立承担民事责任能力的法人或其他组织</w:t>
            </w:r>
          </w:p>
        </w:tc>
        <w:tc>
          <w:tcPr>
            <w:tcW w:w="1418"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 xml:space="preserve">2.投标人须具备中国通信企业协会颁发的“通信网络安全服务能力评定证书” </w:t>
            </w:r>
          </w:p>
        </w:tc>
        <w:tc>
          <w:tcPr>
            <w:tcW w:w="1418"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3</w:t>
            </w:r>
            <w:r>
              <w:rPr>
                <w:rFonts w:ascii="宋体" w:hAnsi="宋体"/>
                <w:b/>
                <w:color w:val="000000" w:themeColor="text1"/>
                <w:sz w:val="22"/>
                <w:szCs w:val="22"/>
                <w14:textFill>
                  <w14:solidFill>
                    <w14:schemeClr w14:val="tx1"/>
                  </w14:solidFill>
                </w14:textFill>
              </w:rPr>
              <w:t>.</w:t>
            </w:r>
            <w:r>
              <w:rPr>
                <w:rFonts w:hint="eastAsia" w:ascii="宋体" w:hAnsi="宋体"/>
                <w:b/>
                <w:color w:val="000000" w:themeColor="text1"/>
                <w:sz w:val="22"/>
                <w:szCs w:val="22"/>
                <w14:textFill>
                  <w14:solidFill>
                    <w14:schemeClr w14:val="tx1"/>
                  </w14:solidFill>
                </w14:textFill>
              </w:rPr>
              <w:t>投标人未被列入“信用中国”网站(www.creditchina.gov.cn)“记录失信被执行人或重大税收违法案件当事人名单或政府采购严重违法失信名单”记录名单；不处于中国政府采购网(www.ccgp.gov.cn)“政府采购严重违法失信行为信息记录”中的禁止参加政府采购活动期间（处罚限届满的除外）。</w:t>
            </w:r>
          </w:p>
        </w:tc>
        <w:tc>
          <w:tcPr>
            <w:tcW w:w="1418"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4.投标人须符合招标文件投标须知合格的投标人其他要求</w:t>
            </w:r>
          </w:p>
        </w:tc>
        <w:tc>
          <w:tcPr>
            <w:tcW w:w="1418"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符合性审查</w:t>
            </w: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1.</w:t>
            </w:r>
            <w:r>
              <w:rPr>
                <w:rFonts w:hint="eastAsia" w:ascii="宋体" w:hAnsi="宋体"/>
                <w:b/>
                <w:color w:val="000000" w:themeColor="text1"/>
                <w:sz w:val="22"/>
                <w:szCs w:val="22"/>
                <w14:textFill>
                  <w14:solidFill>
                    <w14:schemeClr w14:val="tx1"/>
                  </w14:solidFill>
                </w14:textFill>
              </w:rPr>
              <w:t>投标文件按招标文件要求签署、盖章的</w:t>
            </w:r>
          </w:p>
        </w:tc>
        <w:tc>
          <w:tcPr>
            <w:tcW w:w="1418"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2.</w:t>
            </w:r>
            <w:r>
              <w:rPr>
                <w:rFonts w:hint="eastAsia" w:ascii="宋体" w:hAnsi="宋体"/>
                <w:b/>
                <w:color w:val="000000" w:themeColor="text1"/>
                <w:sz w:val="22"/>
                <w:szCs w:val="22"/>
                <w14:textFill>
                  <w14:solidFill>
                    <w14:schemeClr w14:val="tx1"/>
                  </w14:solidFill>
                </w14:textFill>
              </w:rPr>
              <w:t>报价未超过招标文件中规定的预算金额或者最高限价的</w:t>
            </w:r>
          </w:p>
        </w:tc>
        <w:tc>
          <w:tcPr>
            <w:tcW w:w="1418"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3.</w:t>
            </w:r>
            <w:r>
              <w:rPr>
                <w:rFonts w:hint="eastAsia" w:ascii="宋体" w:hAnsi="宋体"/>
                <w:b/>
                <w:color w:val="000000" w:themeColor="text1"/>
                <w:sz w:val="22"/>
                <w:szCs w:val="22"/>
                <w14:textFill>
                  <w14:solidFill>
                    <w14:schemeClr w14:val="tx1"/>
                  </w14:solidFill>
                </w14:textFill>
              </w:rPr>
              <w:t>投标文件不含有招标人不能接受的附加条件的</w:t>
            </w:r>
          </w:p>
        </w:tc>
        <w:tc>
          <w:tcPr>
            <w:tcW w:w="1418" w:type="dxa"/>
          </w:tcPr>
          <w:p>
            <w:pPr>
              <w:rPr>
                <w:rFonts w:ascii="宋体" w:hAnsi="宋体"/>
                <w:b/>
                <w:color w:val="000000" w:themeColor="text1"/>
                <w:sz w:val="22"/>
                <w:szCs w:val="22"/>
                <w14:textFill>
                  <w14:solidFill>
                    <w14:schemeClr w14:val="tx1"/>
                  </w14:solidFill>
                </w14:textFill>
              </w:rPr>
            </w:pPr>
          </w:p>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4.</w:t>
            </w:r>
            <w:r>
              <w:rPr>
                <w:rFonts w:hint="eastAsia" w:ascii="宋体" w:hAnsi="宋体"/>
                <w:b/>
                <w:color w:val="000000" w:themeColor="text1"/>
                <w:sz w:val="22"/>
                <w:szCs w:val="22"/>
                <w14:textFill>
                  <w14:solidFill>
                    <w14:schemeClr w14:val="tx1"/>
                  </w14:solidFill>
                </w14:textFill>
              </w:rPr>
              <w:t>投标文件满足招标文件的实质性要求的</w:t>
            </w:r>
          </w:p>
        </w:tc>
        <w:tc>
          <w:tcPr>
            <w:tcW w:w="1418" w:type="dxa"/>
          </w:tcPr>
          <w:p>
            <w:pPr>
              <w:rPr>
                <w:rFonts w:ascii="宋体" w:hAnsi="宋体"/>
                <w:b/>
                <w:color w:val="000000" w:themeColor="text1"/>
                <w:sz w:val="22"/>
                <w:szCs w:val="22"/>
                <w14:textFill>
                  <w14:solidFill>
                    <w14:schemeClr w14:val="tx1"/>
                  </w14:solidFill>
                </w14:textFill>
              </w:rPr>
            </w:pPr>
          </w:p>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color w:val="000000" w:themeColor="text1"/>
                <w:sz w:val="22"/>
                <w:szCs w:val="22"/>
                <w14:textFill>
                  <w14:solidFill>
                    <w14:schemeClr w14:val="tx1"/>
                  </w14:solidFill>
                </w14:textFill>
              </w:rPr>
            </w:pPr>
          </w:p>
        </w:tc>
        <w:tc>
          <w:tcPr>
            <w:tcW w:w="2126" w:type="dxa"/>
            <w:tcBorders>
              <w:left w:val="single" w:color="auto" w:sz="4" w:space="0"/>
            </w:tcBorders>
            <w:vAlign w:val="center"/>
          </w:tcPr>
          <w:p>
            <w:pPr>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5.</w:t>
            </w:r>
            <w:r>
              <w:rPr>
                <w:rFonts w:hint="eastAsia" w:ascii="宋体" w:hAnsi="宋体"/>
                <w:b/>
                <w:color w:val="000000" w:themeColor="text1"/>
                <w:sz w:val="22"/>
                <w:szCs w:val="22"/>
                <w14:textFill>
                  <w14:solidFill>
                    <w14:schemeClr w14:val="tx1"/>
                  </w14:solidFill>
                </w14:textFill>
              </w:rPr>
              <w:t>无法律、法规和招标文件规定的其他无效情形</w:t>
            </w:r>
          </w:p>
        </w:tc>
        <w:tc>
          <w:tcPr>
            <w:tcW w:w="1418" w:type="dxa"/>
          </w:tcPr>
          <w:p>
            <w:pPr>
              <w:rPr>
                <w:rFonts w:ascii="宋体" w:hAnsi="宋体"/>
                <w:b/>
                <w:color w:val="000000" w:themeColor="text1"/>
                <w:sz w:val="22"/>
                <w:szCs w:val="22"/>
                <w14:textFill>
                  <w14:solidFill>
                    <w14:schemeClr w14:val="tx1"/>
                  </w14:solidFill>
                </w14:textFill>
              </w:rPr>
            </w:pPr>
          </w:p>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559" w:type="dxa"/>
          </w:tcPr>
          <w:p>
            <w:pPr>
              <w:rPr>
                <w:rFonts w:ascii="宋体" w:hAnsi="宋体"/>
                <w:b/>
                <w:color w:val="000000" w:themeColor="text1"/>
                <w:sz w:val="22"/>
                <w:szCs w:val="22"/>
                <w14:textFill>
                  <w14:solidFill>
                    <w14:schemeClr w14:val="tx1"/>
                  </w14:solidFill>
                </w14:textFill>
              </w:rPr>
            </w:pPr>
          </w:p>
        </w:tc>
        <w:tc>
          <w:tcPr>
            <w:tcW w:w="1621" w:type="dxa"/>
          </w:tcPr>
          <w:p>
            <w:pPr>
              <w:rPr>
                <w:rFonts w:ascii="宋体" w:hAnsi="宋体"/>
                <w:b/>
                <w:color w:val="000000" w:themeColor="text1"/>
                <w:sz w:val="22"/>
                <w:szCs w:val="22"/>
                <w14:textFill>
                  <w14:solidFill>
                    <w14:schemeClr w14:val="tx1"/>
                  </w14:solidFill>
                </w14:textFill>
              </w:rPr>
            </w:pPr>
          </w:p>
        </w:tc>
      </w:tr>
    </w:tbl>
    <w:p>
      <w:pPr>
        <w:pStyle w:val="113"/>
        <w:numPr>
          <w:ilvl w:val="0"/>
          <w:numId w:val="47"/>
        </w:numPr>
        <w:spacing w:line="360" w:lineRule="auto"/>
        <w:ind w:firstLineChars="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以上</w:t>
      </w:r>
      <w:r>
        <w:rPr>
          <w:rFonts w:hint="eastAsia"/>
          <w:color w:val="000000" w:themeColor="text1"/>
          <w:sz w:val="22"/>
          <w:szCs w:val="22"/>
          <w14:textFill>
            <w14:solidFill>
              <w14:schemeClr w14:val="tx1"/>
            </w14:solidFill>
          </w14:textFill>
        </w:rPr>
        <w:t>资格、</w:t>
      </w:r>
      <w:r>
        <w:rPr>
          <w:color w:val="000000" w:themeColor="text1"/>
          <w:sz w:val="22"/>
          <w:szCs w:val="22"/>
          <w14:textFill>
            <w14:solidFill>
              <w14:schemeClr w14:val="tx1"/>
            </w14:solidFill>
          </w14:textFill>
        </w:rPr>
        <w:t>符合性</w:t>
      </w:r>
      <w:r>
        <w:rPr>
          <w:rFonts w:hint="eastAsia"/>
          <w:color w:val="000000" w:themeColor="text1"/>
          <w:sz w:val="22"/>
          <w:szCs w:val="22"/>
          <w14:textFill>
            <w14:solidFill>
              <w14:schemeClr w14:val="tx1"/>
            </w14:solidFill>
          </w14:textFill>
        </w:rPr>
        <w:t>审查</w:t>
      </w:r>
      <w:r>
        <w:rPr>
          <w:color w:val="000000" w:themeColor="text1"/>
          <w:sz w:val="22"/>
          <w:szCs w:val="22"/>
          <w14:textFill>
            <w14:solidFill>
              <w14:schemeClr w14:val="tx1"/>
            </w14:solidFill>
          </w14:textFill>
        </w:rPr>
        <w:t>中带部分有不合格分项的投标文件，将作废标处理。经评标委员会确认的无效投标文件，招标人和招标</w:t>
      </w:r>
      <w:r>
        <w:rPr>
          <w:rFonts w:hint="eastAsia"/>
          <w:color w:val="000000" w:themeColor="text1"/>
          <w:sz w:val="22"/>
          <w:szCs w:val="22"/>
          <w14:textFill>
            <w14:solidFill>
              <w14:schemeClr w14:val="tx1"/>
            </w14:solidFill>
          </w14:textFill>
        </w:rPr>
        <w:t>人</w:t>
      </w:r>
      <w:r>
        <w:rPr>
          <w:color w:val="000000" w:themeColor="text1"/>
          <w:sz w:val="22"/>
          <w:szCs w:val="22"/>
          <w14:textFill>
            <w14:solidFill>
              <w14:schemeClr w14:val="tx1"/>
            </w14:solidFill>
          </w14:textFill>
        </w:rPr>
        <w:t>将予以拒绝，并且不允许通过修正或撤消其不符合要求的差异，使之成为具有符合性的投标文件。</w:t>
      </w:r>
    </w:p>
    <w:p>
      <w:pPr>
        <w:pStyle w:val="113"/>
        <w:numPr>
          <w:ilvl w:val="0"/>
          <w:numId w:val="47"/>
        </w:numPr>
        <w:spacing w:line="360" w:lineRule="auto"/>
        <w:ind w:firstLineChars="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评标委员会就投标人的投标文件进行</w:t>
      </w:r>
      <w:r>
        <w:rPr>
          <w:rFonts w:hint="eastAsia"/>
          <w:color w:val="000000" w:themeColor="text1"/>
          <w:sz w:val="22"/>
          <w:szCs w:val="22"/>
          <w14:textFill>
            <w14:solidFill>
              <w14:schemeClr w14:val="tx1"/>
            </w14:solidFill>
          </w14:textFill>
        </w:rPr>
        <w:t>资格、</w:t>
      </w:r>
      <w:r>
        <w:rPr>
          <w:color w:val="000000" w:themeColor="text1"/>
          <w:sz w:val="22"/>
          <w:szCs w:val="22"/>
          <w14:textFill>
            <w14:solidFill>
              <w14:schemeClr w14:val="tx1"/>
            </w14:solidFill>
          </w14:textFill>
        </w:rPr>
        <w:t>符合性</w:t>
      </w:r>
      <w:r>
        <w:rPr>
          <w:rFonts w:hint="eastAsia"/>
          <w:color w:val="000000" w:themeColor="text1"/>
          <w:sz w:val="22"/>
          <w:szCs w:val="22"/>
          <w14:textFill>
            <w14:solidFill>
              <w14:schemeClr w14:val="tx1"/>
            </w14:solidFill>
          </w14:textFill>
        </w:rPr>
        <w:t>审查、</w:t>
      </w:r>
      <w:r>
        <w:rPr>
          <w:color w:val="000000" w:themeColor="text1"/>
          <w:sz w:val="22"/>
          <w:szCs w:val="22"/>
          <w14:textFill>
            <w14:solidFill>
              <w14:schemeClr w14:val="tx1"/>
            </w14:solidFill>
          </w14:textFill>
        </w:rPr>
        <w:t>。</w:t>
      </w:r>
    </w:p>
    <w:p>
      <w:pPr>
        <w:pStyle w:val="113"/>
        <w:numPr>
          <w:ilvl w:val="0"/>
          <w:numId w:val="47"/>
        </w:numPr>
        <w:spacing w:line="360" w:lineRule="auto"/>
        <w:ind w:firstLineChars="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现场澄清：按招标文件第二</w:t>
      </w:r>
      <w:r>
        <w:rPr>
          <w:rFonts w:hint="eastAsia"/>
          <w:color w:val="000000" w:themeColor="text1"/>
          <w:sz w:val="22"/>
          <w:szCs w:val="22"/>
          <w14:textFill>
            <w14:solidFill>
              <w14:schemeClr w14:val="tx1"/>
            </w14:solidFill>
          </w14:textFill>
        </w:rPr>
        <w:t>章</w:t>
      </w:r>
      <w:r>
        <w:rPr>
          <w:color w:val="000000" w:themeColor="text1"/>
          <w:sz w:val="22"/>
          <w:szCs w:val="22"/>
          <w14:textFill>
            <w14:solidFill>
              <w14:schemeClr w14:val="tx1"/>
            </w14:solidFill>
          </w14:textFill>
        </w:rPr>
        <w:t>。</w:t>
      </w:r>
    </w:p>
    <w:p>
      <w:pPr>
        <w:pStyle w:val="113"/>
        <w:numPr>
          <w:ilvl w:val="0"/>
          <w:numId w:val="47"/>
        </w:numPr>
        <w:spacing w:line="360" w:lineRule="auto"/>
        <w:ind w:firstLineChars="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细微偏差修正</w:t>
      </w:r>
    </w:p>
    <w:p>
      <w:pPr>
        <w:pStyle w:val="47"/>
        <w:widowControl w:val="0"/>
        <w:numPr>
          <w:ilvl w:val="0"/>
          <w:numId w:val="48"/>
        </w:numPr>
        <w:spacing w:before="0" w:beforeAutospacing="0" w:after="0" w:afterAutospacing="0" w:line="360" w:lineRule="auto"/>
        <w:ind w:left="851" w:hanging="56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pPr>
        <w:pStyle w:val="47"/>
        <w:widowControl w:val="0"/>
        <w:numPr>
          <w:ilvl w:val="0"/>
          <w:numId w:val="48"/>
        </w:numPr>
        <w:spacing w:before="0" w:beforeAutospacing="0" w:after="0" w:afterAutospacing="0" w:line="360" w:lineRule="auto"/>
        <w:ind w:left="851" w:hanging="56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经评标委员会确认为具有符合性的投标文件，若存在个别计算或累计方面的算术错误可视为投标文件存在细微偏差并按照以下原则进行修正：</w:t>
      </w:r>
    </w:p>
    <w:p>
      <w:pPr>
        <w:spacing w:line="360" w:lineRule="auto"/>
        <w:ind w:left="850" w:leftChars="405"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pPr>
        <w:pStyle w:val="47"/>
        <w:widowControl w:val="0"/>
        <w:numPr>
          <w:ilvl w:val="0"/>
          <w:numId w:val="48"/>
        </w:numPr>
        <w:spacing w:before="0" w:beforeAutospacing="0" w:after="0" w:afterAutospacing="0" w:line="360" w:lineRule="auto"/>
        <w:ind w:left="851" w:hanging="56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按照上述修正调整后的内容经投标人确认后，对投标人起约束作用。</w:t>
      </w:r>
    </w:p>
    <w:p>
      <w:pPr>
        <w:pStyle w:val="47"/>
        <w:widowControl w:val="0"/>
        <w:numPr>
          <w:ilvl w:val="0"/>
          <w:numId w:val="48"/>
        </w:numPr>
        <w:spacing w:before="0" w:beforeAutospacing="0" w:after="0" w:afterAutospacing="0" w:line="360" w:lineRule="auto"/>
        <w:ind w:left="851" w:hanging="56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经评标委员会确认存在细微偏差的投标文件，评标委员会可以于评标结果宣布之前要求投标人对投标文件中存在的细微偏差进行修正，若投标人拒绝修正，则其投标文件将被拒绝。</w:t>
      </w:r>
    </w:p>
    <w:p>
      <w:pPr>
        <w:pStyle w:val="113"/>
        <w:numPr>
          <w:ilvl w:val="0"/>
          <w:numId w:val="47"/>
        </w:numPr>
        <w:spacing w:line="360" w:lineRule="auto"/>
        <w:ind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得分统计及推荐</w:t>
      </w:r>
      <w:r>
        <w:rPr>
          <w:rFonts w:hint="eastAsia" w:ascii="宋体" w:hAnsi="宋体"/>
          <w:color w:val="000000" w:themeColor="text1"/>
          <w:sz w:val="22"/>
          <w:szCs w:val="22"/>
          <w14:textFill>
            <w14:solidFill>
              <w14:schemeClr w14:val="tx1"/>
            </w14:solidFill>
          </w14:textFill>
        </w:rPr>
        <w:t>定</w:t>
      </w:r>
      <w:r>
        <w:rPr>
          <w:rFonts w:ascii="宋体" w:hAnsi="宋体"/>
          <w:color w:val="000000" w:themeColor="text1"/>
          <w:sz w:val="22"/>
          <w:szCs w:val="22"/>
          <w14:textFill>
            <w14:solidFill>
              <w14:schemeClr w14:val="tx1"/>
            </w14:solidFill>
          </w14:textFill>
        </w:rPr>
        <w:t>标候选人名单</w:t>
      </w:r>
    </w:p>
    <w:p>
      <w:pPr>
        <w:pStyle w:val="47"/>
        <w:widowControl w:val="0"/>
        <w:numPr>
          <w:ilvl w:val="0"/>
          <w:numId w:val="49"/>
        </w:numPr>
        <w:spacing w:before="0" w:beforeAutospacing="0" w:after="0" w:afterAutospacing="0" w:line="360" w:lineRule="auto"/>
        <w:ind w:left="780" w:hanging="496"/>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按照评标程序、评分标准以及权重分配的规定，评标委员会各成员分别首先就各个投标人的</w:t>
      </w:r>
      <w:r>
        <w:rPr>
          <w:rFonts w:hint="eastAsia"/>
          <w:color w:val="000000" w:themeColor="text1"/>
          <w:sz w:val="22"/>
          <w:szCs w:val="22"/>
          <w14:textFill>
            <w14:solidFill>
              <w14:schemeClr w14:val="tx1"/>
            </w14:solidFill>
          </w14:textFill>
        </w:rPr>
        <w:t>商务、技术</w:t>
      </w:r>
      <w:r>
        <w:rPr>
          <w:color w:val="000000" w:themeColor="text1"/>
          <w:sz w:val="22"/>
          <w:szCs w:val="22"/>
          <w14:textFill>
            <w14:solidFill>
              <w14:schemeClr w14:val="tx1"/>
            </w14:solidFill>
          </w14:textFill>
        </w:rPr>
        <w:t>状况及其对招标文件要求的响应情况进行评议和比较，评出其商务</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技术评分，所有评委各投标人的商务</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技术得分算术平均，得出平均得分，将各投标人的商务</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技术得分</w:t>
      </w:r>
      <w:r>
        <w:rPr>
          <w:rFonts w:hint="eastAsia"/>
          <w:color w:val="000000" w:themeColor="text1"/>
          <w:sz w:val="22"/>
          <w:szCs w:val="22"/>
          <w14:textFill>
            <w14:solidFill>
              <w14:schemeClr w14:val="tx1"/>
            </w14:solidFill>
          </w14:textFill>
        </w:rPr>
        <w:t>和价格得分</w:t>
      </w:r>
      <w:r>
        <w:rPr>
          <w:color w:val="000000" w:themeColor="text1"/>
          <w:sz w:val="22"/>
          <w:szCs w:val="22"/>
          <w14:textFill>
            <w14:solidFill>
              <w14:schemeClr w14:val="tx1"/>
            </w14:solidFill>
          </w14:textFill>
        </w:rPr>
        <w:t>相加得出其综合得分，按最终综合得分由高向低排序。</w:t>
      </w:r>
    </w:p>
    <w:p>
      <w:pPr>
        <w:pStyle w:val="47"/>
        <w:widowControl w:val="0"/>
        <w:numPr>
          <w:ilvl w:val="0"/>
          <w:numId w:val="49"/>
        </w:numPr>
        <w:spacing w:before="0" w:beforeAutospacing="0" w:after="0" w:afterAutospacing="0" w:line="360" w:lineRule="auto"/>
        <w:ind w:left="780" w:hanging="496"/>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投标人的最终评标得分＝商务</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技术得分</w:t>
      </w:r>
      <w:r>
        <w:rPr>
          <w:rFonts w:hint="eastAsia"/>
          <w:color w:val="000000" w:themeColor="text1"/>
          <w:sz w:val="22"/>
          <w:szCs w:val="22"/>
          <w14:textFill>
            <w14:solidFill>
              <w14:schemeClr w14:val="tx1"/>
            </w14:solidFill>
          </w14:textFill>
        </w:rPr>
        <w:t>+价格得分</w:t>
      </w:r>
      <w:r>
        <w:rPr>
          <w:color w:val="000000" w:themeColor="text1"/>
          <w:sz w:val="22"/>
          <w:szCs w:val="22"/>
          <w14:textFill>
            <w14:solidFill>
              <w14:schemeClr w14:val="tx1"/>
            </w14:solidFill>
          </w14:textFill>
        </w:rPr>
        <w:t>,评分统计的结果数据须经评委验算审核并签名确认。</w:t>
      </w:r>
    </w:p>
    <w:p>
      <w:pPr>
        <w:pStyle w:val="47"/>
        <w:widowControl w:val="0"/>
        <w:numPr>
          <w:ilvl w:val="0"/>
          <w:numId w:val="49"/>
        </w:numPr>
        <w:spacing w:before="0" w:beforeAutospacing="0" w:after="0" w:afterAutospacing="0" w:line="360" w:lineRule="auto"/>
        <w:ind w:left="780" w:hanging="496"/>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推荐中标候选人</w:t>
      </w:r>
    </w:p>
    <w:p>
      <w:pPr>
        <w:spacing w:line="360" w:lineRule="auto"/>
        <w:ind w:left="630" w:leftChars="300" w:firstLine="220" w:firstLineChars="10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本次招标的评标方法采用综合评分法，综合评分法是指投标文件满足招标文件全部实质性要求，且按照评审因素的量化指标评审得分最高的投标人为中标候选人的评标方法</w:t>
      </w:r>
      <w:r>
        <w:rPr>
          <w:rFonts w:asciiTheme="minorEastAsia" w:hAnsiTheme="minorEastAsia" w:eastAsiaTheme="minorEastAsia"/>
          <w:color w:val="000000" w:themeColor="text1"/>
          <w:sz w:val="22"/>
          <w:szCs w:val="22"/>
          <w14:textFill>
            <w14:solidFill>
              <w14:schemeClr w14:val="tx1"/>
            </w14:solidFill>
          </w14:textFill>
        </w:rPr>
        <w:t>。</w:t>
      </w:r>
    </w:p>
    <w:p>
      <w:pPr>
        <w:pStyle w:val="113"/>
        <w:numPr>
          <w:ilvl w:val="0"/>
          <w:numId w:val="47"/>
        </w:numPr>
        <w:spacing w:line="360" w:lineRule="auto"/>
        <w:ind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编制评标报告。</w:t>
      </w:r>
    </w:p>
    <w:p>
      <w:pPr>
        <w:spacing w:line="360" w:lineRule="auto"/>
        <w:ind w:left="630" w:leftChars="300"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评标委员会根据评标结果撰写评标报告。评标报告是评标委员会根据全体评标成员签名的原始评标记录和评标结果编写的报告，其主要内容包括：</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1、招标公告刊登的媒体名称、开标日期和地点；</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2、购买招标文件的投标人名单和评标委员会成员名单；</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3、评标方法和标准；</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4、开标记录和评标情况及说明，包括投标无效投标人名单及原因；</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5、评标结果和</w:t>
      </w:r>
      <w:r>
        <w:rPr>
          <w:rFonts w:hint="eastAsia" w:ascii="宋体" w:hAnsi="宋体"/>
          <w:color w:val="000000" w:themeColor="text1"/>
          <w:sz w:val="22"/>
          <w:szCs w:val="22"/>
          <w14:textFill>
            <w14:solidFill>
              <w14:schemeClr w14:val="tx1"/>
            </w14:solidFill>
          </w14:textFill>
        </w:rPr>
        <w:t>定</w:t>
      </w:r>
      <w:r>
        <w:rPr>
          <w:rFonts w:ascii="宋体" w:hAnsi="宋体"/>
          <w:color w:val="000000" w:themeColor="text1"/>
          <w:sz w:val="22"/>
          <w:szCs w:val="22"/>
          <w14:textFill>
            <w14:solidFill>
              <w14:schemeClr w14:val="tx1"/>
            </w14:solidFill>
          </w14:textFill>
        </w:rPr>
        <w:t>标候选投标人排序表</w:t>
      </w:r>
      <w:r>
        <w:rPr>
          <w:rFonts w:hint="eastAsia" w:ascii="宋体" w:hAnsi="宋体"/>
          <w:color w:val="000000" w:themeColor="text1"/>
          <w:sz w:val="22"/>
          <w:szCs w:val="22"/>
          <w14:textFill>
            <w14:solidFill>
              <w14:schemeClr w14:val="tx1"/>
            </w14:solidFill>
          </w14:textFill>
        </w:rPr>
        <w:t>。</w:t>
      </w:r>
    </w:p>
    <w:p>
      <w:pPr>
        <w:pStyle w:val="4"/>
        <w:tabs>
          <w:tab w:val="left" w:pos="0"/>
          <w:tab w:val="clear" w:pos="1440"/>
        </w:tabs>
        <w:ind w:left="0" w:firstLine="221" w:firstLineChars="100"/>
        <w:rPr>
          <w:rFonts w:ascii="Times New Roman" w:hAnsi="Times New Roman"/>
          <w:b w:val="0"/>
          <w:color w:val="000000" w:themeColor="text1"/>
          <w:sz w:val="22"/>
          <w:szCs w:val="22"/>
          <w14:textFill>
            <w14:solidFill>
              <w14:schemeClr w14:val="tx1"/>
            </w14:solidFill>
          </w14:textFill>
        </w:rPr>
      </w:pPr>
      <w:bookmarkStart w:id="214" w:name="_Toc93505789"/>
      <w:bookmarkStart w:id="215" w:name="_Toc558"/>
      <w:bookmarkStart w:id="216" w:name="_Toc396137265"/>
      <w:bookmarkStart w:id="217" w:name="_Toc425348173"/>
      <w:bookmarkStart w:id="218" w:name="_Toc441844108"/>
      <w:r>
        <w:rPr>
          <w:rFonts w:ascii="Times New Roman" w:hAnsi="Times New Roman"/>
          <w:color w:val="000000" w:themeColor="text1"/>
          <w:sz w:val="22"/>
          <w:szCs w:val="22"/>
          <w14:textFill>
            <w14:solidFill>
              <w14:schemeClr w14:val="tx1"/>
            </w14:solidFill>
          </w14:textFill>
        </w:rPr>
        <w:t>三、评分标准和细则</w:t>
      </w:r>
      <w:bookmarkEnd w:id="214"/>
      <w:bookmarkEnd w:id="215"/>
      <w:bookmarkEnd w:id="216"/>
      <w:bookmarkEnd w:id="217"/>
      <w:bookmarkEnd w:id="218"/>
    </w:p>
    <w:p>
      <w:pPr>
        <w:pStyle w:val="113"/>
        <w:numPr>
          <w:ilvl w:val="0"/>
          <w:numId w:val="50"/>
        </w:numPr>
        <w:spacing w:line="360" w:lineRule="auto"/>
        <w:ind w:left="0" w:firstLine="0" w:firstLineChars="0"/>
        <w:rPr>
          <w:rFonts w:asciiTheme="minorEastAsia" w:hAnsiTheme="minorEastAsia" w:eastAsiaTheme="minorEastAsia"/>
          <w:color w:val="000000" w:themeColor="text1"/>
          <w:sz w:val="22"/>
          <w:szCs w:val="22"/>
          <w:lang w:val="zh-CN"/>
          <w14:textFill>
            <w14:solidFill>
              <w14:schemeClr w14:val="tx1"/>
            </w14:solidFill>
          </w14:textFill>
        </w:rPr>
      </w:pPr>
      <w:r>
        <w:rPr>
          <w:rFonts w:hint="eastAsia" w:asciiTheme="minorEastAsia" w:hAnsiTheme="minorEastAsia" w:eastAsiaTheme="minorEastAsia"/>
          <w:b/>
          <w:color w:val="000000" w:themeColor="text1"/>
          <w:sz w:val="22"/>
          <w:szCs w:val="22"/>
          <w:lang w:val="zh-CN"/>
          <w14:textFill>
            <w14:solidFill>
              <w14:schemeClr w14:val="tx1"/>
            </w14:solidFill>
          </w14:textFill>
        </w:rPr>
        <w:t>评分因素及分值</w:t>
      </w:r>
    </w:p>
    <w:p>
      <w:pPr>
        <w:pStyle w:val="113"/>
        <w:widowControl/>
        <w:numPr>
          <w:ilvl w:val="0"/>
          <w:numId w:val="51"/>
        </w:numPr>
        <w:spacing w:line="360" w:lineRule="auto"/>
        <w:ind w:left="709" w:hanging="709" w:firstLineChars="0"/>
        <w:jc w:val="left"/>
        <w:rPr>
          <w:rFonts w:cs="宋体" w:asciiTheme="minorEastAsia" w:hAnsiTheme="minorEastAsia" w:eastAsiaTheme="minorEastAsia"/>
          <w:b/>
          <w:bCs/>
          <w:color w:val="000000" w:themeColor="text1"/>
          <w:sz w:val="22"/>
          <w:szCs w:val="22"/>
          <w:lang w:val="zh-CN"/>
          <w14:textFill>
            <w14:solidFill>
              <w14:schemeClr w14:val="tx1"/>
            </w14:solidFill>
          </w14:textFill>
        </w:rPr>
      </w:pPr>
      <w:r>
        <w:rPr>
          <w:rFonts w:hint="eastAsia" w:cs="宋体" w:asciiTheme="minorEastAsia" w:hAnsiTheme="minorEastAsia" w:eastAsiaTheme="minorEastAsia"/>
          <w:b/>
          <w:bCs/>
          <w:color w:val="000000" w:themeColor="text1"/>
          <w:sz w:val="22"/>
          <w:szCs w:val="22"/>
          <w:lang w:val="zh-CN"/>
          <w14:textFill>
            <w14:solidFill>
              <w14:schemeClr w14:val="tx1"/>
            </w14:solidFill>
          </w14:textFill>
        </w:rPr>
        <w:t>评委考核打分的评分因素及分值</w:t>
      </w:r>
      <w:r>
        <w:rPr>
          <w:rFonts w:cs="宋体" w:asciiTheme="minorEastAsia" w:hAnsiTheme="minorEastAsia" w:eastAsiaTheme="minorEastAsia"/>
          <w:b/>
          <w:bCs/>
          <w:color w:val="000000" w:themeColor="text1"/>
          <w:sz w:val="22"/>
          <w:szCs w:val="22"/>
          <w:lang w:val="zh-CN"/>
          <w14:textFill>
            <w14:solidFill>
              <w14:schemeClr w14:val="tx1"/>
            </w14:solidFill>
          </w14:textFill>
        </w:rPr>
        <w:t>:</w:t>
      </w:r>
      <w:r>
        <w:rPr>
          <w:rFonts w:hint="eastAsia" w:cs="宋体" w:asciiTheme="minorEastAsia" w:hAnsiTheme="minorEastAsia" w:eastAsiaTheme="minorEastAsia"/>
          <w:b/>
          <w:bCs/>
          <w:color w:val="000000" w:themeColor="text1"/>
          <w:sz w:val="22"/>
          <w:szCs w:val="22"/>
          <w:lang w:val="zh-CN"/>
          <w14:textFill>
            <w14:solidFill>
              <w14:schemeClr w14:val="tx1"/>
            </w14:solidFill>
          </w14:textFill>
        </w:rPr>
        <w:t>总分</w:t>
      </w:r>
      <w:r>
        <w:rPr>
          <w:rFonts w:cs="宋体" w:asciiTheme="minorEastAsia" w:hAnsiTheme="minorEastAsia" w:eastAsiaTheme="minorEastAsia"/>
          <w:b/>
          <w:bCs/>
          <w:color w:val="000000" w:themeColor="text1"/>
          <w:sz w:val="22"/>
          <w:szCs w:val="22"/>
          <w:lang w:val="zh-CN"/>
          <w14:textFill>
            <w14:solidFill>
              <w14:schemeClr w14:val="tx1"/>
            </w14:solidFill>
          </w14:textFill>
        </w:rPr>
        <w:t>100</w:t>
      </w:r>
      <w:r>
        <w:rPr>
          <w:rFonts w:hint="eastAsia" w:cs="宋体" w:asciiTheme="minorEastAsia" w:hAnsiTheme="minorEastAsia" w:eastAsiaTheme="minorEastAsia"/>
          <w:b/>
          <w:bCs/>
          <w:color w:val="000000" w:themeColor="text1"/>
          <w:sz w:val="22"/>
          <w:szCs w:val="22"/>
          <w:lang w:val="zh-CN"/>
          <w14:textFill>
            <w14:solidFill>
              <w14:schemeClr w14:val="tx1"/>
            </w14:solidFill>
          </w14:textFill>
        </w:rPr>
        <w:t>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2924"/>
        <w:gridCol w:w="5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48" w:type="pct"/>
            <w:vAlign w:val="center"/>
          </w:tcPr>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序号</w:t>
            </w:r>
          </w:p>
        </w:tc>
        <w:tc>
          <w:tcPr>
            <w:tcW w:w="1413" w:type="pct"/>
            <w:vAlign w:val="center"/>
          </w:tcPr>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评分因素</w:t>
            </w:r>
          </w:p>
        </w:tc>
        <w:tc>
          <w:tcPr>
            <w:tcW w:w="2839" w:type="pct"/>
          </w:tcPr>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48"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w:t>
            </w:r>
          </w:p>
        </w:tc>
        <w:tc>
          <w:tcPr>
            <w:tcW w:w="1413"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商务</w:t>
            </w:r>
          </w:p>
        </w:tc>
        <w:tc>
          <w:tcPr>
            <w:tcW w:w="2839" w:type="pct"/>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8"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w:t>
            </w:r>
          </w:p>
        </w:tc>
        <w:tc>
          <w:tcPr>
            <w:tcW w:w="1413"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技术</w:t>
            </w:r>
          </w:p>
        </w:tc>
        <w:tc>
          <w:tcPr>
            <w:tcW w:w="2839" w:type="pct"/>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8"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w:t>
            </w:r>
          </w:p>
        </w:tc>
        <w:tc>
          <w:tcPr>
            <w:tcW w:w="1413"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价格</w:t>
            </w:r>
          </w:p>
        </w:tc>
        <w:tc>
          <w:tcPr>
            <w:tcW w:w="2839" w:type="pct"/>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61" w:type="pct"/>
            <w:gridSpan w:val="2"/>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总  分</w:t>
            </w:r>
          </w:p>
        </w:tc>
        <w:tc>
          <w:tcPr>
            <w:tcW w:w="2839" w:type="pct"/>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100分</w:t>
            </w:r>
          </w:p>
        </w:tc>
      </w:tr>
    </w:tbl>
    <w:p>
      <w:pPr>
        <w:pStyle w:val="113"/>
        <w:numPr>
          <w:ilvl w:val="0"/>
          <w:numId w:val="50"/>
        </w:numPr>
        <w:spacing w:line="360" w:lineRule="auto"/>
        <w:ind w:left="0" w:firstLine="0" w:firstLineChars="0"/>
        <w:rPr>
          <w:rFonts w:hAnsi="宋体"/>
          <w:color w:val="000000" w:themeColor="text1"/>
          <w:sz w:val="22"/>
          <w:szCs w:val="22"/>
          <w14:textFill>
            <w14:solidFill>
              <w14:schemeClr w14:val="tx1"/>
            </w14:solidFill>
          </w14:textFill>
        </w:rPr>
      </w:pPr>
      <w:r>
        <w:rPr>
          <w:rFonts w:hint="eastAsia" w:hAnsi="宋体"/>
          <w:b/>
          <w:color w:val="000000" w:themeColor="text1"/>
          <w:sz w:val="22"/>
          <w:szCs w:val="22"/>
          <w14:textFill>
            <w14:solidFill>
              <w14:schemeClr w14:val="tx1"/>
            </w14:solidFill>
          </w14:textFill>
        </w:rPr>
        <w:t>评分因素分值</w:t>
      </w:r>
    </w:p>
    <w:p>
      <w:pPr>
        <w:pStyle w:val="75"/>
        <w:numPr>
          <w:ilvl w:val="0"/>
          <w:numId w:val="52"/>
        </w:numPr>
        <w:tabs>
          <w:tab w:val="left" w:pos="0"/>
          <w:tab w:val="left" w:pos="643"/>
          <w:tab w:val="left" w:pos="907"/>
          <w:tab w:val="left" w:pos="2552"/>
        </w:tabs>
        <w:spacing w:after="0" w:line="360" w:lineRule="auto"/>
        <w:ind w:left="2552" w:hanging="2552"/>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商务评分标准：（总分：40分）</w:t>
      </w:r>
    </w:p>
    <w:tbl>
      <w:tblPr>
        <w:tblStyle w:val="51"/>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241"/>
        <w:gridCol w:w="6521"/>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b/>
                <w:bCs/>
                <w:sz w:val="22"/>
                <w:szCs w:val="22"/>
              </w:rPr>
            </w:pPr>
            <w:r>
              <w:rPr>
                <w:rFonts w:hint="eastAsia" w:ascii="宋体" w:hAnsi="宋体"/>
                <w:b/>
                <w:bCs/>
                <w:sz w:val="22"/>
                <w:szCs w:val="22"/>
              </w:rPr>
              <w:t>序号</w:t>
            </w:r>
          </w:p>
        </w:tc>
        <w:tc>
          <w:tcPr>
            <w:tcW w:w="1241"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2"/>
                <w:szCs w:val="22"/>
              </w:rPr>
            </w:pPr>
            <w:r>
              <w:rPr>
                <w:rFonts w:hint="eastAsia" w:ascii="宋体" w:hAnsi="宋体" w:cs="宋体"/>
                <w:b/>
                <w:bCs/>
                <w:sz w:val="22"/>
                <w:szCs w:val="22"/>
              </w:rPr>
              <w:t>评审内容</w:t>
            </w:r>
          </w:p>
        </w:tc>
        <w:tc>
          <w:tcPr>
            <w:tcW w:w="6521" w:type="dxa"/>
            <w:tcBorders>
              <w:left w:val="single" w:color="auto" w:sz="4" w:space="0"/>
              <w:right w:val="single" w:color="auto" w:sz="4" w:space="0"/>
            </w:tcBorders>
            <w:vAlign w:val="center"/>
          </w:tcPr>
          <w:p>
            <w:pPr>
              <w:snapToGrid w:val="0"/>
              <w:spacing w:line="400" w:lineRule="exact"/>
              <w:jc w:val="center"/>
              <w:rPr>
                <w:rFonts w:ascii="宋体" w:hAnsi="宋体"/>
                <w:b/>
                <w:bCs/>
                <w:sz w:val="22"/>
                <w:szCs w:val="22"/>
              </w:rPr>
            </w:pPr>
            <w:r>
              <w:rPr>
                <w:rFonts w:hint="eastAsia" w:ascii="宋体" w:hAnsi="宋体" w:cs="宋体"/>
                <w:b/>
                <w:bCs/>
                <w:sz w:val="22"/>
                <w:szCs w:val="22"/>
              </w:rPr>
              <w:t>评分细则</w:t>
            </w:r>
          </w:p>
        </w:tc>
        <w:tc>
          <w:tcPr>
            <w:tcW w:w="850" w:type="dxa"/>
            <w:tcBorders>
              <w:left w:val="single" w:color="auto" w:sz="4" w:space="0"/>
              <w:right w:val="single" w:color="auto" w:sz="4" w:space="0"/>
            </w:tcBorders>
            <w:vAlign w:val="center"/>
          </w:tcPr>
          <w:p>
            <w:pPr>
              <w:widowControl/>
              <w:snapToGrid w:val="0"/>
              <w:spacing w:line="400" w:lineRule="exact"/>
              <w:jc w:val="center"/>
              <w:rPr>
                <w:rFonts w:ascii="宋体" w:hAnsi="宋体"/>
                <w:b/>
                <w:bCs/>
                <w:sz w:val="22"/>
                <w:szCs w:val="22"/>
              </w:rPr>
            </w:pPr>
            <w:r>
              <w:rPr>
                <w:rFonts w:hint="eastAsia" w:ascii="宋体" w:hAnsi="宋体"/>
                <w:b/>
                <w:bCs/>
                <w:sz w:val="22"/>
                <w:szCs w:val="22"/>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rPr>
            </w:pPr>
            <w:r>
              <w:rPr>
                <w:rFonts w:hint="eastAsia" w:ascii="宋体" w:hAnsi="宋体" w:cs="宋体"/>
                <w:sz w:val="22"/>
                <w:szCs w:val="22"/>
              </w:rPr>
              <w:t>1</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rPr>
            </w:pPr>
            <w:r>
              <w:rPr>
                <w:rFonts w:hint="eastAsia" w:ascii="宋体"/>
                <w:kern w:val="0"/>
                <w:sz w:val="22"/>
                <w:szCs w:val="22"/>
              </w:rPr>
              <w:t>公司</w:t>
            </w:r>
            <w:r>
              <w:rPr>
                <w:rFonts w:hint="eastAsia" w:ascii="宋体"/>
                <w:sz w:val="22"/>
                <w:szCs w:val="22"/>
              </w:rPr>
              <w:t>实力</w:t>
            </w:r>
          </w:p>
        </w:tc>
        <w:tc>
          <w:tcPr>
            <w:tcW w:w="6521"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rPr>
                <w:rFonts w:ascii="宋体" w:hAnsi="宋体" w:cs="宋体"/>
                <w:sz w:val="22"/>
                <w:szCs w:val="22"/>
              </w:rPr>
            </w:pPr>
            <w:r>
              <w:rPr>
                <w:rFonts w:hint="eastAsia" w:ascii="宋体" w:hAnsi="宋体"/>
                <w:sz w:val="22"/>
                <w:szCs w:val="22"/>
              </w:rPr>
              <w:t>1、财务状况：</w:t>
            </w:r>
            <w:r>
              <w:rPr>
                <w:rFonts w:ascii="宋体" w:hAnsi="宋体"/>
                <w:sz w:val="22"/>
                <w:szCs w:val="22"/>
              </w:rPr>
              <w:t>投标人提供</w:t>
            </w:r>
            <w:r>
              <w:rPr>
                <w:rFonts w:hint="eastAsia" w:ascii="宋体" w:hAnsi="宋体"/>
                <w:sz w:val="22"/>
                <w:szCs w:val="22"/>
              </w:rPr>
              <w:t>2019年、2020年、2021年的财务报表，年销售额有1000万以上，财务状况为连续三年盈利的得6</w:t>
            </w:r>
            <w:r>
              <w:rPr>
                <w:rFonts w:hint="eastAsia" w:ascii="宋体" w:hAnsi="宋体" w:cs="宋体"/>
                <w:sz w:val="22"/>
                <w:szCs w:val="22"/>
              </w:rPr>
              <w:t>分，有两年为盈利的得3分，其它情况不得分。（须提供以会计师事务所审计的财务报表复印件加盖投标人公章）</w:t>
            </w:r>
          </w:p>
          <w:p>
            <w:pPr>
              <w:pStyle w:val="62"/>
              <w:rPr>
                <w:rFonts w:ascii="宋体" w:hAnsi="宋体"/>
                <w:sz w:val="22"/>
                <w:szCs w:val="22"/>
              </w:rPr>
            </w:pPr>
          </w:p>
          <w:p>
            <w:pPr>
              <w:pStyle w:val="62"/>
              <w:rPr>
                <w:rFonts w:ascii="宋体" w:hAnsi="宋体"/>
                <w:sz w:val="22"/>
                <w:szCs w:val="22"/>
              </w:rPr>
            </w:pPr>
            <w:r>
              <w:rPr>
                <w:rFonts w:hint="eastAsia" w:ascii="宋体" w:hAnsi="宋体"/>
                <w:sz w:val="22"/>
                <w:szCs w:val="22"/>
              </w:rPr>
              <w:t>2、投标人具备以下证书每一个得6</w:t>
            </w:r>
            <w:r>
              <w:rPr>
                <w:rFonts w:ascii="宋体" w:hAnsi="宋体"/>
                <w:sz w:val="22"/>
                <w:szCs w:val="22"/>
              </w:rPr>
              <w:t>分</w:t>
            </w:r>
            <w:r>
              <w:rPr>
                <w:rFonts w:hint="eastAsia" w:ascii="宋体" w:hAnsi="宋体"/>
                <w:sz w:val="22"/>
                <w:szCs w:val="22"/>
              </w:rPr>
              <w:t>：</w:t>
            </w:r>
          </w:p>
          <w:p>
            <w:pPr>
              <w:pStyle w:val="62"/>
              <w:spacing w:line="400" w:lineRule="exact"/>
              <w:rPr>
                <w:rFonts w:ascii="宋体" w:hAnsi="宋体"/>
                <w:sz w:val="22"/>
                <w:szCs w:val="22"/>
              </w:rPr>
            </w:pPr>
            <w:r>
              <w:rPr>
                <w:rFonts w:hint="eastAsia" w:ascii="宋体" w:hAnsi="宋体"/>
                <w:sz w:val="22"/>
                <w:szCs w:val="22"/>
              </w:rPr>
              <w:t>（</w:t>
            </w:r>
            <w:r>
              <w:rPr>
                <w:rFonts w:ascii="宋体" w:hAnsi="宋体"/>
                <w:sz w:val="22"/>
                <w:szCs w:val="22"/>
              </w:rPr>
              <w:t>1</w:t>
            </w:r>
            <w:r>
              <w:rPr>
                <w:rFonts w:hint="eastAsia" w:ascii="宋体" w:hAnsi="宋体"/>
                <w:sz w:val="22"/>
                <w:szCs w:val="22"/>
              </w:rPr>
              <w:t>）信息安全管理体系认证（如：</w:t>
            </w:r>
            <w:r>
              <w:rPr>
                <w:rFonts w:ascii="宋体" w:hAnsi="宋体"/>
                <w:sz w:val="22"/>
                <w:szCs w:val="22"/>
              </w:rPr>
              <w:t>ISO2</w:t>
            </w:r>
            <w:r>
              <w:rPr>
                <w:rFonts w:hint="eastAsia" w:ascii="宋体" w:hAnsi="宋体"/>
                <w:sz w:val="22"/>
                <w:szCs w:val="22"/>
              </w:rPr>
              <w:t>7</w:t>
            </w:r>
            <w:r>
              <w:rPr>
                <w:rFonts w:ascii="宋体" w:hAnsi="宋体"/>
                <w:sz w:val="22"/>
                <w:szCs w:val="22"/>
              </w:rPr>
              <w:t>00</w:t>
            </w:r>
            <w:r>
              <w:rPr>
                <w:rFonts w:hint="eastAsia" w:ascii="宋体" w:hAnsi="宋体"/>
                <w:sz w:val="22"/>
                <w:szCs w:val="22"/>
              </w:rPr>
              <w:t>1</w:t>
            </w:r>
            <w:r>
              <w:rPr>
                <w:rFonts w:ascii="宋体" w:hAnsi="宋体"/>
                <w:sz w:val="22"/>
                <w:szCs w:val="22"/>
              </w:rPr>
              <w:t>）；</w:t>
            </w:r>
          </w:p>
          <w:p>
            <w:pPr>
              <w:pStyle w:val="62"/>
              <w:spacing w:line="400" w:lineRule="exact"/>
              <w:rPr>
                <w:rFonts w:ascii="宋体" w:hAnsi="宋体"/>
                <w:sz w:val="22"/>
                <w:szCs w:val="22"/>
              </w:rPr>
            </w:pPr>
            <w:r>
              <w:rPr>
                <w:rFonts w:hint="eastAsia" w:ascii="宋体" w:hAnsi="宋体"/>
                <w:sz w:val="22"/>
                <w:szCs w:val="22"/>
              </w:rPr>
              <w:t>（</w:t>
            </w:r>
            <w:r>
              <w:rPr>
                <w:rFonts w:ascii="宋体" w:hAnsi="宋体"/>
                <w:sz w:val="22"/>
                <w:szCs w:val="22"/>
              </w:rPr>
              <w:t>2</w:t>
            </w:r>
            <w:r>
              <w:rPr>
                <w:rFonts w:hint="eastAsia" w:ascii="宋体" w:hAnsi="宋体"/>
                <w:sz w:val="22"/>
                <w:szCs w:val="22"/>
              </w:rPr>
              <w:t>）</w:t>
            </w:r>
            <w:r>
              <w:rPr>
                <w:rFonts w:hint="eastAsia" w:ascii="宋体" w:hAnsi="宋体" w:cs="宋体"/>
                <w:szCs w:val="21"/>
              </w:rPr>
              <w:t>通信网络安全服务能力评定证书（中国通信企业协会颁发）</w:t>
            </w:r>
            <w:r>
              <w:rPr>
                <w:rFonts w:ascii="宋体" w:hAnsi="宋体"/>
                <w:sz w:val="22"/>
                <w:szCs w:val="22"/>
              </w:rPr>
              <w:t>；</w:t>
            </w:r>
          </w:p>
          <w:p>
            <w:pPr>
              <w:pStyle w:val="62"/>
              <w:shd w:val="clear" w:color="auto" w:fill="FFFFFF"/>
              <w:wordWrap w:val="0"/>
              <w:spacing w:before="0" w:after="0"/>
              <w:rPr>
                <w:rFonts w:ascii="宋体" w:hAnsi="宋体" w:cs="宋体"/>
                <w:b/>
                <w:bCs/>
                <w:kern w:val="2"/>
                <w:sz w:val="21"/>
                <w:szCs w:val="21"/>
              </w:rPr>
            </w:pPr>
            <w:r>
              <w:rPr>
                <w:rFonts w:hint="eastAsia" w:ascii="宋体" w:hAnsi="宋体"/>
                <w:sz w:val="22"/>
                <w:szCs w:val="22"/>
              </w:rPr>
              <w:t>（</w:t>
            </w:r>
            <w:r>
              <w:rPr>
                <w:rFonts w:ascii="宋体" w:hAnsi="宋体"/>
                <w:sz w:val="22"/>
                <w:szCs w:val="22"/>
              </w:rPr>
              <w:t>3</w:t>
            </w:r>
            <w:r>
              <w:rPr>
                <w:rFonts w:hint="eastAsia" w:ascii="宋体" w:hAnsi="宋体"/>
                <w:sz w:val="22"/>
                <w:szCs w:val="22"/>
              </w:rPr>
              <w:t>）</w:t>
            </w:r>
            <w:r>
              <w:rPr>
                <w:rFonts w:hint="eastAsia" w:ascii="宋体" w:hAnsi="宋体" w:cs="宋体"/>
                <w:kern w:val="2"/>
                <w:sz w:val="21"/>
                <w:szCs w:val="21"/>
              </w:rPr>
              <w:t>有效期内的（中华人民共和国增值电信业务经营许可证</w:t>
            </w:r>
          </w:p>
          <w:p>
            <w:pPr>
              <w:pStyle w:val="62"/>
              <w:spacing w:line="400" w:lineRule="exact"/>
              <w:rPr>
                <w:rFonts w:ascii="宋体" w:hAnsi="宋体"/>
                <w:sz w:val="22"/>
                <w:szCs w:val="22"/>
              </w:rPr>
            </w:pPr>
            <w:r>
              <w:rPr>
                <w:rFonts w:hint="eastAsia" w:ascii="宋体" w:hAnsi="宋体" w:cs="宋体"/>
                <w:szCs w:val="21"/>
              </w:rPr>
              <w:t>）复印件，业务种类包括‘</w:t>
            </w:r>
            <w:r>
              <w:rPr>
                <w:rFonts w:ascii="宋体" w:hAnsi="宋体" w:cs="宋体"/>
                <w:szCs w:val="21"/>
              </w:rPr>
              <w:t>互联网接入服务业务</w:t>
            </w:r>
            <w:r>
              <w:rPr>
                <w:rFonts w:hint="eastAsia" w:ascii="宋体" w:hAnsi="宋体" w:cs="宋体"/>
                <w:szCs w:val="21"/>
              </w:rPr>
              <w:t>’‘</w:t>
            </w:r>
            <w:r>
              <w:rPr>
                <w:rFonts w:ascii="宋体" w:hAnsi="宋体" w:cs="宋体"/>
                <w:szCs w:val="21"/>
              </w:rPr>
              <w:t>互联网数据中心业务</w:t>
            </w:r>
            <w:r>
              <w:rPr>
                <w:rFonts w:hint="eastAsia" w:ascii="宋体" w:hAnsi="宋体" w:cs="宋体"/>
                <w:szCs w:val="21"/>
              </w:rPr>
              <w:t>’‘互联网</w:t>
            </w:r>
            <w:r>
              <w:rPr>
                <w:rFonts w:ascii="宋体" w:hAnsi="宋体" w:cs="宋体"/>
                <w:szCs w:val="21"/>
              </w:rPr>
              <w:t>信息服务业务</w:t>
            </w:r>
            <w:r>
              <w:rPr>
                <w:rFonts w:hint="eastAsia" w:ascii="宋体" w:hAnsi="宋体" w:cs="宋体"/>
                <w:szCs w:val="21"/>
              </w:rPr>
              <w:t>’</w:t>
            </w:r>
            <w:r>
              <w:rPr>
                <w:rFonts w:ascii="宋体" w:hAnsi="宋体"/>
                <w:sz w:val="22"/>
                <w:szCs w:val="22"/>
              </w:rPr>
              <w:t>；</w:t>
            </w:r>
          </w:p>
          <w:p>
            <w:pPr>
              <w:pStyle w:val="62"/>
              <w:numPr>
                <w:ilvl w:val="255"/>
                <w:numId w:val="0"/>
              </w:numPr>
              <w:rPr>
                <w:rFonts w:ascii="宋体" w:hAnsi="宋体" w:cs="宋体"/>
                <w:sz w:val="21"/>
                <w:szCs w:val="21"/>
              </w:rPr>
            </w:pPr>
            <w:r>
              <w:rPr>
                <w:rFonts w:hint="eastAsia" w:ascii="宋体" w:hAnsi="宋体" w:cs="宋体"/>
                <w:sz w:val="21"/>
                <w:szCs w:val="21"/>
              </w:rPr>
              <w:t>（4）有效期内的高新企业技术证书；</w:t>
            </w:r>
          </w:p>
          <w:p>
            <w:pPr>
              <w:pStyle w:val="62"/>
              <w:spacing w:line="400" w:lineRule="exact"/>
              <w:jc w:val="left"/>
              <w:rPr>
                <w:rFonts w:ascii="宋体" w:hAnsi="宋体" w:cs="宋体"/>
                <w:b/>
                <w:sz w:val="22"/>
                <w:szCs w:val="22"/>
              </w:rPr>
            </w:pPr>
            <w:r>
              <w:rPr>
                <w:rFonts w:hint="eastAsia"/>
              </w:rPr>
              <w:t>（以上4个证书，</w:t>
            </w:r>
            <w:r>
              <w:rPr>
                <w:rFonts w:hint="eastAsia" w:ascii="宋体" w:hAnsi="宋体"/>
                <w:sz w:val="21"/>
                <w:szCs w:val="21"/>
              </w:rPr>
              <w:t>请提供有效资质证书复印件，并加盖投标人公章。</w:t>
            </w:r>
            <w:r>
              <w:rPr>
                <w:rFonts w:hint="eastAsia"/>
              </w:rPr>
              <w:t>）</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lang w:val="zh-CN"/>
              </w:rPr>
            </w:pPr>
            <w:r>
              <w:rPr>
                <w:rFonts w:hint="eastAsia" w:ascii="宋体" w:hAnsi="宋体" w:cs="宋体"/>
                <w:sz w:val="22"/>
                <w:szCs w:val="22"/>
              </w:rPr>
              <w:t>30</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rPr>
            </w:pPr>
            <w:r>
              <w:rPr>
                <w:rFonts w:hint="eastAsia" w:ascii="宋体" w:hAnsi="宋体" w:cs="宋体"/>
                <w:sz w:val="22"/>
                <w:szCs w:val="22"/>
              </w:rPr>
              <w:t>2</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rPr>
            </w:pPr>
            <w:r>
              <w:rPr>
                <w:rFonts w:hint="eastAsia" w:ascii="宋体"/>
                <w:kern w:val="0"/>
                <w:sz w:val="22"/>
                <w:szCs w:val="22"/>
              </w:rPr>
              <w:t>项目业绩</w:t>
            </w:r>
          </w:p>
        </w:tc>
        <w:tc>
          <w:tcPr>
            <w:tcW w:w="6521"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 w:val="22"/>
                <w:szCs w:val="22"/>
              </w:rPr>
            </w:pPr>
            <w:r>
              <w:rPr>
                <w:rFonts w:ascii="宋体" w:hAnsi="宋体" w:cs="宋体"/>
                <w:sz w:val="22"/>
                <w:szCs w:val="22"/>
              </w:rPr>
              <w:t>投标人具有自20</w:t>
            </w:r>
            <w:r>
              <w:rPr>
                <w:rFonts w:hint="eastAsia" w:ascii="宋体" w:hAnsi="宋体" w:cs="宋体"/>
                <w:sz w:val="22"/>
                <w:szCs w:val="22"/>
              </w:rPr>
              <w:t>19</w:t>
            </w:r>
            <w:r>
              <w:rPr>
                <w:rFonts w:ascii="宋体" w:hAnsi="宋体" w:cs="宋体"/>
                <w:sz w:val="22"/>
                <w:szCs w:val="22"/>
              </w:rPr>
              <w:t>年1月1日（</w:t>
            </w:r>
            <w:r>
              <w:rPr>
                <w:rFonts w:hint="eastAsia" w:ascii="宋体" w:hAnsi="宋体" w:cs="宋体"/>
                <w:szCs w:val="21"/>
              </w:rPr>
              <w:t>合同签订日</w:t>
            </w:r>
            <w:r>
              <w:rPr>
                <w:rFonts w:ascii="宋体" w:hAnsi="宋体" w:cs="宋体"/>
                <w:sz w:val="22"/>
                <w:szCs w:val="22"/>
              </w:rPr>
              <w:t>）</w:t>
            </w:r>
            <w:r>
              <w:rPr>
                <w:rFonts w:hint="eastAsia" w:ascii="宋体" w:hAnsi="宋体" w:cs="宋体"/>
                <w:sz w:val="22"/>
                <w:szCs w:val="22"/>
              </w:rPr>
              <w:t>至今以投标人名义独立完成的同类项目经验，服务内容必须包含网络安全测评，每具有一个得1分</w:t>
            </w:r>
            <w:r>
              <w:rPr>
                <w:rFonts w:ascii="宋体" w:hAnsi="宋体" w:cs="宋体"/>
                <w:sz w:val="22"/>
                <w:szCs w:val="22"/>
              </w:rPr>
              <w:t>，最高得</w:t>
            </w:r>
            <w:r>
              <w:rPr>
                <w:rFonts w:hint="eastAsia" w:ascii="宋体" w:hAnsi="宋体" w:cs="宋体"/>
                <w:sz w:val="22"/>
                <w:szCs w:val="22"/>
              </w:rPr>
              <w:t>10</w:t>
            </w:r>
            <w:r>
              <w:rPr>
                <w:rFonts w:ascii="宋体" w:hAnsi="宋体" w:cs="宋体"/>
                <w:sz w:val="22"/>
                <w:szCs w:val="22"/>
              </w:rPr>
              <w:t>分</w:t>
            </w:r>
            <w:r>
              <w:rPr>
                <w:rFonts w:hint="eastAsia" w:ascii="宋体" w:hAnsi="宋体" w:cs="宋体"/>
                <w:sz w:val="22"/>
                <w:szCs w:val="22"/>
              </w:rPr>
              <w:t>。</w:t>
            </w:r>
          </w:p>
          <w:p>
            <w:r>
              <w:rPr>
                <w:rFonts w:hint="eastAsia" w:ascii="宋体" w:hAnsi="宋体" w:cs="宋体"/>
                <w:szCs w:val="21"/>
              </w:rPr>
              <w:t>注：须提供有效合同的关键页面复印件，并加盖投标人公章，同时出现一个用户单位多份合同的情况只算一次加分项，</w:t>
            </w:r>
            <w:r>
              <w:rPr>
                <w:rFonts w:hint="eastAsia" w:ascii="宋体" w:hAnsi="宋体" w:cs="宋体"/>
                <w:kern w:val="0"/>
                <w:szCs w:val="21"/>
              </w:rPr>
              <w:t>不提供则不得分。</w:t>
            </w:r>
          </w:p>
          <w:p>
            <w:pPr>
              <w:snapToGrid w:val="0"/>
              <w:spacing w:line="400" w:lineRule="exact"/>
              <w:jc w:val="left"/>
              <w:rPr>
                <w:rFonts w:ascii="宋体" w:hAnsi="宋体" w:cs="宋体"/>
                <w:b/>
                <w:sz w:val="22"/>
                <w:szCs w:val="22"/>
              </w:rPr>
            </w:pP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lang w:val="zh-CN"/>
              </w:rPr>
            </w:pPr>
            <w:r>
              <w:rPr>
                <w:rFonts w:hint="eastAsia" w:ascii="宋体" w:hAnsi="宋体" w:cs="宋体"/>
                <w:sz w:val="22"/>
                <w:szCs w:val="22"/>
              </w:rPr>
              <w:t>10</w:t>
            </w:r>
            <w:r>
              <w:rPr>
                <w:rFonts w:hint="eastAsia" w:ascii="宋体" w:hAnsi="宋体" w:cs="宋体"/>
                <w:sz w:val="22"/>
                <w:szCs w:val="22"/>
                <w:lang w:val="zh-CN"/>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400" w:lineRule="exact"/>
              <w:ind w:firstLine="434"/>
              <w:jc w:val="center"/>
              <w:rPr>
                <w:rFonts w:ascii="宋体" w:hAnsi="宋体" w:cs="宋体"/>
                <w:b/>
                <w:bCs/>
                <w:kern w:val="0"/>
                <w:sz w:val="22"/>
                <w:szCs w:val="22"/>
              </w:rPr>
            </w:pPr>
            <w:r>
              <w:rPr>
                <w:rFonts w:hint="eastAsia" w:ascii="宋体" w:hAnsi="宋体" w:cs="宋体"/>
                <w:b/>
                <w:bCs/>
                <w:kern w:val="0"/>
                <w:sz w:val="22"/>
                <w:szCs w:val="22"/>
              </w:rPr>
              <w:t>合计</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400" w:lineRule="exact"/>
              <w:jc w:val="center"/>
              <w:rPr>
                <w:rFonts w:ascii="宋体" w:hAnsi="宋体" w:cs="宋体"/>
                <w:b/>
                <w:bCs/>
                <w:kern w:val="0"/>
                <w:sz w:val="22"/>
                <w:szCs w:val="22"/>
              </w:rPr>
            </w:pPr>
            <w:r>
              <w:rPr>
                <w:rFonts w:ascii="宋体" w:hAnsi="宋体" w:cs="宋体"/>
                <w:b/>
                <w:bCs/>
                <w:kern w:val="0"/>
                <w:sz w:val="22"/>
                <w:szCs w:val="22"/>
              </w:rPr>
              <w:t>40分</w:t>
            </w:r>
          </w:p>
        </w:tc>
      </w:tr>
    </w:tbl>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备注：</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（1）招标文件要求提交的与评价指标体系相关的各类有效资料，投标人如未按要求提交的，该项评分为零分。</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（2）商务得分为评委</w:t>
      </w:r>
      <w:r>
        <w:rPr>
          <w:rFonts w:ascii="Times New Roman" w:hAnsi="Times New Roman"/>
          <w:color w:val="000000" w:themeColor="text1"/>
          <w:sz w:val="22"/>
          <w:szCs w:val="22"/>
          <w14:textFill>
            <w14:solidFill>
              <w14:schemeClr w14:val="tx1"/>
            </w14:solidFill>
          </w14:textFill>
        </w:rPr>
        <w:t>评分</w:t>
      </w:r>
      <w:r>
        <w:rPr>
          <w:color w:val="000000" w:themeColor="text1"/>
          <w:sz w:val="22"/>
          <w:szCs w:val="22"/>
          <w14:textFill>
            <w14:solidFill>
              <w14:schemeClr w14:val="tx1"/>
            </w14:solidFill>
          </w14:textFill>
        </w:rPr>
        <w:t>分值的算术平均值（四舍五入后，小数点后保留两位有效数）。</w:t>
      </w:r>
    </w:p>
    <w:p>
      <w:pPr>
        <w:pStyle w:val="75"/>
        <w:numPr>
          <w:ilvl w:val="0"/>
          <w:numId w:val="52"/>
        </w:numPr>
        <w:tabs>
          <w:tab w:val="left" w:pos="0"/>
          <w:tab w:val="left" w:pos="643"/>
          <w:tab w:val="left" w:pos="907"/>
          <w:tab w:val="left" w:pos="2552"/>
        </w:tabs>
        <w:spacing w:after="0" w:line="360" w:lineRule="auto"/>
        <w:ind w:left="2552" w:hanging="2552"/>
        <w:rPr>
          <w:rFonts w:ascii="宋体" w:hAnsi="宋体"/>
          <w:b/>
          <w:sz w:val="22"/>
          <w:szCs w:val="22"/>
        </w:rPr>
      </w:pPr>
      <w:r>
        <w:rPr>
          <w:rFonts w:hint="eastAsia" w:ascii="宋体" w:hAnsi="宋体"/>
          <w:b/>
          <w:sz w:val="22"/>
          <w:szCs w:val="22"/>
        </w:rPr>
        <w:t>技术评分标准：（总分：30分）</w:t>
      </w:r>
    </w:p>
    <w:tbl>
      <w:tblPr>
        <w:tblStyle w:val="51"/>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383"/>
        <w:gridCol w:w="637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b/>
                <w:bCs/>
                <w:sz w:val="22"/>
                <w:szCs w:val="22"/>
              </w:rPr>
            </w:pPr>
            <w:r>
              <w:rPr>
                <w:rFonts w:hint="eastAsia" w:ascii="宋体" w:hAnsi="宋体"/>
                <w:b/>
                <w:bCs/>
                <w:sz w:val="22"/>
                <w:szCs w:val="22"/>
              </w:rPr>
              <w:t>序号</w:t>
            </w:r>
          </w:p>
        </w:tc>
        <w:tc>
          <w:tcPr>
            <w:tcW w:w="1383"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2"/>
                <w:szCs w:val="22"/>
              </w:rPr>
            </w:pPr>
            <w:r>
              <w:rPr>
                <w:rFonts w:hint="eastAsia" w:ascii="宋体" w:hAnsi="宋体" w:cs="宋体"/>
                <w:b/>
                <w:bCs/>
                <w:sz w:val="22"/>
                <w:szCs w:val="22"/>
              </w:rPr>
              <w:t>评审内容</w:t>
            </w:r>
          </w:p>
        </w:tc>
        <w:tc>
          <w:tcPr>
            <w:tcW w:w="6379" w:type="dxa"/>
            <w:tcBorders>
              <w:left w:val="single" w:color="auto" w:sz="4" w:space="0"/>
              <w:right w:val="single" w:color="auto" w:sz="4" w:space="0"/>
            </w:tcBorders>
            <w:vAlign w:val="center"/>
          </w:tcPr>
          <w:p>
            <w:pPr>
              <w:snapToGrid w:val="0"/>
              <w:spacing w:line="400" w:lineRule="exact"/>
              <w:jc w:val="center"/>
              <w:rPr>
                <w:rFonts w:ascii="宋体" w:hAnsi="宋体"/>
                <w:b/>
                <w:bCs/>
                <w:sz w:val="22"/>
                <w:szCs w:val="22"/>
              </w:rPr>
            </w:pPr>
            <w:r>
              <w:rPr>
                <w:rFonts w:hint="eastAsia" w:ascii="宋体" w:hAnsi="宋体" w:cs="宋体"/>
                <w:b/>
                <w:bCs/>
                <w:sz w:val="22"/>
                <w:szCs w:val="22"/>
              </w:rPr>
              <w:t>评分细则</w:t>
            </w:r>
          </w:p>
        </w:tc>
        <w:tc>
          <w:tcPr>
            <w:tcW w:w="850" w:type="dxa"/>
            <w:tcBorders>
              <w:left w:val="single" w:color="auto" w:sz="4" w:space="0"/>
              <w:right w:val="single" w:color="auto" w:sz="4" w:space="0"/>
            </w:tcBorders>
            <w:vAlign w:val="center"/>
          </w:tcPr>
          <w:p>
            <w:pPr>
              <w:widowControl/>
              <w:snapToGrid w:val="0"/>
              <w:spacing w:line="400" w:lineRule="exact"/>
              <w:jc w:val="center"/>
              <w:rPr>
                <w:rFonts w:ascii="宋体" w:hAnsi="宋体"/>
                <w:b/>
                <w:bCs/>
                <w:sz w:val="22"/>
                <w:szCs w:val="22"/>
              </w:rPr>
            </w:pPr>
            <w:r>
              <w:rPr>
                <w:rFonts w:hint="eastAsia" w:ascii="宋体" w:hAnsi="宋体"/>
                <w:b/>
                <w:bCs/>
                <w:sz w:val="22"/>
                <w:szCs w:val="22"/>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710" w:type="dxa"/>
            <w:vMerge w:val="restart"/>
            <w:tcBorders>
              <w:left w:val="single" w:color="auto" w:sz="4" w:space="0"/>
              <w:right w:val="single" w:color="auto" w:sz="4" w:space="0"/>
            </w:tcBorders>
            <w:vAlign w:val="center"/>
          </w:tcPr>
          <w:p>
            <w:pPr>
              <w:snapToGrid w:val="0"/>
              <w:spacing w:line="400" w:lineRule="exact"/>
              <w:jc w:val="center"/>
              <w:rPr>
                <w:rFonts w:ascii="宋体" w:hAnsi="宋体"/>
                <w:sz w:val="22"/>
                <w:szCs w:val="22"/>
              </w:rPr>
            </w:pPr>
            <w:r>
              <w:rPr>
                <w:rFonts w:ascii="宋体" w:hAnsi="宋体"/>
                <w:sz w:val="22"/>
                <w:szCs w:val="22"/>
              </w:rPr>
              <w:t>1</w:t>
            </w:r>
          </w:p>
        </w:tc>
        <w:tc>
          <w:tcPr>
            <w:tcW w:w="1383" w:type="dxa"/>
            <w:vMerge w:val="restart"/>
            <w:tcBorders>
              <w:left w:val="single" w:color="auto" w:sz="4" w:space="0"/>
              <w:right w:val="single" w:color="auto" w:sz="4" w:space="0"/>
            </w:tcBorders>
            <w:vAlign w:val="center"/>
          </w:tcPr>
          <w:p>
            <w:pPr>
              <w:snapToGrid w:val="0"/>
              <w:spacing w:line="400" w:lineRule="exact"/>
              <w:jc w:val="center"/>
              <w:rPr>
                <w:rFonts w:ascii="宋体" w:hAnsi="宋体" w:cs="宋体"/>
                <w:sz w:val="22"/>
                <w:szCs w:val="22"/>
              </w:rPr>
            </w:pPr>
            <w:r>
              <w:rPr>
                <w:rFonts w:hint="eastAsia" w:ascii="宋体" w:hAnsi="宋体" w:cs="宋体"/>
                <w:sz w:val="22"/>
                <w:szCs w:val="22"/>
              </w:rPr>
              <w:t>服务方案</w:t>
            </w:r>
          </w:p>
        </w:tc>
        <w:tc>
          <w:tcPr>
            <w:tcW w:w="6379"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sz w:val="22"/>
                <w:szCs w:val="22"/>
              </w:rPr>
            </w:pPr>
            <w:r>
              <w:rPr>
                <w:rFonts w:hint="eastAsia" w:ascii="宋体" w:hAnsi="宋体"/>
                <w:sz w:val="22"/>
                <w:szCs w:val="22"/>
              </w:rPr>
              <w:t>根据投标人针对本项目制定的项目实施方案中的测评流程步骤进行综合评价：</w:t>
            </w:r>
          </w:p>
          <w:p>
            <w:pPr>
              <w:spacing w:line="400" w:lineRule="exact"/>
              <w:jc w:val="left"/>
              <w:rPr>
                <w:rFonts w:ascii="宋体" w:hAnsi="宋体"/>
                <w:sz w:val="22"/>
                <w:szCs w:val="22"/>
              </w:rPr>
            </w:pPr>
            <w:r>
              <w:rPr>
                <w:rFonts w:hint="eastAsia" w:ascii="宋体" w:hAnsi="宋体"/>
                <w:sz w:val="22"/>
                <w:szCs w:val="22"/>
              </w:rPr>
              <w:t>（1）优：测评流程步骤条理清晰，可行性强，得5分；</w:t>
            </w:r>
          </w:p>
          <w:p>
            <w:pPr>
              <w:spacing w:line="400" w:lineRule="exact"/>
              <w:jc w:val="left"/>
              <w:rPr>
                <w:rFonts w:ascii="宋体" w:hAnsi="宋体"/>
                <w:sz w:val="22"/>
                <w:szCs w:val="22"/>
              </w:rPr>
            </w:pPr>
            <w:r>
              <w:rPr>
                <w:rFonts w:hint="eastAsia" w:ascii="宋体" w:hAnsi="宋体"/>
                <w:sz w:val="22"/>
                <w:szCs w:val="22"/>
              </w:rPr>
              <w:t>（2）中：测评流程步骤条理较清晰，可行性一般，得3分；</w:t>
            </w:r>
          </w:p>
          <w:p>
            <w:pPr>
              <w:spacing w:line="400" w:lineRule="exact"/>
              <w:jc w:val="left"/>
              <w:rPr>
                <w:rFonts w:ascii="宋体" w:hAnsi="宋体"/>
                <w:sz w:val="22"/>
                <w:szCs w:val="22"/>
              </w:rPr>
            </w:pPr>
            <w:r>
              <w:rPr>
                <w:rFonts w:hint="eastAsia" w:ascii="宋体" w:hAnsi="宋体"/>
                <w:sz w:val="22"/>
                <w:szCs w:val="22"/>
              </w:rPr>
              <w:t>（3）差：测评流程步骤条理不清晰，可行性差，得1分；</w:t>
            </w:r>
          </w:p>
          <w:p>
            <w:pPr>
              <w:spacing w:line="400" w:lineRule="exact"/>
              <w:rPr>
                <w:rFonts w:ascii="宋体" w:hAnsi="宋体"/>
                <w:bCs/>
                <w:sz w:val="22"/>
                <w:szCs w:val="22"/>
              </w:rPr>
            </w:pPr>
            <w:r>
              <w:rPr>
                <w:rFonts w:hint="eastAsia" w:ascii="宋体" w:hAnsi="宋体"/>
                <w:sz w:val="22"/>
                <w:szCs w:val="22"/>
              </w:rPr>
              <w:t>未提供不得分。</w:t>
            </w:r>
          </w:p>
        </w:tc>
        <w:tc>
          <w:tcPr>
            <w:tcW w:w="850" w:type="dxa"/>
            <w:vMerge w:val="restart"/>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sz w:val="22"/>
                <w:szCs w:val="22"/>
              </w:rPr>
            </w:pPr>
            <w:r>
              <w:rPr>
                <w:rFonts w:hint="eastAsia" w:ascii="宋体" w:hAnsi="宋体"/>
                <w:sz w:val="22"/>
                <w:szCs w:val="22"/>
              </w:rPr>
              <w:t>20分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710"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2"/>
                <w:szCs w:val="22"/>
              </w:rPr>
            </w:pPr>
          </w:p>
        </w:tc>
        <w:tc>
          <w:tcPr>
            <w:tcW w:w="1383"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2"/>
                <w:szCs w:val="22"/>
              </w:rPr>
            </w:pPr>
            <w:r>
              <w:rPr>
                <w:rFonts w:hint="eastAsia" w:ascii="宋体" w:hAnsi="宋体"/>
                <w:sz w:val="22"/>
                <w:szCs w:val="22"/>
              </w:rPr>
              <w:t>根据投标人针对本项目制定的项目实施方案中的测评方法进行综合评价：</w:t>
            </w:r>
          </w:p>
          <w:p>
            <w:pPr>
              <w:spacing w:line="400" w:lineRule="exact"/>
              <w:rPr>
                <w:rFonts w:ascii="宋体" w:hAnsi="宋体"/>
                <w:sz w:val="22"/>
                <w:szCs w:val="22"/>
              </w:rPr>
            </w:pPr>
            <w:r>
              <w:rPr>
                <w:rFonts w:hint="eastAsia" w:ascii="宋体" w:hAnsi="宋体"/>
                <w:sz w:val="22"/>
                <w:szCs w:val="22"/>
              </w:rPr>
              <w:t>（1）优：测评方法科学合理，可行性强，得5分；</w:t>
            </w:r>
          </w:p>
          <w:p>
            <w:pPr>
              <w:spacing w:line="400" w:lineRule="exact"/>
              <w:rPr>
                <w:rFonts w:ascii="宋体" w:hAnsi="宋体"/>
                <w:sz w:val="22"/>
                <w:szCs w:val="22"/>
              </w:rPr>
            </w:pPr>
            <w:r>
              <w:rPr>
                <w:rFonts w:hint="eastAsia" w:ascii="宋体" w:hAnsi="宋体"/>
                <w:sz w:val="22"/>
                <w:szCs w:val="22"/>
              </w:rPr>
              <w:t>（2）中：测评方法较合理，可行性一般，得3分；</w:t>
            </w:r>
          </w:p>
          <w:p>
            <w:pPr>
              <w:spacing w:line="400" w:lineRule="exact"/>
              <w:rPr>
                <w:rFonts w:ascii="宋体" w:hAnsi="宋体"/>
                <w:sz w:val="22"/>
                <w:szCs w:val="22"/>
              </w:rPr>
            </w:pPr>
            <w:r>
              <w:rPr>
                <w:rFonts w:hint="eastAsia" w:ascii="宋体" w:hAnsi="宋体"/>
                <w:sz w:val="22"/>
                <w:szCs w:val="22"/>
              </w:rPr>
              <w:t>（3）差：测评方法不合理，可行性差，得1分；</w:t>
            </w:r>
          </w:p>
          <w:p>
            <w:pPr>
              <w:spacing w:line="400" w:lineRule="exact"/>
              <w:rPr>
                <w:rFonts w:ascii="宋体" w:hAnsi="宋体"/>
                <w:sz w:val="22"/>
                <w:szCs w:val="22"/>
              </w:rPr>
            </w:pPr>
            <w:r>
              <w:rPr>
                <w:rFonts w:hint="eastAsia" w:ascii="宋体" w:hAnsi="宋体"/>
                <w:sz w:val="22"/>
                <w:szCs w:val="22"/>
              </w:rPr>
              <w:t>未提供不得分。</w:t>
            </w:r>
          </w:p>
        </w:tc>
        <w:tc>
          <w:tcPr>
            <w:tcW w:w="850" w:type="dxa"/>
            <w:vMerge w:val="continue"/>
            <w:tcBorders>
              <w:left w:val="single" w:color="auto" w:sz="4" w:space="0"/>
              <w:right w:val="single" w:color="auto" w:sz="4" w:space="0"/>
            </w:tcBorders>
            <w:vAlign w:val="center"/>
          </w:tcPr>
          <w:p>
            <w:pPr>
              <w:snapToGrid w:val="0"/>
              <w:spacing w:line="40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34" w:hRule="atLeast"/>
        </w:trPr>
        <w:tc>
          <w:tcPr>
            <w:tcW w:w="710"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2"/>
                <w:szCs w:val="22"/>
              </w:rPr>
            </w:pPr>
          </w:p>
        </w:tc>
        <w:tc>
          <w:tcPr>
            <w:tcW w:w="1383"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sz w:val="22"/>
                <w:szCs w:val="22"/>
              </w:rPr>
            </w:pPr>
            <w:r>
              <w:rPr>
                <w:rFonts w:hint="eastAsia" w:ascii="宋体" w:hAnsi="宋体"/>
                <w:sz w:val="22"/>
                <w:szCs w:val="22"/>
              </w:rPr>
              <w:t>根据投标人针对本项目制定的项目实施方案中的测评工具进行综合评价：</w:t>
            </w:r>
          </w:p>
          <w:p>
            <w:pPr>
              <w:spacing w:line="400" w:lineRule="exact"/>
              <w:rPr>
                <w:rFonts w:ascii="宋体" w:hAnsi="宋体"/>
                <w:sz w:val="22"/>
                <w:szCs w:val="22"/>
              </w:rPr>
            </w:pPr>
            <w:r>
              <w:rPr>
                <w:rFonts w:hint="eastAsia" w:ascii="宋体" w:hAnsi="宋体"/>
                <w:sz w:val="22"/>
                <w:szCs w:val="22"/>
              </w:rPr>
              <w:t>（1）优：测评工具技术性能好，质量可靠，得5分；</w:t>
            </w:r>
          </w:p>
          <w:p>
            <w:pPr>
              <w:spacing w:line="400" w:lineRule="exact"/>
              <w:rPr>
                <w:rFonts w:ascii="宋体" w:hAnsi="宋体"/>
                <w:sz w:val="22"/>
                <w:szCs w:val="22"/>
              </w:rPr>
            </w:pPr>
            <w:r>
              <w:rPr>
                <w:rFonts w:hint="eastAsia" w:ascii="宋体" w:hAnsi="宋体"/>
                <w:sz w:val="22"/>
                <w:szCs w:val="22"/>
              </w:rPr>
              <w:t>（2）中：测评工具技术性能一般，质量较可靠，得3分；</w:t>
            </w:r>
          </w:p>
          <w:p>
            <w:pPr>
              <w:spacing w:line="400" w:lineRule="exact"/>
              <w:rPr>
                <w:rFonts w:ascii="宋体" w:hAnsi="宋体"/>
                <w:sz w:val="22"/>
                <w:szCs w:val="22"/>
              </w:rPr>
            </w:pPr>
            <w:r>
              <w:rPr>
                <w:rFonts w:hint="eastAsia" w:ascii="宋体" w:hAnsi="宋体"/>
                <w:sz w:val="22"/>
                <w:szCs w:val="22"/>
              </w:rPr>
              <w:t>（3）差：测评工具技术性能较差，质量较差，得1分；</w:t>
            </w:r>
          </w:p>
          <w:p>
            <w:pPr>
              <w:spacing w:line="400" w:lineRule="exact"/>
              <w:rPr>
                <w:rFonts w:ascii="宋体" w:hAnsi="宋体"/>
                <w:sz w:val="22"/>
                <w:szCs w:val="22"/>
              </w:rPr>
            </w:pPr>
            <w:r>
              <w:rPr>
                <w:rFonts w:hint="eastAsia" w:ascii="宋体" w:hAnsi="宋体"/>
                <w:sz w:val="22"/>
                <w:szCs w:val="22"/>
              </w:rPr>
              <w:t>未提供不得分。</w:t>
            </w:r>
          </w:p>
        </w:tc>
        <w:tc>
          <w:tcPr>
            <w:tcW w:w="850" w:type="dxa"/>
            <w:vMerge w:val="continue"/>
            <w:tcBorders>
              <w:left w:val="single" w:color="auto" w:sz="4" w:space="0"/>
              <w:right w:val="single" w:color="auto" w:sz="4" w:space="0"/>
            </w:tcBorders>
            <w:vAlign w:val="center"/>
          </w:tcPr>
          <w:p>
            <w:pPr>
              <w:snapToGrid w:val="0"/>
              <w:spacing w:line="40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 w:hRule="atLeast"/>
        </w:trPr>
        <w:tc>
          <w:tcPr>
            <w:tcW w:w="710"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2"/>
                <w:szCs w:val="22"/>
              </w:rPr>
            </w:pPr>
          </w:p>
        </w:tc>
        <w:tc>
          <w:tcPr>
            <w:tcW w:w="1383"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rPr>
            </w:pPr>
          </w:p>
        </w:tc>
        <w:tc>
          <w:tcPr>
            <w:tcW w:w="637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kern w:val="0"/>
                <w:sz w:val="22"/>
                <w:szCs w:val="22"/>
              </w:rPr>
            </w:pPr>
            <w:r>
              <w:rPr>
                <w:rFonts w:hint="eastAsia" w:ascii="宋体" w:hAnsi="宋体" w:cs="宋体"/>
                <w:kern w:val="0"/>
                <w:szCs w:val="21"/>
              </w:rPr>
              <w:t>为保证招标人的服务质量和项目完结后的服务保证，投标人</w:t>
            </w:r>
            <w:r>
              <w:rPr>
                <w:rFonts w:hint="eastAsia" w:ascii="宋体" w:hAnsi="宋体"/>
                <w:sz w:val="22"/>
                <w:szCs w:val="22"/>
              </w:rPr>
              <w:t>针对本项目制定的安全咨询方案</w:t>
            </w:r>
            <w:r>
              <w:rPr>
                <w:rFonts w:hint="eastAsia" w:ascii="宋体" w:hAnsi="宋体" w:cs="宋体"/>
                <w:kern w:val="0"/>
                <w:sz w:val="22"/>
                <w:szCs w:val="22"/>
              </w:rPr>
              <w:t>，主要有：</w:t>
            </w:r>
          </w:p>
          <w:p>
            <w:pPr>
              <w:rPr>
                <w:rFonts w:ascii="宋体" w:hAnsi="宋体" w:cs="宋体"/>
                <w:kern w:val="0"/>
                <w:sz w:val="22"/>
                <w:szCs w:val="22"/>
              </w:rPr>
            </w:pPr>
            <w:r>
              <w:rPr>
                <w:rFonts w:hint="eastAsia" w:ascii="宋体" w:hAnsi="宋体" w:cs="宋体"/>
                <w:kern w:val="0"/>
                <w:sz w:val="22"/>
                <w:szCs w:val="22"/>
              </w:rPr>
              <w:t>（</w:t>
            </w:r>
            <w:r>
              <w:rPr>
                <w:rFonts w:ascii="宋体" w:hAnsi="宋体" w:cs="宋体"/>
                <w:kern w:val="0"/>
                <w:sz w:val="22"/>
                <w:szCs w:val="22"/>
              </w:rPr>
              <w:t>1</w:t>
            </w:r>
            <w:r>
              <w:rPr>
                <w:rFonts w:hint="eastAsia" w:ascii="宋体" w:hAnsi="宋体" w:cs="宋体"/>
                <w:kern w:val="0"/>
                <w:sz w:val="22"/>
                <w:szCs w:val="22"/>
              </w:rPr>
              <w:t>）响应时间快，处理方式科学，</w:t>
            </w:r>
            <w:r>
              <w:rPr>
                <w:rFonts w:hint="eastAsia" w:ascii="宋体" w:hAnsi="宋体"/>
                <w:sz w:val="22"/>
                <w:szCs w:val="22"/>
              </w:rPr>
              <w:t>安全咨询</w:t>
            </w:r>
            <w:r>
              <w:rPr>
                <w:rFonts w:hint="eastAsia" w:ascii="宋体" w:hAnsi="宋体" w:cs="宋体"/>
                <w:kern w:val="0"/>
                <w:sz w:val="22"/>
                <w:szCs w:val="22"/>
              </w:rPr>
              <w:t>方案十分详细的，得</w:t>
            </w:r>
            <w:r>
              <w:rPr>
                <w:rFonts w:ascii="宋体" w:hAnsi="宋体" w:cs="宋体"/>
                <w:kern w:val="0"/>
                <w:sz w:val="22"/>
                <w:szCs w:val="22"/>
              </w:rPr>
              <w:t>5</w:t>
            </w:r>
            <w:r>
              <w:rPr>
                <w:rFonts w:hint="eastAsia" w:ascii="宋体" w:hAnsi="宋体" w:cs="宋体"/>
                <w:kern w:val="0"/>
                <w:sz w:val="22"/>
                <w:szCs w:val="22"/>
              </w:rPr>
              <w:t>分；</w:t>
            </w:r>
          </w:p>
          <w:p>
            <w:pPr>
              <w:rPr>
                <w:rFonts w:ascii="宋体" w:hAnsi="宋体" w:cs="宋体"/>
                <w:kern w:val="0"/>
                <w:szCs w:val="21"/>
              </w:rPr>
            </w:pPr>
            <w:r>
              <w:rPr>
                <w:rFonts w:hint="eastAsia" w:ascii="宋体" w:hAnsi="宋体" w:cs="宋体"/>
                <w:kern w:val="0"/>
                <w:sz w:val="22"/>
                <w:szCs w:val="22"/>
              </w:rPr>
              <w:t>（</w:t>
            </w:r>
            <w:r>
              <w:rPr>
                <w:rFonts w:ascii="宋体" w:hAnsi="宋体" w:cs="宋体"/>
                <w:kern w:val="0"/>
                <w:sz w:val="22"/>
                <w:szCs w:val="22"/>
              </w:rPr>
              <w:t>2</w:t>
            </w:r>
            <w:r>
              <w:rPr>
                <w:rFonts w:hint="eastAsia" w:ascii="宋体" w:hAnsi="宋体" w:cs="宋体"/>
                <w:kern w:val="0"/>
                <w:sz w:val="22"/>
                <w:szCs w:val="22"/>
              </w:rPr>
              <w:t>）响应时间较快，处理方式较科学，</w:t>
            </w:r>
            <w:r>
              <w:rPr>
                <w:rFonts w:hint="eastAsia" w:ascii="宋体" w:hAnsi="宋体"/>
                <w:sz w:val="22"/>
                <w:szCs w:val="22"/>
              </w:rPr>
              <w:t>安全咨询</w:t>
            </w:r>
            <w:r>
              <w:rPr>
                <w:rFonts w:hint="eastAsia" w:ascii="宋体" w:hAnsi="宋体" w:cs="宋体"/>
                <w:kern w:val="0"/>
                <w:sz w:val="22"/>
                <w:szCs w:val="22"/>
              </w:rPr>
              <w:t>方案</w:t>
            </w:r>
            <w:r>
              <w:rPr>
                <w:rFonts w:hint="eastAsia" w:ascii="宋体" w:hAnsi="宋体" w:cs="宋体"/>
                <w:kern w:val="0"/>
                <w:szCs w:val="21"/>
              </w:rPr>
              <w:t>较详细的，得3分；</w:t>
            </w:r>
          </w:p>
          <w:p>
            <w:pPr>
              <w:rPr>
                <w:rFonts w:ascii="宋体" w:hAnsi="宋体" w:cs="宋体"/>
                <w:kern w:val="0"/>
                <w:szCs w:val="21"/>
              </w:rPr>
            </w:pPr>
            <w:r>
              <w:rPr>
                <w:rFonts w:hint="eastAsia" w:ascii="宋体" w:hAnsi="宋体" w:cs="宋体"/>
                <w:kern w:val="0"/>
                <w:szCs w:val="21"/>
              </w:rPr>
              <w:t>（3）响应时间一般，处理方式合理，</w:t>
            </w:r>
            <w:r>
              <w:rPr>
                <w:rFonts w:hint="eastAsia" w:ascii="宋体" w:hAnsi="宋体"/>
                <w:sz w:val="22"/>
                <w:szCs w:val="22"/>
              </w:rPr>
              <w:t>安全咨询</w:t>
            </w:r>
            <w:r>
              <w:rPr>
                <w:rFonts w:hint="eastAsia" w:ascii="宋体" w:hAnsi="宋体" w:cs="宋体"/>
                <w:kern w:val="0"/>
                <w:szCs w:val="21"/>
              </w:rPr>
              <w:t>方案不够详细的，得1分；</w:t>
            </w:r>
          </w:p>
          <w:p>
            <w:pPr>
              <w:spacing w:line="400" w:lineRule="exact"/>
              <w:rPr>
                <w:rFonts w:ascii="宋体" w:hAnsi="宋体"/>
                <w:sz w:val="22"/>
                <w:szCs w:val="22"/>
              </w:rPr>
            </w:pPr>
            <w:r>
              <w:rPr>
                <w:rFonts w:hint="eastAsia" w:ascii="宋体" w:hAnsi="宋体" w:cs="宋体"/>
                <w:kern w:val="0"/>
                <w:szCs w:val="21"/>
              </w:rPr>
              <w:t>未提供的不得分。</w:t>
            </w:r>
          </w:p>
        </w:tc>
        <w:tc>
          <w:tcPr>
            <w:tcW w:w="850" w:type="dxa"/>
            <w:vMerge w:val="continue"/>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sz w:val="22"/>
                <w:szCs w:val="22"/>
              </w:rPr>
            </w:pPr>
            <w:r>
              <w:rPr>
                <w:rFonts w:hint="eastAsia" w:ascii="宋体" w:hAnsi="宋体"/>
                <w:sz w:val="22"/>
                <w:szCs w:val="22"/>
              </w:rPr>
              <w:t>2</w:t>
            </w:r>
          </w:p>
        </w:tc>
        <w:tc>
          <w:tcPr>
            <w:tcW w:w="1383" w:type="dxa"/>
            <w:tcBorders>
              <w:left w:val="single" w:color="auto" w:sz="4" w:space="0"/>
              <w:bottom w:val="single" w:color="auto" w:sz="4" w:space="0"/>
              <w:right w:val="single" w:color="auto" w:sz="4" w:space="0"/>
            </w:tcBorders>
            <w:vAlign w:val="center"/>
          </w:tcPr>
          <w:p>
            <w:pPr>
              <w:rPr>
                <w:rFonts w:ascii="宋体" w:hAnsi="宋体"/>
                <w:sz w:val="22"/>
                <w:szCs w:val="22"/>
              </w:rPr>
            </w:pPr>
            <w:r>
              <w:rPr>
                <w:rFonts w:hint="eastAsia" w:ascii="宋体" w:hAnsi="宋体"/>
                <w:sz w:val="22"/>
                <w:szCs w:val="22"/>
              </w:rPr>
              <w:t>拟派本项目团队</w:t>
            </w:r>
          </w:p>
        </w:tc>
        <w:tc>
          <w:tcPr>
            <w:tcW w:w="6379" w:type="dxa"/>
            <w:tcBorders>
              <w:top w:val="single" w:color="auto" w:sz="4" w:space="0"/>
              <w:left w:val="single" w:color="auto" w:sz="4" w:space="0"/>
              <w:bottom w:val="single" w:color="auto" w:sz="4" w:space="0"/>
              <w:right w:val="single" w:color="auto" w:sz="4" w:space="0"/>
            </w:tcBorders>
            <w:vAlign w:val="center"/>
          </w:tcPr>
          <w:p>
            <w:pPr>
              <w:pStyle w:val="113"/>
              <w:numPr>
                <w:ilvl w:val="0"/>
                <w:numId w:val="53"/>
              </w:numPr>
              <w:ind w:firstLineChars="0"/>
              <w:rPr>
                <w:rFonts w:ascii="宋体" w:hAnsi="宋体" w:cs="宋体"/>
                <w:kern w:val="0"/>
                <w:szCs w:val="21"/>
              </w:rPr>
            </w:pPr>
            <w:r>
              <w:rPr>
                <w:rFonts w:hint="eastAsia" w:ascii="宋体" w:hAnsi="宋体" w:cs="宋体"/>
                <w:kern w:val="0"/>
                <w:szCs w:val="21"/>
              </w:rPr>
              <w:t>项目负责人须具备有效期内持有Certified Information Security Professional(CISP)证书（4分）</w:t>
            </w:r>
          </w:p>
          <w:p>
            <w:pPr>
              <w:rPr>
                <w:rFonts w:ascii="宋体" w:hAnsi="宋体" w:cs="宋体"/>
                <w:kern w:val="0"/>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）项目团队其他人员须有3人具备有效的网络安全人员能力认证证书以及</w:t>
            </w:r>
            <w:r>
              <w:rPr>
                <w:rFonts w:hint="eastAsia" w:ascii="宋体" w:hAnsi="宋体" w:cs="宋体"/>
                <w:szCs w:val="21"/>
              </w:rPr>
              <w:t>电信和互联网行业网络安全工作研修班证书</w:t>
            </w:r>
            <w:r>
              <w:rPr>
                <w:rFonts w:hint="eastAsia" w:ascii="宋体" w:hAnsi="宋体" w:cs="宋体"/>
                <w:kern w:val="0"/>
                <w:szCs w:val="21"/>
              </w:rPr>
              <w:t>（4分）</w:t>
            </w:r>
          </w:p>
          <w:p>
            <w:pPr>
              <w:rPr>
                <w:rFonts w:ascii="宋体" w:hAnsi="宋体" w:cs="宋体"/>
                <w:szCs w:val="21"/>
              </w:rPr>
            </w:pPr>
            <w:r>
              <w:rPr>
                <w:rFonts w:ascii="宋体" w:hAnsi="宋体" w:cs="宋体"/>
                <w:szCs w:val="21"/>
              </w:rPr>
              <w:t>（3）本</w:t>
            </w:r>
            <w:r>
              <w:rPr>
                <w:rFonts w:hint="eastAsia" w:ascii="宋体" w:hAnsi="宋体" w:cs="宋体"/>
                <w:kern w:val="0"/>
                <w:szCs w:val="21"/>
              </w:rPr>
              <w:t>项目团队具备3人需要有信息通信网络运行管理员</w:t>
            </w:r>
            <w:r>
              <w:rPr>
                <w:rFonts w:hint="eastAsia" w:ascii="宋体" w:hAnsi="宋体" w:cs="宋体"/>
                <w:szCs w:val="21"/>
              </w:rPr>
              <w:t>证书（2分）</w:t>
            </w:r>
          </w:p>
          <w:p>
            <w:pPr>
              <w:rPr>
                <w:rFonts w:ascii="宋体"/>
                <w:sz w:val="22"/>
                <w:szCs w:val="22"/>
              </w:rPr>
            </w:pPr>
            <w:r>
              <w:rPr>
                <w:rFonts w:hint="eastAsia" w:ascii="宋体" w:hAnsi="宋体" w:cs="宋体"/>
                <w:kern w:val="0"/>
                <w:szCs w:val="21"/>
              </w:rPr>
              <w:t>拟注：上述资质如团队有多人持有同一资质的按一个计算，请提供上述证书复印件及社保部门出具的该员工近三个月在投标单位缴纳社保的证明资料复印件，复印件均需</w:t>
            </w:r>
            <w:r>
              <w:rPr>
                <w:rFonts w:hint="eastAsia" w:ascii="宋体"/>
                <w:sz w:val="22"/>
                <w:szCs w:val="22"/>
              </w:rPr>
              <w:t>加盖投标人公章，</w:t>
            </w:r>
            <w:r>
              <w:rPr>
                <w:rFonts w:hint="eastAsia" w:ascii="宋体" w:hAnsi="宋体" w:cs="宋体"/>
                <w:kern w:val="0"/>
                <w:szCs w:val="21"/>
              </w:rPr>
              <w:t>不提供则不得分。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szCs w:val="22"/>
              </w:rPr>
            </w:pPr>
            <w:r>
              <w:rPr>
                <w:rFonts w:hint="eastAsia" w:ascii="宋体"/>
                <w:kern w:val="0"/>
                <w:sz w:val="22"/>
                <w:szCs w:val="22"/>
              </w:rPr>
              <w:t>10分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400" w:lineRule="exact"/>
              <w:ind w:firstLine="434"/>
              <w:jc w:val="center"/>
              <w:rPr>
                <w:rFonts w:ascii="宋体" w:hAnsi="宋体" w:cs="宋体"/>
                <w:b/>
                <w:bCs/>
                <w:kern w:val="0"/>
                <w:sz w:val="22"/>
                <w:szCs w:val="22"/>
              </w:rPr>
            </w:pPr>
            <w:r>
              <w:rPr>
                <w:rFonts w:hint="eastAsia" w:ascii="宋体" w:hAnsi="宋体" w:cs="宋体"/>
                <w:b/>
                <w:bCs/>
                <w:kern w:val="0"/>
                <w:sz w:val="22"/>
                <w:szCs w:val="22"/>
              </w:rPr>
              <w:t>合计</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400" w:lineRule="exact"/>
              <w:jc w:val="center"/>
              <w:rPr>
                <w:rFonts w:ascii="宋体" w:hAnsi="宋体" w:cs="宋体"/>
                <w:b/>
                <w:bCs/>
                <w:kern w:val="0"/>
                <w:sz w:val="22"/>
                <w:szCs w:val="22"/>
              </w:rPr>
            </w:pPr>
            <w:r>
              <w:rPr>
                <w:rFonts w:hint="eastAsia" w:ascii="宋体" w:hAnsi="宋体" w:cs="宋体"/>
                <w:b/>
                <w:bCs/>
                <w:kern w:val="0"/>
                <w:sz w:val="22"/>
                <w:szCs w:val="22"/>
              </w:rPr>
              <w:t>30</w:t>
            </w:r>
            <w:r>
              <w:rPr>
                <w:rFonts w:ascii="宋体" w:hAnsi="宋体" w:cs="宋体"/>
                <w:b/>
                <w:bCs/>
                <w:kern w:val="0"/>
                <w:sz w:val="22"/>
                <w:szCs w:val="22"/>
              </w:rPr>
              <w:t>分</w:t>
            </w:r>
          </w:p>
        </w:tc>
      </w:tr>
    </w:tbl>
    <w:p>
      <w:pPr>
        <w:spacing w:line="360" w:lineRule="auto"/>
        <w:ind w:firstLine="440" w:firstLineChars="200"/>
        <w:rPr>
          <w:sz w:val="22"/>
          <w:szCs w:val="22"/>
        </w:rPr>
      </w:pPr>
      <w:r>
        <w:rPr>
          <w:sz w:val="22"/>
          <w:szCs w:val="22"/>
        </w:rPr>
        <w:t>备注：</w:t>
      </w:r>
    </w:p>
    <w:p>
      <w:pPr>
        <w:spacing w:line="360" w:lineRule="auto"/>
        <w:ind w:firstLine="440" w:firstLineChars="200"/>
        <w:rPr>
          <w:sz w:val="22"/>
          <w:szCs w:val="22"/>
        </w:rPr>
      </w:pPr>
      <w:r>
        <w:rPr>
          <w:sz w:val="22"/>
          <w:szCs w:val="22"/>
        </w:rPr>
        <w:t>（1）招标文件要求提交的与评价指标体系相关的各类有效资料，投标人如未按要求提交的，该项评分为零分。</w:t>
      </w:r>
    </w:p>
    <w:p>
      <w:pPr>
        <w:spacing w:line="360" w:lineRule="auto"/>
        <w:ind w:firstLine="440" w:firstLineChars="200"/>
        <w:rPr>
          <w:sz w:val="22"/>
          <w:szCs w:val="22"/>
        </w:rPr>
      </w:pPr>
      <w:r>
        <w:rPr>
          <w:sz w:val="22"/>
          <w:szCs w:val="22"/>
        </w:rPr>
        <w:t>（2）</w:t>
      </w:r>
      <w:r>
        <w:rPr>
          <w:rFonts w:hint="eastAsia"/>
          <w:sz w:val="22"/>
          <w:szCs w:val="22"/>
        </w:rPr>
        <w:t>技术</w:t>
      </w:r>
      <w:r>
        <w:rPr>
          <w:sz w:val="22"/>
          <w:szCs w:val="22"/>
        </w:rPr>
        <w:t>得分为评委</w:t>
      </w:r>
      <w:r>
        <w:rPr>
          <w:rFonts w:ascii="Times New Roman" w:hAnsi="Times New Roman"/>
          <w:sz w:val="22"/>
          <w:szCs w:val="22"/>
        </w:rPr>
        <w:t>评分</w:t>
      </w:r>
      <w:r>
        <w:rPr>
          <w:sz w:val="22"/>
          <w:szCs w:val="22"/>
        </w:rPr>
        <w:t>分值的算术平均值（四舍五入后，小数点后保留两位有效数）。</w:t>
      </w:r>
    </w:p>
    <w:p>
      <w:pPr>
        <w:pStyle w:val="75"/>
        <w:numPr>
          <w:ilvl w:val="0"/>
          <w:numId w:val="52"/>
        </w:numPr>
        <w:tabs>
          <w:tab w:val="left" w:pos="0"/>
          <w:tab w:val="left" w:pos="643"/>
          <w:tab w:val="left" w:pos="907"/>
          <w:tab w:val="left" w:pos="2552"/>
        </w:tabs>
        <w:spacing w:after="0" w:line="360" w:lineRule="auto"/>
        <w:ind w:left="2552" w:hanging="2552"/>
        <w:rPr>
          <w:rFonts w:ascii="宋体" w:hAnsi="宋体"/>
          <w:b/>
          <w:sz w:val="22"/>
          <w:szCs w:val="22"/>
        </w:rPr>
      </w:pPr>
      <w:r>
        <w:rPr>
          <w:rFonts w:ascii="宋体" w:hAnsi="宋体"/>
          <w:b/>
          <w:sz w:val="22"/>
          <w:szCs w:val="22"/>
        </w:rPr>
        <w:t>价格评分标准：（总分：</w:t>
      </w:r>
      <w:r>
        <w:rPr>
          <w:rFonts w:hint="eastAsia" w:ascii="宋体" w:hAnsi="宋体"/>
          <w:b/>
          <w:sz w:val="22"/>
          <w:szCs w:val="22"/>
        </w:rPr>
        <w:t>30</w:t>
      </w:r>
      <w:r>
        <w:rPr>
          <w:rFonts w:ascii="宋体" w:hAnsi="宋体"/>
          <w:b/>
          <w:sz w:val="22"/>
          <w:szCs w:val="22"/>
        </w:rPr>
        <w:t>分）</w:t>
      </w:r>
    </w:p>
    <w:p>
      <w:pPr>
        <w:spacing w:line="360" w:lineRule="auto"/>
        <w:ind w:firstLine="660" w:firstLineChars="300"/>
        <w:rPr>
          <w:rFonts w:ascii="宋体" w:hAnsi="宋体"/>
          <w:bCs/>
          <w:sz w:val="22"/>
          <w:szCs w:val="22"/>
        </w:rPr>
      </w:pPr>
      <w:r>
        <w:rPr>
          <w:rFonts w:hint="eastAsia" w:ascii="宋体" w:hAnsi="宋体"/>
          <w:bCs/>
          <w:sz w:val="22"/>
          <w:szCs w:val="22"/>
        </w:rPr>
        <w:t>综合评分法中的价格分统一采用均价优先法计算，即满足招标文件要求（通过资格性、符合性审查）的有效投标人的评标价等于评标基准价，其价格分为满分。各投标人的价格分统一按照下列公式计算：偏差率 = 100% ×（投标人评标价－评标基准价）/评标基准价。</w:t>
      </w:r>
      <w:r>
        <w:rPr>
          <w:rFonts w:hint="eastAsia" w:ascii="宋体" w:hAnsi="宋体"/>
          <w:bCs/>
          <w:sz w:val="22"/>
          <w:szCs w:val="22"/>
        </w:rPr>
        <w:br w:type="textWrapping"/>
      </w:r>
      <w:r>
        <w:rPr>
          <w:rFonts w:hint="eastAsia" w:ascii="宋体" w:hAnsi="宋体"/>
          <w:bCs/>
          <w:sz w:val="22"/>
          <w:szCs w:val="22"/>
        </w:rPr>
        <w:t xml:space="preserve">     (1)如果投标人的评标价&gt;评标基准价，则评标价得分＝F－偏差率× F × E1；</w:t>
      </w:r>
      <w:r>
        <w:rPr>
          <w:rFonts w:hint="eastAsia" w:ascii="宋体" w:hAnsi="宋体"/>
          <w:bCs/>
          <w:sz w:val="22"/>
          <w:szCs w:val="22"/>
        </w:rPr>
        <w:br w:type="textWrapping"/>
      </w:r>
      <w:r>
        <w:rPr>
          <w:rFonts w:hint="eastAsia" w:ascii="宋体" w:hAnsi="宋体"/>
          <w:bCs/>
          <w:sz w:val="22"/>
          <w:szCs w:val="22"/>
        </w:rPr>
        <w:t xml:space="preserve">     (2)如果投标人的评标价&lt;评标基准价，则评标价得分＝F+偏差率× F × E2。</w:t>
      </w:r>
      <w:r>
        <w:rPr>
          <w:rFonts w:hint="eastAsia" w:ascii="宋体" w:hAnsi="宋体"/>
          <w:bCs/>
          <w:sz w:val="22"/>
          <w:szCs w:val="22"/>
        </w:rPr>
        <w:br w:type="textWrapping"/>
      </w:r>
      <w:r>
        <w:rPr>
          <w:rFonts w:hint="eastAsia" w:ascii="宋体" w:hAnsi="宋体"/>
          <w:bCs/>
          <w:sz w:val="22"/>
          <w:szCs w:val="22"/>
        </w:rPr>
        <w:t xml:space="preserve">     其中：F=30， E1=1.0，E2=0.5</w:t>
      </w:r>
      <w:r>
        <w:rPr>
          <w:rFonts w:hint="eastAsia" w:ascii="宋体" w:hAnsi="宋体"/>
          <w:bCs/>
          <w:sz w:val="22"/>
          <w:szCs w:val="22"/>
        </w:rPr>
        <w:br w:type="textWrapping"/>
      </w:r>
      <w:r>
        <w:rPr>
          <w:rFonts w:hint="eastAsia" w:ascii="宋体" w:hAnsi="宋体"/>
          <w:bCs/>
          <w:sz w:val="22"/>
          <w:szCs w:val="22"/>
        </w:rPr>
        <w:t xml:space="preserve">     评标价：有效投标报价；</w:t>
      </w:r>
      <w:r>
        <w:rPr>
          <w:rFonts w:hint="eastAsia" w:ascii="宋体" w:hAnsi="宋体"/>
          <w:bCs/>
          <w:sz w:val="22"/>
          <w:szCs w:val="22"/>
        </w:rPr>
        <w:br w:type="textWrapping"/>
      </w:r>
      <w:r>
        <w:rPr>
          <w:rFonts w:hint="eastAsia" w:ascii="宋体" w:hAnsi="宋体"/>
          <w:bCs/>
          <w:sz w:val="22"/>
          <w:szCs w:val="22"/>
        </w:rPr>
        <w:t xml:space="preserve">     评标基准价：满足招标文件要求（通过资格性、符合性审查）的所有投标人的评标价</w:t>
      </w:r>
      <w:r>
        <w:rPr>
          <w:rFonts w:ascii="宋体" w:hAnsi="宋体"/>
          <w:bCs/>
          <w:sz w:val="22"/>
          <w:szCs w:val="22"/>
        </w:rPr>
        <w:t>的算术平均值即为评标基准价</w:t>
      </w:r>
      <w:r>
        <w:rPr>
          <w:rFonts w:hint="eastAsia" w:ascii="宋体" w:hAnsi="宋体"/>
          <w:bCs/>
          <w:sz w:val="22"/>
          <w:szCs w:val="22"/>
        </w:rPr>
        <w:t>。</w:t>
      </w:r>
    </w:p>
    <w:p>
      <w:pPr>
        <w:pStyle w:val="113"/>
        <w:numPr>
          <w:ilvl w:val="0"/>
          <w:numId w:val="54"/>
        </w:numPr>
        <w:spacing w:line="360" w:lineRule="auto"/>
        <w:ind w:left="851" w:hanging="845"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价格核准：评标委员会详细分析、核准价格表，检查其是否存在计算上或累加上的算术错误，对于投标文件中不构成实质性偏差的不正规、不一致或不规则，评标委员会可以接受，但</w:t>
      </w:r>
      <w:r>
        <w:rPr>
          <w:rFonts w:hint="eastAsia" w:ascii="Times New Roman" w:hAnsi="Times New Roman"/>
          <w:color w:val="000000" w:themeColor="text1"/>
          <w:sz w:val="22"/>
          <w:szCs w:val="22"/>
          <w14:textFill>
            <w14:solidFill>
              <w14:schemeClr w14:val="tx1"/>
            </w14:solidFill>
          </w14:textFill>
        </w:rPr>
        <w:t>这种</w:t>
      </w:r>
      <w:r>
        <w:rPr>
          <w:rFonts w:hint="eastAsia" w:ascii="宋体" w:hAnsi="宋体" w:cs="宋体"/>
          <w:bCs/>
          <w:color w:val="000000" w:themeColor="text1"/>
          <w:sz w:val="22"/>
          <w:szCs w:val="22"/>
          <w14:textFill>
            <w14:solidFill>
              <w14:schemeClr w14:val="tx1"/>
            </w14:solidFill>
          </w14:textFill>
        </w:rPr>
        <w:t>接受不能损害或影响任何投标人的相对排序。如果投标人不接受修正后的投标价格，则其投标将被拒绝。</w:t>
      </w:r>
    </w:p>
    <w:p>
      <w:pPr>
        <w:pStyle w:val="113"/>
        <w:numPr>
          <w:ilvl w:val="0"/>
          <w:numId w:val="54"/>
        </w:numPr>
        <w:spacing w:line="360" w:lineRule="auto"/>
        <w:ind w:left="851" w:hanging="845" w:firstLineChars="0"/>
        <w:rPr>
          <w:rFonts w:ascii="宋体" w:hAnsi="宋体" w:cs="宋体"/>
          <w:bCs/>
          <w:color w:val="000000" w:themeColor="text1"/>
          <w:sz w:val="22"/>
          <w:szCs w:val="22"/>
          <w14:textFill>
            <w14:solidFill>
              <w14:schemeClr w14:val="tx1"/>
            </w14:solidFill>
          </w14:textFill>
        </w:rPr>
      </w:pPr>
      <w:r>
        <w:rPr>
          <w:rFonts w:hint="eastAsia" w:ascii="宋体" w:hAnsi="宋体" w:cs="宋体"/>
          <w:bCs/>
          <w:color w:val="000000" w:themeColor="text1"/>
          <w:sz w:val="22"/>
          <w:szCs w:val="22"/>
          <w14:textFill>
            <w14:solidFill>
              <w14:schemeClr w14:val="tx1"/>
            </w14:solidFill>
          </w14:textFill>
        </w:rPr>
        <w:t>评标委员会对投标人的投标报价进行评审，评标委员会认为投标人的报价明显低于其他通过资格、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5"/>
        <w:keepNext w:val="0"/>
        <w:tabs>
          <w:tab w:val="left" w:pos="0"/>
        </w:tabs>
        <w:spacing w:after="0" w:line="360" w:lineRule="auto"/>
        <w:rPr>
          <w:rFonts w:eastAsiaTheme="minorEastAsia"/>
          <w:color w:val="000000" w:themeColor="text1"/>
          <w14:textFill>
            <w14:solidFill>
              <w14:schemeClr w14:val="tx1"/>
            </w14:solidFill>
          </w14:textFill>
        </w:rPr>
      </w:pPr>
      <w:bookmarkStart w:id="219" w:name="_Toc441844109"/>
    </w:p>
    <w:p>
      <w:pPr>
        <w:rPr>
          <w:rFonts w:ascii="Times New Roman" w:hAnsi="Times New Roman"/>
          <w:color w:val="000000" w:themeColor="text1"/>
          <w:sz w:val="36"/>
          <w:szCs w:val="36"/>
          <w14:textFill>
            <w14:solidFill>
              <w14:schemeClr w14:val="tx1"/>
            </w14:solidFill>
          </w14:textFill>
        </w:rPr>
      </w:pPr>
    </w:p>
    <w:p>
      <w:pPr>
        <w:pStyle w:val="2"/>
        <w:rPr>
          <w:rFonts w:ascii="Times New Roman" w:hAnsi="Times New Roman"/>
          <w:color w:val="000000" w:themeColor="text1"/>
          <w:sz w:val="36"/>
          <w:szCs w:val="36"/>
          <w14:textFill>
            <w14:solidFill>
              <w14:schemeClr w14:val="tx1"/>
            </w14:solidFill>
          </w14:textFill>
        </w:rPr>
      </w:pPr>
    </w:p>
    <w:p>
      <w:pPr>
        <w:rPr>
          <w:rFonts w:ascii="Times New Roman" w:hAnsi="Times New Roman"/>
          <w:color w:val="000000" w:themeColor="text1"/>
          <w:sz w:val="36"/>
          <w:szCs w:val="36"/>
          <w14:textFill>
            <w14:solidFill>
              <w14:schemeClr w14:val="tx1"/>
            </w14:solidFill>
          </w14:textFill>
        </w:rPr>
      </w:pPr>
    </w:p>
    <w:p>
      <w:pPr>
        <w:pStyle w:val="2"/>
      </w:pPr>
    </w:p>
    <w:p>
      <w:pPr>
        <w:rPr>
          <w:rFonts w:ascii="Times New Roman" w:hAnsi="Times New Roman"/>
          <w:color w:val="000000" w:themeColor="text1"/>
          <w:sz w:val="36"/>
          <w:szCs w:val="36"/>
          <w14:textFill>
            <w14:solidFill>
              <w14:schemeClr w14:val="tx1"/>
            </w14:solidFill>
          </w14:textFill>
        </w:rPr>
      </w:pPr>
    </w:p>
    <w:p>
      <w:pPr>
        <w:pStyle w:val="2"/>
        <w:rPr>
          <w:rFonts w:ascii="Times New Roman" w:hAnsi="Times New Roman"/>
          <w:color w:val="000000" w:themeColor="text1"/>
          <w:sz w:val="36"/>
          <w:szCs w:val="36"/>
          <w14:textFill>
            <w14:solidFill>
              <w14:schemeClr w14:val="tx1"/>
            </w14:solidFill>
          </w14:textFill>
        </w:rPr>
      </w:pPr>
    </w:p>
    <w:p>
      <w:pPr>
        <w:rPr>
          <w:rFonts w:ascii="Times New Roman" w:hAnsi="Times New Roman"/>
          <w:color w:val="000000" w:themeColor="text1"/>
          <w:sz w:val="36"/>
          <w:szCs w:val="36"/>
          <w14:textFill>
            <w14:solidFill>
              <w14:schemeClr w14:val="tx1"/>
            </w14:solidFill>
          </w14:textFill>
        </w:rPr>
      </w:pPr>
    </w:p>
    <w:p>
      <w:pPr>
        <w:pStyle w:val="2"/>
        <w:rPr>
          <w:rFonts w:ascii="Times New Roman" w:hAnsi="Times New Roman"/>
          <w:color w:val="000000" w:themeColor="text1"/>
          <w:sz w:val="36"/>
          <w:szCs w:val="36"/>
          <w14:textFill>
            <w14:solidFill>
              <w14:schemeClr w14:val="tx1"/>
            </w14:solidFill>
          </w14:textFill>
        </w:rPr>
      </w:pPr>
    </w:p>
    <w:p>
      <w:pPr>
        <w:rPr>
          <w:rFonts w:ascii="Times New Roman" w:hAnsi="Times New Roman"/>
          <w:color w:val="000000" w:themeColor="text1"/>
          <w:sz w:val="36"/>
          <w:szCs w:val="36"/>
          <w14:textFill>
            <w14:solidFill>
              <w14:schemeClr w14:val="tx1"/>
            </w14:solidFill>
          </w14:textFill>
        </w:rPr>
      </w:pPr>
    </w:p>
    <w:p>
      <w:pPr>
        <w:pStyle w:val="2"/>
      </w:pPr>
    </w:p>
    <w:p/>
    <w:p>
      <w:pPr>
        <w:widowControl/>
        <w:jc w:val="left"/>
        <w:rPr>
          <w:rFonts w:ascii="Times New Roman" w:hAnsi="Times New Roman"/>
          <w:color w:val="000000" w:themeColor="text1"/>
          <w:sz w:val="36"/>
          <w:szCs w:val="36"/>
          <w14:textFill>
            <w14:solidFill>
              <w14:schemeClr w14:val="tx1"/>
            </w14:solidFill>
          </w14:textFill>
        </w:rPr>
      </w:pPr>
    </w:p>
    <w:p>
      <w:pPr>
        <w:pStyle w:val="3"/>
        <w:jc w:val="center"/>
        <w:rPr>
          <w:color w:val="000000" w:themeColor="text1"/>
          <w14:textFill>
            <w14:solidFill>
              <w14:schemeClr w14:val="tx1"/>
            </w14:solidFill>
          </w14:textFill>
        </w:rPr>
      </w:pPr>
      <w:bookmarkStart w:id="220" w:name="_Toc14384"/>
      <w:bookmarkStart w:id="221" w:name="_Toc93505792"/>
      <w:r>
        <w:rPr>
          <w:rFonts w:ascii="Times New Roman" w:hAnsi="Times New Roman" w:eastAsiaTheme="minorEastAsia"/>
          <w:color w:val="000000" w:themeColor="text1"/>
          <w14:textFill>
            <w14:solidFill>
              <w14:schemeClr w14:val="tx1"/>
            </w14:solidFill>
          </w14:textFill>
        </w:rPr>
        <w:t>第四章 用户需求书</w:t>
      </w:r>
      <w:bookmarkEnd w:id="219"/>
      <w:bookmarkEnd w:id="220"/>
      <w:bookmarkEnd w:id="221"/>
    </w:p>
    <w:p>
      <w:pPr>
        <w:spacing w:line="440" w:lineRule="exact"/>
        <w:ind w:firstLine="442" w:firstLineChars="200"/>
        <w:rPr>
          <w:rFonts w:ascii="宋体" w:hAnsi="宋体" w:cs="宋体"/>
          <w:b/>
          <w:color w:val="000000" w:themeColor="text1"/>
          <w:sz w:val="22"/>
          <w14:textFill>
            <w14:solidFill>
              <w14:schemeClr w14:val="tx1"/>
            </w14:solidFill>
          </w14:textFill>
        </w:rPr>
      </w:pPr>
      <w:bookmarkStart w:id="222" w:name="_Toc441844110"/>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spacing w:line="440" w:lineRule="exact"/>
        <w:ind w:firstLine="442" w:firstLineChars="200"/>
        <w:rPr>
          <w:rFonts w:ascii="宋体" w:hAnsi="宋体" w:cs="宋体"/>
          <w:b/>
          <w:color w:val="000000" w:themeColor="text1"/>
          <w:sz w:val="22"/>
          <w14:textFill>
            <w14:solidFill>
              <w14:schemeClr w14:val="tx1"/>
            </w14:solidFill>
          </w14:textFill>
        </w:rPr>
      </w:pPr>
    </w:p>
    <w:p>
      <w:pPr>
        <w:pStyle w:val="2"/>
        <w:rPr>
          <w:rFonts w:ascii="宋体" w:hAnsi="宋体" w:cs="宋体"/>
          <w:color w:val="000000" w:themeColor="text1"/>
          <w:sz w:val="22"/>
          <w14:textFill>
            <w14:solidFill>
              <w14:schemeClr w14:val="tx1"/>
            </w14:solidFill>
          </w14:textFill>
        </w:rPr>
      </w:pPr>
    </w:p>
    <w:p>
      <w:pPr>
        <w:rPr>
          <w:rFonts w:ascii="宋体" w:hAnsi="宋体" w:cs="宋体"/>
          <w:b/>
          <w:color w:val="000000" w:themeColor="text1"/>
          <w:sz w:val="22"/>
          <w14:textFill>
            <w14:solidFill>
              <w14:schemeClr w14:val="tx1"/>
            </w14:solidFill>
          </w14:textFill>
        </w:rPr>
      </w:pPr>
    </w:p>
    <w:p>
      <w:pPr>
        <w:pStyle w:val="2"/>
        <w:rPr>
          <w:rFonts w:ascii="宋体" w:hAnsi="宋体" w:cs="宋体"/>
          <w:color w:val="000000" w:themeColor="text1"/>
          <w:sz w:val="22"/>
          <w14:textFill>
            <w14:solidFill>
              <w14:schemeClr w14:val="tx1"/>
            </w14:solidFill>
          </w14:textFill>
        </w:rPr>
      </w:pPr>
    </w:p>
    <w:p>
      <w:pPr>
        <w:rPr>
          <w:rFonts w:ascii="宋体" w:hAnsi="宋体" w:cs="宋体"/>
          <w:b/>
          <w:color w:val="000000" w:themeColor="text1"/>
          <w:sz w:val="22"/>
          <w14:textFill>
            <w14:solidFill>
              <w14:schemeClr w14:val="tx1"/>
            </w14:solidFill>
          </w14:textFill>
        </w:rPr>
      </w:pPr>
    </w:p>
    <w:p>
      <w:pPr>
        <w:pStyle w:val="2"/>
        <w:rPr>
          <w:rFonts w:ascii="宋体" w:hAnsi="宋体" w:cs="宋体"/>
          <w:color w:val="000000" w:themeColor="text1"/>
          <w:sz w:val="22"/>
          <w14:textFill>
            <w14:solidFill>
              <w14:schemeClr w14:val="tx1"/>
            </w14:solidFill>
          </w14:textFill>
        </w:rPr>
      </w:pPr>
    </w:p>
    <w:p>
      <w:pPr>
        <w:spacing w:line="440" w:lineRule="exact"/>
        <w:ind w:firstLine="442" w:firstLineChars="200"/>
        <w:rPr>
          <w:rFonts w:ascii="宋体" w:hAnsi="宋体" w:cs="宋体"/>
          <w:b/>
          <w:sz w:val="22"/>
        </w:rPr>
      </w:pPr>
      <w:r>
        <w:rPr>
          <w:rFonts w:hint="eastAsia" w:ascii="宋体" w:hAnsi="宋体" w:cs="宋体"/>
          <w:b/>
          <w:sz w:val="22"/>
        </w:rPr>
        <w:t>一、项目背景</w:t>
      </w:r>
    </w:p>
    <w:p>
      <w:pPr>
        <w:pStyle w:val="47"/>
        <w:shd w:val="clear" w:color="auto" w:fill="FFFFFF"/>
        <w:ind w:firstLine="550" w:firstLineChars="250"/>
        <w:rPr>
          <w:rFonts w:cs="宋体"/>
          <w:kern w:val="2"/>
          <w:sz w:val="22"/>
          <w:szCs w:val="24"/>
          <w:shd w:val="clear" w:color="auto" w:fill="FFFFFF"/>
        </w:rPr>
      </w:pPr>
      <w:r>
        <w:rPr>
          <w:rFonts w:hint="eastAsia" w:cs="宋体"/>
          <w:kern w:val="2"/>
          <w:sz w:val="22"/>
          <w:szCs w:val="24"/>
          <w:shd w:val="clear" w:color="auto" w:fill="FFFFFF"/>
        </w:rPr>
        <w:t>东莞市数据互联有限公司现在持有经广东省通信管理局审批的互联网数据中心业务、互联网接入服务业务经营许可证（粤</w:t>
      </w:r>
      <w:r>
        <w:rPr>
          <w:rFonts w:cs="宋体"/>
          <w:kern w:val="2"/>
          <w:sz w:val="22"/>
          <w:szCs w:val="24"/>
          <w:shd w:val="clear" w:color="auto" w:fill="FFFFFF"/>
        </w:rPr>
        <w:t>B1-20191488</w:t>
      </w:r>
      <w:r>
        <w:rPr>
          <w:rFonts w:hint="eastAsia" w:cs="宋体"/>
          <w:kern w:val="2"/>
          <w:sz w:val="22"/>
          <w:szCs w:val="24"/>
          <w:shd w:val="clear" w:color="auto" w:fill="FFFFFF"/>
        </w:rPr>
        <w:t>），依据工业和信息化部《通信网络安全防护管理办法》的要求，各增值电信企业要按照《管理办法》有关要求，对本单位各类信息系统进行网络单元划分和定级备案，并开展符合性评测和安全风险评估。因此，我司计划近期委托具备中国通信企业协会颁发的“通信网络安全服务能力评定证书”的第三方机构开展数据互联</w:t>
      </w:r>
      <w:r>
        <w:rPr>
          <w:rFonts w:cs="宋体"/>
          <w:kern w:val="2"/>
          <w:sz w:val="22"/>
          <w:szCs w:val="24"/>
          <w:shd w:val="clear" w:color="auto" w:fill="FFFFFF"/>
        </w:rPr>
        <w:t>定级备案及</w:t>
      </w:r>
      <w:r>
        <w:rPr>
          <w:rFonts w:hint="eastAsia" w:cs="宋体"/>
          <w:kern w:val="2"/>
          <w:sz w:val="22"/>
          <w:szCs w:val="24"/>
          <w:shd w:val="clear" w:color="auto" w:fill="FFFFFF"/>
        </w:rPr>
        <w:t>网络安全符合性评测和安全风险评估服务（3级测评）。</w:t>
      </w:r>
    </w:p>
    <w:p>
      <w:pPr>
        <w:pStyle w:val="47"/>
        <w:shd w:val="clear" w:color="auto" w:fill="FFFFFF"/>
        <w:ind w:firstLine="552" w:firstLineChars="250"/>
        <w:rPr>
          <w:rFonts w:cs="宋体"/>
          <w:b/>
          <w:bCs/>
          <w:sz w:val="22"/>
        </w:rPr>
      </w:pPr>
      <w:r>
        <w:rPr>
          <w:rFonts w:hint="eastAsia" w:cs="宋体"/>
          <w:b/>
          <w:bCs/>
          <w:sz w:val="22"/>
        </w:rPr>
        <w:t>二、测评目标</w:t>
      </w:r>
    </w:p>
    <w:p>
      <w:pPr>
        <w:pStyle w:val="47"/>
        <w:shd w:val="clear" w:color="auto" w:fill="FFFFFF"/>
        <w:ind w:firstLine="550" w:firstLineChars="250"/>
        <w:rPr>
          <w:rFonts w:cs="宋体"/>
          <w:kern w:val="2"/>
          <w:sz w:val="22"/>
          <w:szCs w:val="24"/>
          <w:shd w:val="clear" w:color="auto" w:fill="FFFFFF"/>
        </w:rPr>
      </w:pPr>
      <w:r>
        <w:rPr>
          <w:rFonts w:hint="eastAsia" w:cs="宋体"/>
          <w:sz w:val="22"/>
          <w:shd w:val="clear" w:color="auto" w:fill="FFFFFF"/>
        </w:rPr>
        <w:t>根据 YD/T1729-2008 《电信网和互联网安全等级保护实施指南》以及 YD/T 3799-2020 《电信网和互联网网络安全防护定级备案实施指南》，对东莞市数据互联有限公司的互联网数据中心系统、互联网接入服务系统，按中华人民共和国通信行业标准的要求完成测评达到对应的级别要求，按照整改意见进行有效整改后，系统均能通过测评验收，并最终均拿到《（定级备案报告）、（符合性测评报告）、（安全风险测评报）》。</w:t>
      </w:r>
    </w:p>
    <w:p>
      <w:pPr>
        <w:spacing w:line="440" w:lineRule="exact"/>
        <w:ind w:firstLine="442" w:firstLineChars="200"/>
        <w:rPr>
          <w:rFonts w:ascii="宋体" w:hAnsi="宋体" w:cs="宋体"/>
          <w:sz w:val="22"/>
          <w:shd w:val="clear" w:color="auto" w:fill="FFFFFF"/>
        </w:rPr>
      </w:pPr>
      <w:r>
        <w:rPr>
          <w:rFonts w:hint="eastAsia" w:ascii="宋体" w:hAnsi="宋体" w:cs="宋体"/>
          <w:b/>
          <w:bCs/>
          <w:sz w:val="22"/>
        </w:rPr>
        <w:t>三、依据及参考规范</w:t>
      </w:r>
    </w:p>
    <w:p>
      <w:pPr>
        <w:pStyle w:val="113"/>
        <w:numPr>
          <w:ilvl w:val="0"/>
          <w:numId w:val="55"/>
        </w:numPr>
        <w:tabs>
          <w:tab w:val="left" w:pos="1059"/>
          <w:tab w:val="left" w:pos="1060"/>
        </w:tabs>
        <w:autoSpaceDE w:val="0"/>
        <w:autoSpaceDN w:val="0"/>
        <w:spacing w:before="261"/>
        <w:ind w:firstLineChars="0"/>
        <w:rPr>
          <w:rFonts w:ascii="宋体" w:hAnsi="宋体" w:cs="宋体"/>
          <w:sz w:val="24"/>
        </w:rPr>
      </w:pPr>
      <w:r>
        <w:rPr>
          <w:rFonts w:hint="eastAsia" w:ascii="宋体" w:hAnsi="宋体" w:cs="宋体"/>
          <w:sz w:val="24"/>
        </w:rPr>
        <w:t>《中华人民共和国网络安全法》</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《中华人民共和国电信条例》</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《通信网络安全防护管理办法》（</w:t>
      </w:r>
      <w:r>
        <w:rPr>
          <w:rFonts w:hint="eastAsia" w:ascii="宋体" w:hAnsi="宋体" w:cs="宋体"/>
          <w:spacing w:val="-12"/>
          <w:sz w:val="24"/>
        </w:rPr>
        <w:t xml:space="preserve">工信部第 </w:t>
      </w:r>
      <w:r>
        <w:rPr>
          <w:rFonts w:hint="eastAsia" w:ascii="宋体" w:hAnsi="宋体" w:cs="宋体"/>
          <w:sz w:val="24"/>
        </w:rPr>
        <w:t>11 号令）</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《互联网新技术新业务安全评估指南》</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《电信网和互联网网络安全防护系列技术标准》</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《信息安全技术信息系统安全保障评估框架》</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《信息安全技术信息安全风险评估规范》</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《信息安全技术信息安全测评规范》</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《移动互联网联网应用安全防护要求》</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《移动互联网联网应用安全防护检测要求》</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《电信网和互联网安全防护管理指南（YD/T1728-2008）》</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《电信网和互联网信息服务业务系统安全防护要求（YD/T2243-2016）》</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《电信网和互联网信息服务业务系统安全防护检测要求（YD/T2244-2011）》</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《电信网和互联网管理安全等级保护要求（YD/T1756-2008）》</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《电信网和互联网管理安全等级保护检测要求（YD/T1757-2008）》</w:t>
      </w:r>
    </w:p>
    <w:p>
      <w:pPr>
        <w:pStyle w:val="113"/>
        <w:numPr>
          <w:ilvl w:val="0"/>
          <w:numId w:val="55"/>
        </w:numPr>
        <w:tabs>
          <w:tab w:val="left" w:pos="1059"/>
          <w:tab w:val="left" w:pos="1060"/>
          <w:tab w:val="left" w:pos="5619"/>
        </w:tabs>
        <w:autoSpaceDE w:val="0"/>
        <w:autoSpaceDN w:val="0"/>
        <w:ind w:firstLineChars="0"/>
        <w:jc w:val="left"/>
        <w:rPr>
          <w:rFonts w:ascii="宋体" w:hAnsi="宋体" w:cs="宋体"/>
          <w:sz w:val="24"/>
        </w:rPr>
      </w:pPr>
      <w:r>
        <w:rPr>
          <w:rFonts w:hint="eastAsia" w:ascii="宋体" w:hAnsi="宋体" w:cs="宋体"/>
          <w:sz w:val="24"/>
        </w:rPr>
        <w:t>《电信网和互联网安全防护基线配置要求</w:t>
      </w:r>
      <w:r>
        <w:rPr>
          <w:rFonts w:hint="eastAsia" w:ascii="宋体" w:hAnsi="宋体" w:cs="宋体"/>
          <w:sz w:val="24"/>
        </w:rPr>
        <w:tab/>
      </w:r>
      <w:r>
        <w:rPr>
          <w:rFonts w:hint="eastAsia" w:ascii="宋体" w:hAnsi="宋体" w:cs="宋体"/>
          <w:sz w:val="24"/>
        </w:rPr>
        <w:t>网络设备（YD/T2698-2014）》</w:t>
      </w:r>
    </w:p>
    <w:p>
      <w:pPr>
        <w:pStyle w:val="113"/>
        <w:numPr>
          <w:ilvl w:val="0"/>
          <w:numId w:val="55"/>
        </w:numPr>
        <w:tabs>
          <w:tab w:val="left" w:pos="1059"/>
          <w:tab w:val="left" w:pos="1060"/>
          <w:tab w:val="left" w:pos="5619"/>
        </w:tabs>
        <w:autoSpaceDE w:val="0"/>
        <w:autoSpaceDN w:val="0"/>
        <w:ind w:firstLineChars="0"/>
        <w:jc w:val="left"/>
        <w:rPr>
          <w:rFonts w:ascii="宋体" w:hAnsi="宋体" w:cs="宋体"/>
          <w:sz w:val="24"/>
        </w:rPr>
      </w:pPr>
      <w:r>
        <w:rPr>
          <w:rFonts w:hint="eastAsia" w:ascii="宋体" w:hAnsi="宋体" w:cs="宋体"/>
          <w:sz w:val="24"/>
        </w:rPr>
        <w:t>《电信网和互联网安全防护基线配置要求</w:t>
      </w:r>
      <w:r>
        <w:rPr>
          <w:rFonts w:hint="eastAsia" w:ascii="宋体" w:hAnsi="宋体" w:cs="宋体"/>
          <w:sz w:val="24"/>
        </w:rPr>
        <w:tab/>
      </w:r>
      <w:r>
        <w:rPr>
          <w:rFonts w:hint="eastAsia" w:ascii="宋体" w:hAnsi="宋体" w:cs="宋体"/>
          <w:sz w:val="24"/>
        </w:rPr>
        <w:t>安全设备（YD/T2699-2014）》</w:t>
      </w:r>
    </w:p>
    <w:p>
      <w:pPr>
        <w:pStyle w:val="113"/>
        <w:numPr>
          <w:ilvl w:val="0"/>
          <w:numId w:val="55"/>
        </w:numPr>
        <w:tabs>
          <w:tab w:val="left" w:pos="1059"/>
          <w:tab w:val="left" w:pos="1060"/>
          <w:tab w:val="left" w:pos="5619"/>
        </w:tabs>
        <w:autoSpaceDE w:val="0"/>
        <w:autoSpaceDN w:val="0"/>
        <w:ind w:firstLineChars="0"/>
        <w:jc w:val="left"/>
        <w:rPr>
          <w:rFonts w:ascii="宋体" w:hAnsi="宋体" w:cs="宋体"/>
          <w:sz w:val="24"/>
        </w:rPr>
      </w:pPr>
      <w:r>
        <w:rPr>
          <w:rFonts w:hint="eastAsia" w:ascii="宋体" w:hAnsi="宋体" w:cs="宋体"/>
          <w:sz w:val="24"/>
        </w:rPr>
        <w:t>《电信网和互联网安全防护基线配置要求</w:t>
      </w:r>
      <w:r>
        <w:rPr>
          <w:rFonts w:hint="eastAsia" w:ascii="宋体" w:hAnsi="宋体" w:cs="宋体"/>
          <w:sz w:val="24"/>
        </w:rPr>
        <w:tab/>
      </w:r>
      <w:r>
        <w:rPr>
          <w:rFonts w:hint="eastAsia" w:ascii="宋体" w:hAnsi="宋体" w:cs="宋体"/>
          <w:sz w:val="24"/>
        </w:rPr>
        <w:t>数据库（YD/T2700-2014）》</w:t>
      </w:r>
    </w:p>
    <w:p>
      <w:pPr>
        <w:pStyle w:val="113"/>
        <w:numPr>
          <w:ilvl w:val="0"/>
          <w:numId w:val="55"/>
        </w:numPr>
        <w:tabs>
          <w:tab w:val="left" w:pos="1059"/>
          <w:tab w:val="left" w:pos="1060"/>
          <w:tab w:val="left" w:pos="5619"/>
        </w:tabs>
        <w:autoSpaceDE w:val="0"/>
        <w:autoSpaceDN w:val="0"/>
        <w:ind w:firstLineChars="0"/>
        <w:jc w:val="left"/>
        <w:rPr>
          <w:rFonts w:ascii="宋体" w:hAnsi="宋体" w:cs="宋体"/>
          <w:sz w:val="24"/>
        </w:rPr>
      </w:pPr>
      <w:r>
        <w:rPr>
          <w:rFonts w:hint="eastAsia" w:ascii="宋体" w:hAnsi="宋体" w:cs="宋体"/>
          <w:sz w:val="24"/>
        </w:rPr>
        <w:t>《电信网和互联网安全防护基线配置要求</w:t>
      </w:r>
      <w:r>
        <w:rPr>
          <w:rFonts w:hint="eastAsia" w:ascii="宋体" w:hAnsi="宋体" w:cs="宋体"/>
          <w:sz w:val="24"/>
        </w:rPr>
        <w:tab/>
      </w:r>
      <w:r>
        <w:rPr>
          <w:rFonts w:hint="eastAsia" w:ascii="宋体" w:hAnsi="宋体" w:cs="宋体"/>
          <w:sz w:val="24"/>
        </w:rPr>
        <w:t>操作系统（YD/T2701-2014）》</w:t>
      </w:r>
    </w:p>
    <w:p>
      <w:pPr>
        <w:pStyle w:val="113"/>
        <w:numPr>
          <w:ilvl w:val="0"/>
          <w:numId w:val="55"/>
        </w:numPr>
        <w:tabs>
          <w:tab w:val="left" w:pos="1059"/>
          <w:tab w:val="left" w:pos="1060"/>
          <w:tab w:val="left" w:pos="5619"/>
        </w:tabs>
        <w:autoSpaceDE w:val="0"/>
        <w:autoSpaceDN w:val="0"/>
        <w:ind w:firstLineChars="0"/>
        <w:jc w:val="left"/>
        <w:rPr>
          <w:rFonts w:ascii="宋体" w:hAnsi="宋体" w:cs="宋体"/>
          <w:sz w:val="24"/>
        </w:rPr>
      </w:pPr>
      <w:r>
        <w:rPr>
          <w:rFonts w:hint="eastAsia" w:ascii="宋体" w:hAnsi="宋体" w:cs="宋体"/>
          <w:sz w:val="24"/>
        </w:rPr>
        <w:t>《电信网和互联网安全防护基线配置要求</w:t>
      </w:r>
      <w:r>
        <w:rPr>
          <w:rFonts w:hint="eastAsia" w:ascii="宋体" w:hAnsi="宋体" w:cs="宋体"/>
          <w:sz w:val="24"/>
        </w:rPr>
        <w:tab/>
      </w:r>
      <w:r>
        <w:rPr>
          <w:rFonts w:hint="eastAsia" w:ascii="宋体" w:hAnsi="宋体" w:cs="宋体"/>
          <w:sz w:val="24"/>
        </w:rPr>
        <w:t>中间件（YD/T2702-2014）》</w:t>
      </w:r>
    </w:p>
    <w:p>
      <w:pPr>
        <w:pStyle w:val="113"/>
        <w:numPr>
          <w:ilvl w:val="0"/>
          <w:numId w:val="55"/>
        </w:numPr>
        <w:tabs>
          <w:tab w:val="left" w:pos="1059"/>
          <w:tab w:val="left" w:pos="1060"/>
          <w:tab w:val="left" w:pos="5619"/>
        </w:tabs>
        <w:autoSpaceDE w:val="0"/>
        <w:autoSpaceDN w:val="0"/>
        <w:ind w:firstLineChars="0"/>
        <w:jc w:val="left"/>
        <w:rPr>
          <w:rFonts w:ascii="宋体" w:hAnsi="宋体" w:cs="宋体"/>
          <w:sz w:val="24"/>
        </w:rPr>
      </w:pPr>
      <w:r>
        <w:rPr>
          <w:rFonts w:hint="eastAsia" w:ascii="宋体" w:hAnsi="宋体" w:cs="宋体"/>
          <w:sz w:val="24"/>
        </w:rPr>
        <w:t>《电信网和互联网安全防护基线配置要求</w:t>
      </w:r>
      <w:r>
        <w:rPr>
          <w:rFonts w:hint="eastAsia" w:ascii="宋体" w:hAnsi="宋体" w:cs="宋体"/>
          <w:sz w:val="24"/>
        </w:rPr>
        <w:tab/>
      </w:r>
      <w:r>
        <w:rPr>
          <w:rFonts w:hint="eastAsia" w:ascii="宋体" w:hAnsi="宋体" w:cs="宋体"/>
          <w:sz w:val="24"/>
        </w:rPr>
        <w:t>WEB应用系统（YD/T2703-2014）》</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pacing w:val="-1"/>
          <w:sz w:val="24"/>
        </w:rPr>
        <w:t xml:space="preserve">《电信网和互联网网络安全防护定级备案实施指南 </w:t>
      </w:r>
      <w:r>
        <w:rPr>
          <w:rFonts w:hint="eastAsia" w:ascii="宋体" w:hAnsi="宋体" w:cs="宋体"/>
          <w:sz w:val="24"/>
        </w:rPr>
        <w:t>（YD/T3799-2020）》</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pacing w:val="-1"/>
          <w:sz w:val="24"/>
        </w:rPr>
        <w:t xml:space="preserve">《电信网和互联网数据安全风险评估实施方法 </w:t>
      </w:r>
      <w:r>
        <w:rPr>
          <w:rFonts w:hint="eastAsia" w:ascii="宋体" w:hAnsi="宋体" w:cs="宋体"/>
          <w:sz w:val="24"/>
        </w:rPr>
        <w:t>（YD/T3801-2020）</w:t>
      </w:r>
    </w:p>
    <w:p>
      <w:pPr>
        <w:pStyle w:val="113"/>
        <w:numPr>
          <w:ilvl w:val="0"/>
          <w:numId w:val="55"/>
        </w:numPr>
        <w:tabs>
          <w:tab w:val="left" w:pos="1059"/>
          <w:tab w:val="left" w:pos="1060"/>
        </w:tabs>
        <w:autoSpaceDE w:val="0"/>
        <w:autoSpaceDN w:val="0"/>
        <w:ind w:firstLineChars="0"/>
        <w:jc w:val="left"/>
        <w:rPr>
          <w:rFonts w:ascii="宋体" w:hAnsi="宋体" w:cs="宋体"/>
          <w:sz w:val="24"/>
        </w:rPr>
      </w:pPr>
      <w:r>
        <w:rPr>
          <w:rFonts w:hint="eastAsia" w:ascii="宋体" w:hAnsi="宋体" w:cs="宋体"/>
          <w:sz w:val="24"/>
        </w:rPr>
        <w:t>GB/T24363-2009  《信息安全应急响应计划规范》</w:t>
      </w:r>
    </w:p>
    <w:p>
      <w:pPr>
        <w:pStyle w:val="113"/>
        <w:numPr>
          <w:ilvl w:val="0"/>
          <w:numId w:val="55"/>
        </w:numPr>
        <w:tabs>
          <w:tab w:val="left" w:pos="1059"/>
          <w:tab w:val="left" w:pos="1060"/>
        </w:tabs>
        <w:autoSpaceDE w:val="0"/>
        <w:autoSpaceDN w:val="0"/>
        <w:ind w:firstLineChars="0"/>
        <w:jc w:val="left"/>
        <w:rPr>
          <w:rFonts w:ascii="宋体" w:hAnsi="宋体" w:cs="宋体"/>
          <w:sz w:val="24"/>
        </w:rPr>
        <w:sectPr>
          <w:pgSz w:w="11850" w:h="16790"/>
          <w:pgMar w:top="1120" w:right="860" w:bottom="1040" w:left="860" w:header="478" w:footer="844" w:gutter="0"/>
          <w:cols w:space="720" w:num="1"/>
        </w:sectPr>
      </w:pPr>
      <w:r>
        <w:rPr>
          <w:rFonts w:hint="eastAsia" w:ascii="宋体" w:hAnsi="宋体" w:cs="宋体"/>
          <w:sz w:val="24"/>
        </w:rPr>
        <w:t>GB∕T 38645-2020《网络安全事件应急演练指南》</w:t>
      </w:r>
    </w:p>
    <w:p>
      <w:pPr>
        <w:snapToGrid w:val="0"/>
        <w:spacing w:line="440" w:lineRule="exact"/>
        <w:rPr>
          <w:rFonts w:ascii="宋体" w:hAnsi="宋体" w:cs="宋体"/>
          <w:b/>
          <w:sz w:val="22"/>
        </w:rPr>
      </w:pPr>
      <w:r>
        <w:rPr>
          <w:rFonts w:hint="eastAsia" w:ascii="宋体" w:hAnsi="宋体" w:cs="宋体"/>
          <w:b/>
          <w:sz w:val="22"/>
        </w:rPr>
        <w:t>四、测评技术要求：</w:t>
      </w:r>
    </w:p>
    <w:p>
      <w:pPr>
        <w:pStyle w:val="2"/>
      </w:pPr>
      <w:r>
        <w:rPr>
          <w:rFonts w:hint="eastAsia"/>
        </w:rPr>
        <w:t>通信网络安全防护符合性评测表－互联网数据中心</w:t>
      </w:r>
    </w:p>
    <w:p>
      <w:pPr>
        <w:snapToGrid w:val="0"/>
        <w:spacing w:line="440" w:lineRule="exact"/>
        <w:ind w:firstLine="440" w:firstLineChars="200"/>
        <w:rPr>
          <w:rFonts w:ascii="宋体" w:hAnsi="宋体" w:cs="宋体"/>
          <w:sz w:val="22"/>
        </w:rPr>
      </w:pPr>
      <w:r>
        <w:rPr>
          <w:rFonts w:hint="eastAsia" w:ascii="宋体" w:hAnsi="宋体" w:cs="宋体"/>
          <w:sz w:val="22"/>
        </w:rPr>
        <w:t>具体测评指标描述如下表所示：</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85" w:type="dxa"/>
          <w:bottom w:w="57" w:type="dxa"/>
          <w:right w:w="85" w:type="dxa"/>
        </w:tblCellMar>
      </w:tblPr>
      <w:tblGrid>
        <w:gridCol w:w="381"/>
        <w:gridCol w:w="1831"/>
        <w:gridCol w:w="6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blHeader/>
          <w:jc w:val="center"/>
        </w:trPr>
        <w:tc>
          <w:tcPr>
            <w:tcW w:w="225" w:type="pct"/>
            <w:vAlign w:val="center"/>
          </w:tcPr>
          <w:p>
            <w:pPr>
              <w:keepNext/>
              <w:spacing w:line="360" w:lineRule="auto"/>
              <w:jc w:val="center"/>
              <w:rPr>
                <w:rFonts w:ascii="宋体" w:hAnsi="宋体" w:cs="宋体"/>
                <w:b/>
                <w:szCs w:val="21"/>
              </w:rPr>
            </w:pPr>
            <w:r>
              <w:rPr>
                <w:rFonts w:hint="eastAsia" w:ascii="宋体" w:hAnsi="宋体" w:cs="宋体"/>
                <w:b/>
                <w:szCs w:val="21"/>
              </w:rPr>
              <w:t>序号</w:t>
            </w:r>
          </w:p>
        </w:tc>
        <w:tc>
          <w:tcPr>
            <w:tcW w:w="1080" w:type="pct"/>
            <w:vAlign w:val="center"/>
          </w:tcPr>
          <w:p>
            <w:pPr>
              <w:keepNext/>
              <w:spacing w:line="360" w:lineRule="auto"/>
              <w:jc w:val="center"/>
              <w:rPr>
                <w:rFonts w:ascii="宋体" w:hAnsi="宋体" w:cs="宋体"/>
                <w:b/>
                <w:szCs w:val="21"/>
              </w:rPr>
            </w:pPr>
            <w:r>
              <w:rPr>
                <w:rFonts w:hint="eastAsia" w:ascii="宋体" w:hAnsi="宋体" w:cs="宋体"/>
                <w:b/>
                <w:szCs w:val="21"/>
              </w:rPr>
              <w:t>检查类型</w:t>
            </w:r>
          </w:p>
        </w:tc>
        <w:tc>
          <w:tcPr>
            <w:tcW w:w="3695" w:type="pct"/>
            <w:vAlign w:val="center"/>
          </w:tcPr>
          <w:p>
            <w:pPr>
              <w:keepNext/>
              <w:spacing w:line="360" w:lineRule="auto"/>
              <w:jc w:val="center"/>
              <w:rPr>
                <w:rFonts w:ascii="宋体" w:hAnsi="宋体" w:cs="宋体"/>
                <w:b/>
                <w:szCs w:val="21"/>
              </w:rPr>
            </w:pPr>
            <w:r>
              <w:rPr>
                <w:rFonts w:hint="eastAsia" w:ascii="宋体" w:hAnsi="宋体" w:cs="宋体"/>
                <w:b/>
                <w:szCs w:val="21"/>
              </w:rPr>
              <w:t>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1</w:t>
            </w:r>
          </w:p>
        </w:tc>
        <w:tc>
          <w:tcPr>
            <w:tcW w:w="1080" w:type="pct"/>
            <w:vAlign w:val="center"/>
          </w:tcPr>
          <w:p>
            <w:pPr>
              <w:rPr>
                <w:rFonts w:ascii="宋体" w:hAnsi="宋体" w:cs="宋体"/>
                <w:szCs w:val="21"/>
              </w:rPr>
            </w:pPr>
            <w:r>
              <w:rPr>
                <w:rFonts w:hint="eastAsia" w:ascii="宋体" w:hAnsi="宋体" w:cs="宋体"/>
                <w:szCs w:val="21"/>
              </w:rPr>
              <w:t>互联网数据中心业务安全</w:t>
            </w:r>
          </w:p>
        </w:tc>
        <w:tc>
          <w:tcPr>
            <w:tcW w:w="3695" w:type="pct"/>
            <w:vAlign w:val="center"/>
          </w:tcPr>
          <w:p>
            <w:pPr>
              <w:rPr>
                <w:rFonts w:ascii="宋体" w:hAnsi="宋体" w:cs="宋体"/>
                <w:szCs w:val="21"/>
              </w:rPr>
            </w:pPr>
            <w:r>
              <w:rPr>
                <w:rFonts w:hint="eastAsia" w:ascii="宋体" w:hAnsi="宋体" w:cs="宋体"/>
                <w:szCs w:val="21"/>
              </w:rPr>
              <w:t>应按照合同保证互联网数据中心用户业务的安全；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2</w:t>
            </w:r>
          </w:p>
        </w:tc>
        <w:tc>
          <w:tcPr>
            <w:tcW w:w="1080" w:type="pct"/>
            <w:vAlign w:val="center"/>
          </w:tcPr>
          <w:p>
            <w:pPr>
              <w:rPr>
                <w:rFonts w:ascii="宋体" w:hAnsi="宋体" w:cs="宋体"/>
                <w:szCs w:val="21"/>
              </w:rPr>
            </w:pPr>
            <w:r>
              <w:rPr>
                <w:rFonts w:hint="eastAsia" w:ascii="宋体" w:hAnsi="宋体" w:cs="宋体"/>
                <w:szCs w:val="21"/>
              </w:rPr>
              <w:t>互联网数据中心--结构安全</w:t>
            </w:r>
          </w:p>
        </w:tc>
        <w:tc>
          <w:tcPr>
            <w:tcW w:w="3695" w:type="pct"/>
            <w:vAlign w:val="center"/>
          </w:tcPr>
          <w:p>
            <w:pPr>
              <w:rPr>
                <w:rFonts w:ascii="宋体" w:hAnsi="宋体" w:cs="宋体"/>
                <w:szCs w:val="21"/>
              </w:rPr>
            </w:pPr>
            <w:r>
              <w:rPr>
                <w:rFonts w:hint="eastAsia" w:ascii="宋体" w:hAnsi="宋体" w:cs="宋体"/>
                <w:szCs w:val="21"/>
              </w:rPr>
              <w:t>互联网数据中心在生产运行、操作维护、系统管理等方面，应采用网络设备如交换机、路由器、防火墙等对其内部网络进行安全域划分，划分方式包括但不限于VLAN划分、IP网段划分、可信任域划分等；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3</w:t>
            </w:r>
          </w:p>
        </w:tc>
        <w:tc>
          <w:tcPr>
            <w:tcW w:w="1080" w:type="pct"/>
            <w:vAlign w:val="center"/>
          </w:tcPr>
          <w:p>
            <w:pPr>
              <w:rPr>
                <w:rFonts w:ascii="宋体" w:hAnsi="宋体" w:cs="宋体"/>
                <w:szCs w:val="21"/>
              </w:rPr>
            </w:pPr>
            <w:r>
              <w:rPr>
                <w:rFonts w:hint="eastAsia" w:ascii="宋体" w:hAnsi="宋体" w:cs="宋体"/>
                <w:szCs w:val="21"/>
              </w:rPr>
              <w:t>互联网数据中心--网络管理</w:t>
            </w:r>
          </w:p>
        </w:tc>
        <w:tc>
          <w:tcPr>
            <w:tcW w:w="3695" w:type="pct"/>
            <w:vAlign w:val="center"/>
          </w:tcPr>
          <w:p>
            <w:pPr>
              <w:rPr>
                <w:rFonts w:ascii="宋体" w:hAnsi="宋体" w:cs="宋体"/>
                <w:szCs w:val="21"/>
              </w:rPr>
            </w:pPr>
            <w:r>
              <w:rPr>
                <w:rFonts w:hint="eastAsia" w:ascii="宋体" w:hAnsi="宋体" w:cs="宋体"/>
                <w:szCs w:val="21"/>
              </w:rPr>
              <w:t>应对互联网数据中心业务及客户源地址进行梳理和备案；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4</w:t>
            </w:r>
          </w:p>
        </w:tc>
        <w:tc>
          <w:tcPr>
            <w:tcW w:w="1080" w:type="pct"/>
            <w:vAlign w:val="center"/>
          </w:tcPr>
          <w:p>
            <w:pPr>
              <w:rPr>
                <w:rFonts w:ascii="宋体" w:hAnsi="宋体" w:cs="宋体"/>
                <w:szCs w:val="21"/>
              </w:rPr>
            </w:pPr>
            <w:r>
              <w:rPr>
                <w:rFonts w:hint="eastAsia" w:ascii="宋体" w:hAnsi="宋体" w:cs="宋体"/>
                <w:szCs w:val="21"/>
              </w:rPr>
              <w:t>互联网数据中心--入侵防范</w:t>
            </w:r>
          </w:p>
        </w:tc>
        <w:tc>
          <w:tcPr>
            <w:tcW w:w="3695" w:type="pct"/>
            <w:vAlign w:val="center"/>
          </w:tcPr>
          <w:p>
            <w:pPr>
              <w:rPr>
                <w:rFonts w:ascii="宋体" w:hAnsi="宋体" w:cs="宋体"/>
                <w:szCs w:val="21"/>
              </w:rPr>
            </w:pPr>
            <w:r>
              <w:rPr>
                <w:rFonts w:hint="eastAsia" w:ascii="宋体" w:hAnsi="宋体" w:cs="宋体"/>
                <w:szCs w:val="21"/>
              </w:rPr>
              <w:t>互联网数据中心面向互联网应具备相应防护能力，对进出互联网数据中心的所有数据流量进行防护；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5</w:t>
            </w:r>
          </w:p>
        </w:tc>
        <w:tc>
          <w:tcPr>
            <w:tcW w:w="1080" w:type="pct"/>
            <w:vAlign w:val="center"/>
          </w:tcPr>
          <w:p>
            <w:pPr>
              <w:rPr>
                <w:rFonts w:ascii="宋体" w:hAnsi="宋体" w:cs="宋体"/>
                <w:szCs w:val="21"/>
              </w:rPr>
            </w:pPr>
            <w:r>
              <w:rPr>
                <w:rFonts w:hint="eastAsia" w:ascii="宋体" w:hAnsi="宋体" w:cs="宋体"/>
                <w:szCs w:val="21"/>
              </w:rPr>
              <w:t>互联网数据中心--网络安全监测</w:t>
            </w:r>
          </w:p>
        </w:tc>
        <w:tc>
          <w:tcPr>
            <w:tcW w:w="3695" w:type="pct"/>
            <w:vAlign w:val="center"/>
          </w:tcPr>
          <w:p>
            <w:pPr>
              <w:rPr>
                <w:rFonts w:ascii="宋体" w:hAnsi="宋体" w:cs="宋体"/>
                <w:szCs w:val="21"/>
              </w:rPr>
            </w:pPr>
            <w:r>
              <w:rPr>
                <w:rFonts w:hint="eastAsia" w:ascii="宋体" w:hAnsi="宋体" w:cs="宋体"/>
                <w:szCs w:val="21"/>
              </w:rPr>
              <w:t>互联网数据中心应能在互联网接口处进行流量监控分析，及时发现导致流量异常的安全事件；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6</w:t>
            </w:r>
          </w:p>
        </w:tc>
        <w:tc>
          <w:tcPr>
            <w:tcW w:w="1080" w:type="pct"/>
            <w:vAlign w:val="center"/>
          </w:tcPr>
          <w:p>
            <w:pPr>
              <w:rPr>
                <w:rFonts w:ascii="宋体" w:hAnsi="宋体" w:cs="宋体"/>
                <w:szCs w:val="21"/>
              </w:rPr>
            </w:pPr>
            <w:r>
              <w:rPr>
                <w:rFonts w:hint="eastAsia" w:ascii="宋体" w:hAnsi="宋体" w:cs="宋体"/>
                <w:szCs w:val="21"/>
              </w:rPr>
              <w:t>互联网数据中心--网络保护与恢复</w:t>
            </w:r>
          </w:p>
        </w:tc>
        <w:tc>
          <w:tcPr>
            <w:tcW w:w="3695" w:type="pct"/>
            <w:vAlign w:val="center"/>
          </w:tcPr>
          <w:p>
            <w:pPr>
              <w:rPr>
                <w:rFonts w:ascii="宋体" w:hAnsi="宋体" w:cs="宋体"/>
                <w:szCs w:val="21"/>
              </w:rPr>
            </w:pPr>
            <w:r>
              <w:rPr>
                <w:rFonts w:hint="eastAsia" w:ascii="宋体" w:hAnsi="宋体" w:cs="宋体"/>
                <w:szCs w:val="21"/>
              </w:rPr>
              <w:t>互联网数据中心应具备一定的抗灾难以及灾难恢复能力，自身重要服务器、重要部件、重要数据库应当采用本地双机备份的方式进行容灾保护；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7</w:t>
            </w:r>
          </w:p>
        </w:tc>
        <w:tc>
          <w:tcPr>
            <w:tcW w:w="1080" w:type="pct"/>
            <w:vAlign w:val="center"/>
          </w:tcPr>
          <w:p>
            <w:pPr>
              <w:rPr>
                <w:rFonts w:ascii="宋体" w:hAnsi="宋体" w:cs="宋体"/>
                <w:szCs w:val="21"/>
              </w:rPr>
            </w:pPr>
            <w:r>
              <w:rPr>
                <w:rFonts w:hint="eastAsia" w:ascii="宋体" w:hAnsi="宋体" w:cs="宋体"/>
                <w:szCs w:val="21"/>
              </w:rPr>
              <w:t>互联网数据中心--网络设备防护</w:t>
            </w:r>
          </w:p>
        </w:tc>
        <w:tc>
          <w:tcPr>
            <w:tcW w:w="3695" w:type="pct"/>
            <w:vAlign w:val="center"/>
          </w:tcPr>
          <w:p>
            <w:pPr>
              <w:rPr>
                <w:rFonts w:ascii="宋体" w:hAnsi="宋体" w:cs="宋体"/>
                <w:szCs w:val="21"/>
              </w:rPr>
            </w:pPr>
            <w:r>
              <w:rPr>
                <w:rFonts w:hint="eastAsia" w:ascii="宋体" w:hAnsi="宋体" w:cs="宋体"/>
                <w:szCs w:val="21"/>
              </w:rPr>
              <w:t>网络设备的安全应满足相关设备技术规范、设备安全要求以及设备入网管理相关要求的规定（如，以太网交换机的安全应满足YD/T 1099-2013、YD/T 1627-2007等相关标准的安全要求；具有路由功能的以太网交换机的安全应满足YD/T 1255-2013、YD/T 1629-2007等相关标准的安全要求；低端路由器或边缘路由器的安全应相应满足YD/T 1096-2009、YD/T 1358-2005等相关标准的安全要求；高端路由器或核心路由器的安全应相应满足YD/T 1097-2009、YD/T 1359-2005等相关标准的安全要求；网络设备的安全基线配置应满足《电信网和互联网安全防护基线配置要求及检测要求 网络设备》等相关标准的安全要求等）；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8</w:t>
            </w:r>
          </w:p>
        </w:tc>
        <w:tc>
          <w:tcPr>
            <w:tcW w:w="1080" w:type="pct"/>
            <w:vAlign w:val="center"/>
          </w:tcPr>
          <w:p>
            <w:pPr>
              <w:rPr>
                <w:rFonts w:ascii="宋体" w:hAnsi="宋体" w:cs="宋体"/>
                <w:szCs w:val="21"/>
              </w:rPr>
            </w:pPr>
            <w:r>
              <w:rPr>
                <w:rFonts w:hint="eastAsia" w:ascii="宋体" w:hAnsi="宋体" w:cs="宋体"/>
                <w:szCs w:val="21"/>
              </w:rPr>
              <w:t>互联网数据中心--主机安全</w:t>
            </w:r>
          </w:p>
        </w:tc>
        <w:tc>
          <w:tcPr>
            <w:tcW w:w="3695" w:type="pct"/>
            <w:vAlign w:val="center"/>
          </w:tcPr>
          <w:p>
            <w:pPr>
              <w:rPr>
                <w:rFonts w:ascii="宋体" w:hAnsi="宋体" w:cs="宋体"/>
                <w:szCs w:val="21"/>
              </w:rPr>
            </w:pPr>
            <w:r>
              <w:rPr>
                <w:rFonts w:hint="eastAsia" w:ascii="宋体" w:hAnsi="宋体" w:cs="宋体"/>
                <w:szCs w:val="21"/>
              </w:rPr>
              <w:t>互联网数据中心通用主机操作系统和数据库系统管理用户口令更新周期不大于60天；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9</w:t>
            </w:r>
          </w:p>
        </w:tc>
        <w:tc>
          <w:tcPr>
            <w:tcW w:w="1080" w:type="pct"/>
            <w:vAlign w:val="center"/>
          </w:tcPr>
          <w:p>
            <w:pPr>
              <w:rPr>
                <w:rFonts w:ascii="宋体" w:hAnsi="宋体" w:cs="宋体"/>
                <w:szCs w:val="21"/>
              </w:rPr>
            </w:pPr>
            <w:r>
              <w:rPr>
                <w:rFonts w:hint="eastAsia" w:ascii="宋体" w:hAnsi="宋体" w:cs="宋体"/>
                <w:szCs w:val="21"/>
              </w:rPr>
              <w:t>互联网数据中心--中间件安全</w:t>
            </w:r>
          </w:p>
        </w:tc>
        <w:tc>
          <w:tcPr>
            <w:tcW w:w="3695" w:type="pct"/>
            <w:vAlign w:val="center"/>
          </w:tcPr>
          <w:p>
            <w:pPr>
              <w:rPr>
                <w:rFonts w:ascii="宋体" w:hAnsi="宋体" w:cs="宋体"/>
                <w:szCs w:val="21"/>
              </w:rPr>
            </w:pPr>
            <w:r>
              <w:rPr>
                <w:rFonts w:hint="eastAsia" w:ascii="宋体" w:hAnsi="宋体" w:cs="宋体"/>
                <w:szCs w:val="21"/>
              </w:rPr>
              <w:t>互联网数据中心自身业务使用中间件的安全基线配置应满足《电信网和互联网安全防护基线配置要求及检测要求 中间件》等；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10</w:t>
            </w:r>
          </w:p>
        </w:tc>
        <w:tc>
          <w:tcPr>
            <w:tcW w:w="1080" w:type="pct"/>
            <w:vAlign w:val="center"/>
          </w:tcPr>
          <w:p>
            <w:pPr>
              <w:rPr>
                <w:rFonts w:ascii="宋体" w:hAnsi="宋体" w:cs="宋体"/>
                <w:szCs w:val="21"/>
              </w:rPr>
            </w:pPr>
            <w:r>
              <w:rPr>
                <w:rFonts w:hint="eastAsia" w:ascii="宋体" w:hAnsi="宋体" w:cs="宋体"/>
                <w:szCs w:val="21"/>
              </w:rPr>
              <w:t>互联网数据中心--物理环境安全</w:t>
            </w:r>
          </w:p>
        </w:tc>
        <w:tc>
          <w:tcPr>
            <w:tcW w:w="3695" w:type="pct"/>
            <w:vAlign w:val="center"/>
          </w:tcPr>
          <w:p>
            <w:pPr>
              <w:rPr>
                <w:rFonts w:ascii="宋体" w:hAnsi="宋体" w:cs="宋体"/>
                <w:szCs w:val="21"/>
              </w:rPr>
            </w:pPr>
            <w:r>
              <w:rPr>
                <w:rFonts w:hint="eastAsia" w:ascii="宋体" w:hAnsi="宋体" w:cs="宋体"/>
                <w:szCs w:val="21"/>
              </w:rPr>
              <w:t>应满足YD/T 1754-2008中的第3.1级要求；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11</w:t>
            </w:r>
          </w:p>
        </w:tc>
        <w:tc>
          <w:tcPr>
            <w:tcW w:w="1080" w:type="pct"/>
            <w:vAlign w:val="center"/>
          </w:tcPr>
          <w:p>
            <w:pPr>
              <w:rPr>
                <w:rFonts w:ascii="宋体" w:hAnsi="宋体" w:cs="宋体"/>
                <w:szCs w:val="21"/>
              </w:rPr>
            </w:pPr>
            <w:r>
              <w:rPr>
                <w:rFonts w:hint="eastAsia" w:ascii="宋体" w:hAnsi="宋体" w:cs="宋体"/>
                <w:szCs w:val="21"/>
              </w:rPr>
              <w:t>互联网数据中心--安全管理</w:t>
            </w:r>
          </w:p>
        </w:tc>
        <w:tc>
          <w:tcPr>
            <w:tcW w:w="3695" w:type="pct"/>
            <w:vAlign w:val="center"/>
          </w:tcPr>
          <w:p>
            <w:pPr>
              <w:rPr>
                <w:rFonts w:ascii="宋体" w:hAnsi="宋体" w:cs="宋体"/>
                <w:szCs w:val="21"/>
              </w:rPr>
            </w:pPr>
            <w:r>
              <w:rPr>
                <w:rFonts w:hint="eastAsia" w:ascii="宋体" w:hAnsi="宋体" w:cs="宋体"/>
                <w:szCs w:val="21"/>
              </w:rPr>
              <w:t>应定期对互联网数据中心及其所属各类设备、系统进行安全风险评估；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12</w:t>
            </w:r>
          </w:p>
        </w:tc>
        <w:tc>
          <w:tcPr>
            <w:tcW w:w="1080" w:type="pct"/>
            <w:vAlign w:val="center"/>
          </w:tcPr>
          <w:p>
            <w:pPr>
              <w:rPr>
                <w:rFonts w:ascii="宋体" w:hAnsi="宋体" w:cs="宋体"/>
                <w:szCs w:val="21"/>
              </w:rPr>
            </w:pPr>
            <w:r>
              <w:rPr>
                <w:rFonts w:hint="eastAsia" w:ascii="宋体" w:hAnsi="宋体" w:cs="宋体"/>
                <w:szCs w:val="21"/>
              </w:rPr>
              <w:t>互联网数据中心--安全建设管理</w:t>
            </w:r>
          </w:p>
        </w:tc>
        <w:tc>
          <w:tcPr>
            <w:tcW w:w="3695" w:type="pct"/>
            <w:vAlign w:val="center"/>
          </w:tcPr>
          <w:p>
            <w:pPr>
              <w:rPr>
                <w:rFonts w:ascii="宋体" w:hAnsi="宋体" w:cs="宋体"/>
                <w:szCs w:val="21"/>
              </w:rPr>
            </w:pPr>
            <w:r>
              <w:rPr>
                <w:rFonts w:hint="eastAsia" w:ascii="宋体" w:hAnsi="宋体" w:cs="宋体"/>
                <w:szCs w:val="21"/>
              </w:rPr>
              <w:t>互联网数据中心业务实施时，客户应提交业务客户信息采集表，主要包含但不限于以下信息：系统数据分类与安全等级、系统对基础设施的依赖关系、系统要求配置的防火墙与路由器策略等；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13</w:t>
            </w:r>
          </w:p>
        </w:tc>
        <w:tc>
          <w:tcPr>
            <w:tcW w:w="1080" w:type="pct"/>
            <w:vAlign w:val="center"/>
          </w:tcPr>
          <w:p>
            <w:pPr>
              <w:rPr>
                <w:rFonts w:ascii="宋体" w:hAnsi="宋体" w:cs="宋体"/>
                <w:szCs w:val="21"/>
              </w:rPr>
            </w:pPr>
            <w:r>
              <w:rPr>
                <w:rFonts w:hint="eastAsia" w:ascii="宋体" w:hAnsi="宋体" w:cs="宋体"/>
                <w:szCs w:val="21"/>
              </w:rPr>
              <w:t>互联网数据中心--安全运维管理</w:t>
            </w:r>
          </w:p>
        </w:tc>
        <w:tc>
          <w:tcPr>
            <w:tcW w:w="3695" w:type="pct"/>
            <w:vAlign w:val="center"/>
          </w:tcPr>
          <w:p>
            <w:pPr>
              <w:rPr>
                <w:rFonts w:ascii="宋体" w:hAnsi="宋体" w:cs="宋体"/>
                <w:szCs w:val="21"/>
              </w:rPr>
            </w:pPr>
            <w:r>
              <w:rPr>
                <w:rFonts w:hint="eastAsia" w:ascii="宋体" w:hAnsi="宋体" w:cs="宋体"/>
                <w:szCs w:val="21"/>
              </w:rPr>
              <w:t>应至少每三个月进行一次应用层弱点扫描，当基础设施或应用完成重大的升级或调整后，应执行应用层弱点扫描；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14</w:t>
            </w:r>
          </w:p>
        </w:tc>
        <w:tc>
          <w:tcPr>
            <w:tcW w:w="1080" w:type="pct"/>
            <w:vAlign w:val="center"/>
          </w:tcPr>
          <w:p>
            <w:pPr>
              <w:rPr>
                <w:rFonts w:ascii="宋体" w:hAnsi="宋体" w:cs="宋体"/>
                <w:szCs w:val="21"/>
              </w:rPr>
            </w:pPr>
            <w:r>
              <w:rPr>
                <w:rFonts w:hint="eastAsia" w:ascii="宋体" w:hAnsi="宋体" w:cs="宋体"/>
                <w:szCs w:val="21"/>
              </w:rPr>
              <w:t>互联网数据中心--灾难恢复预案</w:t>
            </w:r>
          </w:p>
        </w:tc>
        <w:tc>
          <w:tcPr>
            <w:tcW w:w="3695" w:type="pct"/>
            <w:vAlign w:val="center"/>
          </w:tcPr>
          <w:p>
            <w:pPr>
              <w:rPr>
                <w:rFonts w:ascii="宋体" w:hAnsi="宋体" w:cs="宋体"/>
                <w:szCs w:val="21"/>
              </w:rPr>
            </w:pPr>
            <w:r>
              <w:rPr>
                <w:rFonts w:hint="eastAsia" w:ascii="宋体" w:hAnsi="宋体" w:cs="宋体"/>
                <w:szCs w:val="21"/>
              </w:rPr>
              <w:t>互联网数据中心应按照YD/T 1731-2008的相关要求制定完整的灾难恢复预案及对应管理制度；</w:t>
            </w:r>
          </w:p>
        </w:tc>
      </w:tr>
    </w:tbl>
    <w:p>
      <w:pPr>
        <w:pStyle w:val="2"/>
      </w:pPr>
      <w:r>
        <w:rPr>
          <w:rFonts w:hint="eastAsia"/>
        </w:rPr>
        <w:t>通信网络安全防护符合性评测表－互联网接入服务系统</w:t>
      </w:r>
    </w:p>
    <w:p>
      <w:pPr>
        <w:snapToGrid w:val="0"/>
        <w:spacing w:line="440" w:lineRule="exact"/>
        <w:ind w:firstLine="440" w:firstLineChars="200"/>
        <w:rPr>
          <w:rFonts w:ascii="宋体" w:hAnsi="宋体" w:cs="宋体"/>
          <w:sz w:val="22"/>
        </w:rPr>
      </w:pPr>
      <w:r>
        <w:rPr>
          <w:rFonts w:hint="eastAsia" w:ascii="宋体" w:hAnsi="宋体" w:cs="宋体"/>
          <w:sz w:val="22"/>
        </w:rPr>
        <w:t>具体测评指标描述如下表所示：</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85" w:type="dxa"/>
          <w:bottom w:w="57" w:type="dxa"/>
          <w:right w:w="85" w:type="dxa"/>
        </w:tblCellMar>
      </w:tblPr>
      <w:tblGrid>
        <w:gridCol w:w="381"/>
        <w:gridCol w:w="1831"/>
        <w:gridCol w:w="6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blHeader/>
          <w:jc w:val="center"/>
        </w:trPr>
        <w:tc>
          <w:tcPr>
            <w:tcW w:w="225" w:type="pct"/>
            <w:vAlign w:val="center"/>
          </w:tcPr>
          <w:p>
            <w:pPr>
              <w:keepNext/>
              <w:spacing w:line="360" w:lineRule="auto"/>
              <w:jc w:val="center"/>
              <w:rPr>
                <w:rFonts w:ascii="宋体" w:hAnsi="宋体" w:cs="宋体"/>
                <w:b/>
                <w:szCs w:val="21"/>
              </w:rPr>
            </w:pPr>
            <w:r>
              <w:rPr>
                <w:rFonts w:hint="eastAsia" w:ascii="宋体" w:hAnsi="宋体" w:cs="宋体"/>
                <w:b/>
                <w:szCs w:val="21"/>
              </w:rPr>
              <w:t>序号</w:t>
            </w:r>
          </w:p>
        </w:tc>
        <w:tc>
          <w:tcPr>
            <w:tcW w:w="1080" w:type="pct"/>
            <w:vAlign w:val="center"/>
          </w:tcPr>
          <w:p>
            <w:pPr>
              <w:keepNext/>
              <w:spacing w:line="360" w:lineRule="auto"/>
              <w:jc w:val="center"/>
              <w:rPr>
                <w:rFonts w:ascii="宋体" w:hAnsi="宋体" w:cs="宋体"/>
                <w:b/>
                <w:szCs w:val="21"/>
              </w:rPr>
            </w:pPr>
            <w:r>
              <w:rPr>
                <w:rFonts w:hint="eastAsia" w:ascii="宋体" w:hAnsi="宋体" w:cs="宋体"/>
                <w:b/>
                <w:szCs w:val="21"/>
              </w:rPr>
              <w:t>检查类型</w:t>
            </w:r>
          </w:p>
        </w:tc>
        <w:tc>
          <w:tcPr>
            <w:tcW w:w="3695" w:type="pct"/>
            <w:vAlign w:val="center"/>
          </w:tcPr>
          <w:p>
            <w:pPr>
              <w:keepNext/>
              <w:spacing w:line="360" w:lineRule="auto"/>
              <w:ind w:firstLine="482"/>
              <w:jc w:val="center"/>
              <w:rPr>
                <w:rFonts w:ascii="宋体" w:hAnsi="宋体" w:cs="宋体"/>
                <w:b/>
                <w:szCs w:val="21"/>
              </w:rPr>
            </w:pPr>
            <w:r>
              <w:rPr>
                <w:rFonts w:hint="eastAsia" w:ascii="宋体" w:hAnsi="宋体" w:cs="宋体"/>
                <w:b/>
                <w:szCs w:val="21"/>
              </w:rPr>
              <w:t>指标描述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1</w:t>
            </w:r>
          </w:p>
        </w:tc>
        <w:tc>
          <w:tcPr>
            <w:tcW w:w="1080" w:type="pct"/>
            <w:vAlign w:val="center"/>
          </w:tcPr>
          <w:p>
            <w:pPr>
              <w:rPr>
                <w:rFonts w:ascii="宋体" w:hAnsi="宋体" w:cs="宋体"/>
                <w:szCs w:val="21"/>
              </w:rPr>
            </w:pPr>
            <w:r>
              <w:rPr>
                <w:rFonts w:hint="eastAsia" w:ascii="宋体" w:hAnsi="宋体" w:cs="宋体"/>
                <w:szCs w:val="21"/>
              </w:rPr>
              <w:t>互联网接入服务系统--数据保护及备份</w:t>
            </w:r>
          </w:p>
        </w:tc>
        <w:tc>
          <w:tcPr>
            <w:tcW w:w="3695" w:type="pct"/>
            <w:vAlign w:val="center"/>
          </w:tcPr>
          <w:p>
            <w:pPr>
              <w:rPr>
                <w:rFonts w:ascii="宋体" w:hAnsi="宋体" w:cs="宋体"/>
                <w:szCs w:val="21"/>
              </w:rPr>
            </w:pPr>
            <w:r>
              <w:rPr>
                <w:rFonts w:hint="eastAsia" w:ascii="宋体" w:hAnsi="宋体" w:cs="宋体"/>
                <w:szCs w:val="21"/>
              </w:rPr>
              <w:t>应建立对业务及应用全部数据、信息进行备份和恢复的管理和控制机制；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2</w:t>
            </w:r>
          </w:p>
        </w:tc>
        <w:tc>
          <w:tcPr>
            <w:tcW w:w="1080" w:type="pct"/>
            <w:vAlign w:val="center"/>
          </w:tcPr>
          <w:p>
            <w:pPr>
              <w:rPr>
                <w:rFonts w:ascii="宋体" w:hAnsi="宋体" w:cs="宋体"/>
                <w:szCs w:val="21"/>
              </w:rPr>
            </w:pPr>
            <w:r>
              <w:rPr>
                <w:rFonts w:hint="eastAsia" w:ascii="宋体" w:hAnsi="宋体" w:cs="宋体"/>
                <w:szCs w:val="21"/>
              </w:rPr>
              <w:t>互联网接入服务系统--结构安全</w:t>
            </w:r>
          </w:p>
        </w:tc>
        <w:tc>
          <w:tcPr>
            <w:tcW w:w="3695" w:type="pct"/>
            <w:vAlign w:val="center"/>
          </w:tcPr>
          <w:p>
            <w:pPr>
              <w:rPr>
                <w:rFonts w:ascii="宋体" w:hAnsi="宋体" w:cs="宋体"/>
                <w:szCs w:val="21"/>
              </w:rPr>
            </w:pPr>
            <w:r>
              <w:rPr>
                <w:rFonts w:hint="eastAsia" w:ascii="宋体" w:hAnsi="宋体" w:cs="宋体"/>
                <w:szCs w:val="21"/>
              </w:rPr>
              <w:t>应绘制与当前运行情况相符的系统拓扑结构图；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3</w:t>
            </w:r>
          </w:p>
        </w:tc>
        <w:tc>
          <w:tcPr>
            <w:tcW w:w="1080" w:type="pct"/>
            <w:vAlign w:val="center"/>
          </w:tcPr>
          <w:p>
            <w:pPr>
              <w:rPr>
                <w:rFonts w:ascii="宋体" w:hAnsi="宋体" w:cs="宋体"/>
                <w:szCs w:val="21"/>
              </w:rPr>
            </w:pPr>
            <w:r>
              <w:rPr>
                <w:rFonts w:hint="eastAsia" w:ascii="宋体" w:hAnsi="宋体" w:cs="宋体"/>
                <w:szCs w:val="21"/>
              </w:rPr>
              <w:t>互联网接入服务系统--入侵防范</w:t>
            </w:r>
          </w:p>
        </w:tc>
        <w:tc>
          <w:tcPr>
            <w:tcW w:w="3695" w:type="pct"/>
            <w:vAlign w:val="center"/>
          </w:tcPr>
          <w:p>
            <w:pPr>
              <w:rPr>
                <w:rFonts w:ascii="宋体" w:hAnsi="宋体" w:cs="宋体"/>
                <w:szCs w:val="21"/>
              </w:rPr>
            </w:pPr>
            <w:r>
              <w:rPr>
                <w:rFonts w:hint="eastAsia" w:ascii="宋体" w:hAnsi="宋体" w:cs="宋体"/>
                <w:szCs w:val="21"/>
              </w:rPr>
              <w:t>当检测到入侵行为时，应记录攻击源IP、攻击类型、攻击目的地址、攻击时间，在发生严重入侵事件时应提供报警；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4</w:t>
            </w:r>
          </w:p>
        </w:tc>
        <w:tc>
          <w:tcPr>
            <w:tcW w:w="1080" w:type="pct"/>
            <w:vAlign w:val="center"/>
          </w:tcPr>
          <w:p>
            <w:pPr>
              <w:rPr>
                <w:rFonts w:ascii="宋体" w:hAnsi="宋体" w:cs="宋体"/>
                <w:szCs w:val="21"/>
              </w:rPr>
            </w:pPr>
            <w:r>
              <w:rPr>
                <w:rFonts w:hint="eastAsia" w:ascii="宋体" w:hAnsi="宋体" w:cs="宋体"/>
                <w:szCs w:val="21"/>
              </w:rPr>
              <w:t>互联网接入安全--安全监测</w:t>
            </w:r>
          </w:p>
        </w:tc>
        <w:tc>
          <w:tcPr>
            <w:tcW w:w="3695" w:type="pct"/>
            <w:vAlign w:val="center"/>
          </w:tcPr>
          <w:p>
            <w:pPr>
              <w:rPr>
                <w:rFonts w:ascii="宋体" w:hAnsi="宋体" w:cs="宋体"/>
                <w:szCs w:val="21"/>
              </w:rPr>
            </w:pPr>
            <w:r>
              <w:rPr>
                <w:rFonts w:hint="eastAsia" w:ascii="宋体" w:hAnsi="宋体" w:cs="宋体"/>
                <w:szCs w:val="21"/>
              </w:rPr>
              <w:t>应在系统边界处监测以下攻击行为：端口扫描、暴力攻击、木马后门攻击、DoS/DDoS攻击、缓冲区溢出攻击、IP碎片攻击和网络蠕虫攻击等；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5</w:t>
            </w:r>
          </w:p>
        </w:tc>
        <w:tc>
          <w:tcPr>
            <w:tcW w:w="1080" w:type="pct"/>
            <w:vAlign w:val="center"/>
          </w:tcPr>
          <w:p>
            <w:pPr>
              <w:rPr>
                <w:rFonts w:ascii="宋体" w:hAnsi="宋体" w:cs="宋体"/>
                <w:szCs w:val="21"/>
              </w:rPr>
            </w:pPr>
            <w:r>
              <w:rPr>
                <w:rFonts w:hint="eastAsia" w:ascii="宋体" w:hAnsi="宋体" w:cs="宋体"/>
                <w:szCs w:val="21"/>
              </w:rPr>
              <w:t>互联网接入服务系统--容灾备份</w:t>
            </w:r>
          </w:p>
        </w:tc>
        <w:tc>
          <w:tcPr>
            <w:tcW w:w="3695" w:type="pct"/>
            <w:vAlign w:val="center"/>
          </w:tcPr>
          <w:p>
            <w:pPr>
              <w:rPr>
                <w:rFonts w:ascii="宋体" w:hAnsi="宋体" w:cs="宋体"/>
                <w:szCs w:val="21"/>
              </w:rPr>
            </w:pPr>
            <w:r>
              <w:rPr>
                <w:rFonts w:hint="eastAsia" w:ascii="宋体" w:hAnsi="宋体" w:cs="宋体"/>
                <w:szCs w:val="21"/>
              </w:rPr>
              <w:t>重要设备、线路应采用热备份的保护方式进行保护；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6</w:t>
            </w:r>
          </w:p>
        </w:tc>
        <w:tc>
          <w:tcPr>
            <w:tcW w:w="1080" w:type="pct"/>
            <w:vAlign w:val="center"/>
          </w:tcPr>
          <w:p>
            <w:pPr>
              <w:rPr>
                <w:rFonts w:ascii="宋体" w:hAnsi="宋体" w:cs="宋体"/>
                <w:szCs w:val="21"/>
              </w:rPr>
            </w:pPr>
            <w:r>
              <w:rPr>
                <w:rFonts w:hint="eastAsia" w:ascii="宋体" w:hAnsi="宋体" w:cs="宋体"/>
                <w:szCs w:val="21"/>
              </w:rPr>
              <w:t>互联网接入服务系统--网络及安全设备防护</w:t>
            </w:r>
          </w:p>
        </w:tc>
        <w:tc>
          <w:tcPr>
            <w:tcW w:w="3695" w:type="pct"/>
            <w:vAlign w:val="center"/>
          </w:tcPr>
          <w:p>
            <w:pPr>
              <w:rPr>
                <w:rFonts w:ascii="宋体" w:hAnsi="宋体" w:cs="宋体"/>
                <w:szCs w:val="21"/>
              </w:rPr>
            </w:pPr>
            <w:r>
              <w:rPr>
                <w:rFonts w:hint="eastAsia" w:ascii="宋体" w:hAnsi="宋体" w:cs="宋体"/>
                <w:szCs w:val="21"/>
              </w:rPr>
              <w:t>应定期自检(漏洞扫描、弱口令扫描、基线配置信息等)，如对主机的端口、弱口令、安全漏洞进行扫描和发现,对已知业务应用漏洞进行扫描和发现,对已知木马进行扫描和发现,对扫描结果进行分析和提交等，促进业务安全性管理和安全问题的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7</w:t>
            </w:r>
          </w:p>
        </w:tc>
        <w:tc>
          <w:tcPr>
            <w:tcW w:w="1080" w:type="pct"/>
            <w:vAlign w:val="center"/>
          </w:tcPr>
          <w:p>
            <w:pPr>
              <w:rPr>
                <w:rFonts w:ascii="宋体" w:hAnsi="宋体" w:cs="宋体"/>
                <w:szCs w:val="21"/>
              </w:rPr>
            </w:pPr>
            <w:r>
              <w:rPr>
                <w:rFonts w:hint="eastAsia" w:ascii="宋体" w:hAnsi="宋体" w:cs="宋体"/>
                <w:szCs w:val="21"/>
              </w:rPr>
              <w:t>互联网接入服务系统--通用主机安全</w:t>
            </w:r>
          </w:p>
        </w:tc>
        <w:tc>
          <w:tcPr>
            <w:tcW w:w="3695" w:type="pct"/>
            <w:vAlign w:val="center"/>
          </w:tcPr>
          <w:p>
            <w:pPr>
              <w:rPr>
                <w:rFonts w:ascii="宋体" w:hAnsi="宋体" w:cs="宋体"/>
                <w:szCs w:val="21"/>
              </w:rPr>
            </w:pPr>
            <w:r>
              <w:rPr>
                <w:rFonts w:hint="eastAsia" w:ascii="宋体" w:hAnsi="宋体" w:cs="宋体"/>
                <w:szCs w:val="21"/>
              </w:rPr>
              <w:t>应能根据记录数据进行分析，并生成审计报表；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8</w:t>
            </w:r>
          </w:p>
        </w:tc>
        <w:tc>
          <w:tcPr>
            <w:tcW w:w="1080" w:type="pct"/>
            <w:vAlign w:val="center"/>
          </w:tcPr>
          <w:p>
            <w:pPr>
              <w:rPr>
                <w:rFonts w:ascii="宋体" w:hAnsi="宋体" w:cs="宋体"/>
                <w:szCs w:val="21"/>
              </w:rPr>
            </w:pPr>
            <w:r>
              <w:rPr>
                <w:rFonts w:hint="eastAsia" w:ascii="宋体" w:hAnsi="宋体" w:cs="宋体"/>
                <w:szCs w:val="21"/>
              </w:rPr>
              <w:t>互联网接入服务系统--物理环境安全</w:t>
            </w:r>
          </w:p>
        </w:tc>
        <w:tc>
          <w:tcPr>
            <w:tcW w:w="3695" w:type="pct"/>
            <w:vAlign w:val="center"/>
          </w:tcPr>
          <w:p>
            <w:pPr>
              <w:rPr>
                <w:rFonts w:ascii="宋体" w:hAnsi="宋体" w:cs="宋体"/>
                <w:szCs w:val="21"/>
              </w:rPr>
            </w:pPr>
            <w:r>
              <w:rPr>
                <w:rFonts w:hint="eastAsia" w:ascii="宋体" w:hAnsi="宋体" w:cs="宋体"/>
                <w:szCs w:val="21"/>
              </w:rPr>
              <w:t>应满足YD/T 1754-2008《电信网和互联网物理环境安全等级保护要求》中的第3级要求，在本标准与企业规范标准、企业具体操作维护规范等文档对相同内容有重复要求时，采取从严原则，应符合最严格的安全要求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9</w:t>
            </w:r>
          </w:p>
        </w:tc>
        <w:tc>
          <w:tcPr>
            <w:tcW w:w="1080" w:type="pct"/>
            <w:vAlign w:val="center"/>
          </w:tcPr>
          <w:p>
            <w:pPr>
              <w:rPr>
                <w:rFonts w:ascii="宋体" w:hAnsi="宋体" w:cs="宋体"/>
                <w:szCs w:val="21"/>
              </w:rPr>
            </w:pPr>
            <w:r>
              <w:rPr>
                <w:rFonts w:hint="eastAsia" w:ascii="宋体" w:hAnsi="宋体" w:cs="宋体"/>
                <w:szCs w:val="21"/>
              </w:rPr>
              <w:t>互联网接入服务系统--管理安全</w:t>
            </w:r>
          </w:p>
        </w:tc>
        <w:tc>
          <w:tcPr>
            <w:tcW w:w="3695" w:type="pct"/>
            <w:vAlign w:val="center"/>
          </w:tcPr>
          <w:p>
            <w:pPr>
              <w:rPr>
                <w:rFonts w:ascii="宋体" w:hAnsi="宋体" w:cs="宋体"/>
                <w:szCs w:val="21"/>
              </w:rPr>
            </w:pPr>
            <w:r>
              <w:rPr>
                <w:rFonts w:hint="eastAsia" w:ascii="宋体" w:hAnsi="宋体" w:cs="宋体"/>
                <w:szCs w:val="21"/>
              </w:rPr>
              <w:t>互联网数据中心自身业务使用中间件的安全基线配置应满足《电信网和互联网安全防护基线配置要求及检测要求 中间件》等；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85" w:type="dxa"/>
            <w:bottom w:w="57" w:type="dxa"/>
            <w:right w:w="85" w:type="dxa"/>
          </w:tblCellMar>
        </w:tblPrEx>
        <w:trPr>
          <w:trHeight w:val="737" w:hRule="atLeast"/>
          <w:jc w:val="center"/>
        </w:trPr>
        <w:tc>
          <w:tcPr>
            <w:tcW w:w="225" w:type="pct"/>
            <w:vAlign w:val="center"/>
          </w:tcPr>
          <w:p>
            <w:pPr>
              <w:spacing w:line="360" w:lineRule="auto"/>
              <w:jc w:val="center"/>
              <w:rPr>
                <w:rFonts w:ascii="宋体" w:hAnsi="宋体" w:cs="宋体"/>
                <w:szCs w:val="21"/>
              </w:rPr>
            </w:pPr>
            <w:r>
              <w:rPr>
                <w:rFonts w:hint="eastAsia" w:ascii="宋体" w:hAnsi="宋体" w:cs="宋体"/>
                <w:szCs w:val="21"/>
              </w:rPr>
              <w:t>10</w:t>
            </w:r>
          </w:p>
        </w:tc>
        <w:tc>
          <w:tcPr>
            <w:tcW w:w="1080" w:type="pct"/>
            <w:vAlign w:val="center"/>
          </w:tcPr>
          <w:p>
            <w:pPr>
              <w:rPr>
                <w:rFonts w:ascii="宋体" w:hAnsi="宋体" w:cs="宋体"/>
                <w:szCs w:val="21"/>
              </w:rPr>
            </w:pPr>
            <w:r>
              <w:rPr>
                <w:rFonts w:hint="eastAsia" w:ascii="宋体" w:hAnsi="宋体" w:cs="宋体"/>
                <w:szCs w:val="21"/>
              </w:rPr>
              <w:t>互联网数据中心--物理环境安全</w:t>
            </w:r>
          </w:p>
        </w:tc>
        <w:tc>
          <w:tcPr>
            <w:tcW w:w="3695" w:type="pct"/>
            <w:vAlign w:val="center"/>
          </w:tcPr>
          <w:p>
            <w:pPr>
              <w:rPr>
                <w:rFonts w:ascii="宋体" w:hAnsi="宋体" w:cs="宋体"/>
                <w:szCs w:val="21"/>
              </w:rPr>
            </w:pPr>
            <w:r>
              <w:rPr>
                <w:rFonts w:hint="eastAsia" w:ascii="宋体" w:hAnsi="宋体" w:cs="宋体"/>
                <w:szCs w:val="21"/>
              </w:rPr>
              <w:t>应定期对互联网接入服务系统系统及其所属各类设备、系统进行安全风险评估；</w:t>
            </w:r>
          </w:p>
        </w:tc>
      </w:tr>
    </w:tbl>
    <w:p>
      <w:pPr>
        <w:snapToGrid w:val="0"/>
        <w:spacing w:line="440" w:lineRule="exact"/>
        <w:ind w:firstLine="442" w:firstLineChars="200"/>
        <w:rPr>
          <w:rFonts w:ascii="宋体" w:hAnsi="宋体" w:cs="宋体"/>
          <w:b/>
          <w:sz w:val="22"/>
        </w:rPr>
      </w:pPr>
      <w:r>
        <w:rPr>
          <w:rFonts w:hint="eastAsia" w:ascii="宋体" w:hAnsi="宋体" w:cs="宋体"/>
          <w:b/>
          <w:sz w:val="22"/>
        </w:rPr>
        <w:t>五、项目预算</w:t>
      </w:r>
    </w:p>
    <w:p>
      <w:pPr>
        <w:spacing w:line="360" w:lineRule="auto"/>
        <w:ind w:firstLine="442" w:firstLineChars="201"/>
        <w:rPr>
          <w:sz w:val="22"/>
          <w:szCs w:val="22"/>
        </w:rPr>
      </w:pPr>
      <w:r>
        <w:rPr>
          <w:rFonts w:hint="eastAsia"/>
          <w:sz w:val="22"/>
          <w:szCs w:val="22"/>
        </w:rPr>
        <w:t>本项目总预算费为</w:t>
      </w:r>
      <w:r>
        <w:rPr>
          <w:sz w:val="22"/>
          <w:szCs w:val="22"/>
        </w:rPr>
        <w:t>10.8</w:t>
      </w:r>
      <w:r>
        <w:rPr>
          <w:rFonts w:hint="eastAsia"/>
          <w:sz w:val="22"/>
          <w:szCs w:val="22"/>
        </w:rPr>
        <w:t>万元。</w:t>
      </w:r>
    </w:p>
    <w:p>
      <w:pPr>
        <w:snapToGrid w:val="0"/>
        <w:spacing w:line="440" w:lineRule="exact"/>
        <w:ind w:firstLine="442" w:firstLineChars="200"/>
        <w:rPr>
          <w:rFonts w:ascii="宋体" w:hAnsi="宋体" w:cs="宋体"/>
          <w:b/>
          <w:sz w:val="22"/>
        </w:rPr>
      </w:pPr>
      <w:r>
        <w:rPr>
          <w:rFonts w:hint="eastAsia" w:ascii="宋体" w:hAnsi="宋体" w:cs="宋体"/>
          <w:b/>
          <w:sz w:val="22"/>
        </w:rPr>
        <w:t>六、服务要求</w:t>
      </w:r>
    </w:p>
    <w:p>
      <w:pPr>
        <w:spacing w:line="360" w:lineRule="auto"/>
        <w:ind w:firstLine="442" w:firstLineChars="201"/>
        <w:rPr>
          <w:sz w:val="22"/>
          <w:szCs w:val="22"/>
        </w:rPr>
      </w:pPr>
      <w:r>
        <w:rPr>
          <w:rFonts w:hint="eastAsia"/>
          <w:sz w:val="22"/>
          <w:szCs w:val="22"/>
        </w:rPr>
        <w:t>1.服务时间:2022年12月31日</w:t>
      </w:r>
    </w:p>
    <w:p>
      <w:pPr>
        <w:spacing w:line="360" w:lineRule="auto"/>
        <w:ind w:firstLine="442" w:firstLineChars="201"/>
        <w:rPr>
          <w:sz w:val="22"/>
          <w:szCs w:val="22"/>
        </w:rPr>
      </w:pPr>
      <w:r>
        <w:rPr>
          <w:rFonts w:hint="eastAsia"/>
          <w:sz w:val="22"/>
          <w:szCs w:val="22"/>
        </w:rPr>
        <w:t>2.项目完成时限：合同签订之日起15个日历天内, 完成数据互联定级备案及网络安全符合性评测和安全风险评估服务工作。</w:t>
      </w:r>
    </w:p>
    <w:p>
      <w:pPr>
        <w:spacing w:line="360" w:lineRule="auto"/>
        <w:ind w:firstLine="442" w:firstLineChars="201"/>
        <w:rPr>
          <w:sz w:val="22"/>
          <w:szCs w:val="22"/>
        </w:rPr>
      </w:pPr>
      <w:r>
        <w:rPr>
          <w:rFonts w:hint="eastAsia"/>
          <w:sz w:val="22"/>
          <w:szCs w:val="22"/>
        </w:rPr>
        <w:t>3.服务内容</w:t>
      </w:r>
    </w:p>
    <w:p>
      <w:pPr>
        <w:spacing w:line="360" w:lineRule="auto"/>
        <w:ind w:firstLine="442" w:firstLineChars="201"/>
        <w:rPr>
          <w:sz w:val="22"/>
          <w:szCs w:val="22"/>
        </w:rPr>
      </w:pPr>
      <w:r>
        <w:rPr>
          <w:rFonts w:hint="eastAsia"/>
          <w:sz w:val="22"/>
          <w:szCs w:val="22"/>
        </w:rPr>
        <w:t>(1)开展通信系统初次测评，提交《不符合项汇总以及整改建议列表》。</w:t>
      </w:r>
    </w:p>
    <w:p>
      <w:pPr>
        <w:spacing w:line="360" w:lineRule="auto"/>
        <w:ind w:firstLine="442" w:firstLineChars="201"/>
        <w:rPr>
          <w:sz w:val="22"/>
          <w:szCs w:val="22"/>
        </w:rPr>
      </w:pPr>
      <w:r>
        <w:rPr>
          <w:rFonts w:hint="eastAsia"/>
          <w:sz w:val="22"/>
          <w:szCs w:val="22"/>
        </w:rPr>
        <w:t>(2)协助用户对《不符合项汇总以及整改建议列表》进行技术方面和管理方面的整改，使</w:t>
      </w:r>
      <w:r>
        <w:rPr>
          <w:rFonts w:hint="eastAsia" w:ascii="宋体" w:hAnsi="宋体" w:cs="宋体"/>
          <w:sz w:val="22"/>
          <w:shd w:val="clear" w:color="auto" w:fill="FFFFFF"/>
        </w:rPr>
        <w:t>《（定级备案报告）、（符合性测评报告）、（安全风险测评报）》</w:t>
      </w:r>
      <w:r>
        <w:rPr>
          <w:rFonts w:hint="eastAsia"/>
          <w:sz w:val="22"/>
          <w:szCs w:val="22"/>
        </w:rPr>
        <w:t>最终能到达通过的结论，并提交通信网络安全防护管理系统。</w:t>
      </w:r>
    </w:p>
    <w:p>
      <w:pPr>
        <w:spacing w:line="360" w:lineRule="auto"/>
        <w:ind w:firstLine="442" w:firstLineChars="201"/>
        <w:rPr>
          <w:sz w:val="22"/>
          <w:szCs w:val="22"/>
        </w:rPr>
      </w:pPr>
      <w:r>
        <w:rPr>
          <w:rFonts w:hint="eastAsia"/>
          <w:sz w:val="22"/>
          <w:szCs w:val="22"/>
        </w:rPr>
        <w:t>4.服务地点：东莞市寮步镇曲岭一路85号交投数据中心。</w:t>
      </w:r>
    </w:p>
    <w:p>
      <w:pPr>
        <w:snapToGrid w:val="0"/>
        <w:spacing w:line="440" w:lineRule="exact"/>
        <w:ind w:firstLine="442" w:firstLineChars="200"/>
        <w:rPr>
          <w:rFonts w:ascii="宋体" w:hAnsi="宋体" w:cs="宋体"/>
          <w:b/>
          <w:sz w:val="22"/>
        </w:rPr>
      </w:pPr>
      <w:r>
        <w:rPr>
          <w:rFonts w:hint="eastAsia" w:ascii="宋体" w:hAnsi="宋体" w:cs="宋体"/>
          <w:b/>
          <w:sz w:val="22"/>
        </w:rPr>
        <w:t>七、验收标准</w:t>
      </w:r>
    </w:p>
    <w:p>
      <w:pPr>
        <w:spacing w:line="360" w:lineRule="auto"/>
        <w:ind w:firstLine="442" w:firstLineChars="201"/>
        <w:rPr>
          <w:sz w:val="22"/>
          <w:szCs w:val="22"/>
        </w:rPr>
      </w:pPr>
      <w:r>
        <w:rPr>
          <w:rFonts w:hint="eastAsia"/>
          <w:sz w:val="22"/>
          <w:szCs w:val="22"/>
        </w:rPr>
        <w:t>1.完成项目中的</w:t>
      </w:r>
      <w:r>
        <w:rPr>
          <w:rFonts w:hint="eastAsia" w:ascii="宋体" w:hAnsi="宋体" w:cs="宋体"/>
          <w:sz w:val="22"/>
          <w:shd w:val="clear" w:color="auto" w:fill="FFFFFF"/>
        </w:rPr>
        <w:t>《（定级备案报告）、（符合性测评报告）、（安全风险测评报）》</w:t>
      </w:r>
      <w:r>
        <w:rPr>
          <w:rFonts w:hint="eastAsia"/>
          <w:sz w:val="22"/>
          <w:szCs w:val="22"/>
        </w:rPr>
        <w:t>，验收标准以互联网接入服务系统出具一份（</w:t>
      </w:r>
      <w:r>
        <w:rPr>
          <w:rFonts w:hint="eastAsia" w:ascii="宋体" w:hAnsi="宋体" w:cs="宋体"/>
          <w:sz w:val="22"/>
          <w:shd w:val="clear" w:color="auto" w:fill="FFFFFF"/>
        </w:rPr>
        <w:t>定级备案报告</w:t>
      </w:r>
      <w:r>
        <w:rPr>
          <w:rFonts w:hint="eastAsia"/>
          <w:sz w:val="22"/>
          <w:szCs w:val="22"/>
        </w:rPr>
        <w:t>）</w:t>
      </w:r>
      <w:r>
        <w:rPr>
          <w:rFonts w:hint="eastAsia" w:ascii="宋体" w:hAnsi="宋体" w:cs="宋体"/>
          <w:sz w:val="22"/>
          <w:shd w:val="clear" w:color="auto" w:fill="FFFFFF"/>
        </w:rPr>
        <w:t>、</w:t>
      </w:r>
      <w:r>
        <w:rPr>
          <w:rFonts w:hint="eastAsia"/>
          <w:sz w:val="22"/>
          <w:szCs w:val="22"/>
        </w:rPr>
        <w:t>一份</w:t>
      </w:r>
      <w:r>
        <w:rPr>
          <w:rFonts w:hint="eastAsia" w:ascii="宋体" w:hAnsi="宋体" w:cs="宋体"/>
          <w:sz w:val="22"/>
          <w:shd w:val="clear" w:color="auto" w:fill="FFFFFF"/>
        </w:rPr>
        <w:t>（符合性测评报告）、</w:t>
      </w:r>
      <w:r>
        <w:rPr>
          <w:rFonts w:hint="eastAsia"/>
          <w:sz w:val="22"/>
          <w:szCs w:val="22"/>
        </w:rPr>
        <w:t>一份</w:t>
      </w:r>
      <w:r>
        <w:rPr>
          <w:rFonts w:hint="eastAsia" w:ascii="宋体" w:hAnsi="宋体" w:cs="宋体"/>
          <w:sz w:val="22"/>
          <w:shd w:val="clear" w:color="auto" w:fill="FFFFFF"/>
        </w:rPr>
        <w:t>（安全风险测评报告）</w:t>
      </w:r>
      <w:r>
        <w:rPr>
          <w:rFonts w:hint="eastAsia"/>
          <w:sz w:val="22"/>
          <w:szCs w:val="22"/>
        </w:rPr>
        <w:t>。互联网数据中心系统出具一份（</w:t>
      </w:r>
      <w:r>
        <w:rPr>
          <w:rFonts w:hint="eastAsia" w:ascii="宋体" w:hAnsi="宋体" w:cs="宋体"/>
          <w:sz w:val="22"/>
          <w:shd w:val="clear" w:color="auto" w:fill="FFFFFF"/>
        </w:rPr>
        <w:t>定级备案报告</w:t>
      </w:r>
      <w:r>
        <w:rPr>
          <w:rFonts w:hint="eastAsia"/>
          <w:sz w:val="22"/>
          <w:szCs w:val="22"/>
        </w:rPr>
        <w:t>）</w:t>
      </w:r>
      <w:r>
        <w:rPr>
          <w:rFonts w:hint="eastAsia" w:ascii="宋体" w:hAnsi="宋体" w:cs="宋体"/>
          <w:sz w:val="22"/>
          <w:shd w:val="clear" w:color="auto" w:fill="FFFFFF"/>
        </w:rPr>
        <w:t>、</w:t>
      </w:r>
      <w:r>
        <w:rPr>
          <w:rFonts w:hint="eastAsia"/>
          <w:sz w:val="22"/>
          <w:szCs w:val="22"/>
        </w:rPr>
        <w:t>一份</w:t>
      </w:r>
      <w:r>
        <w:rPr>
          <w:rFonts w:hint="eastAsia" w:ascii="宋体" w:hAnsi="宋体" w:cs="宋体"/>
          <w:sz w:val="22"/>
          <w:shd w:val="clear" w:color="auto" w:fill="FFFFFF"/>
        </w:rPr>
        <w:t>（符合性测评报告）、</w:t>
      </w:r>
      <w:r>
        <w:rPr>
          <w:rFonts w:hint="eastAsia"/>
          <w:sz w:val="22"/>
          <w:szCs w:val="22"/>
        </w:rPr>
        <w:t>一份</w:t>
      </w:r>
      <w:r>
        <w:rPr>
          <w:rFonts w:hint="eastAsia" w:ascii="宋体" w:hAnsi="宋体" w:cs="宋体"/>
          <w:sz w:val="22"/>
          <w:shd w:val="clear" w:color="auto" w:fill="FFFFFF"/>
        </w:rPr>
        <w:t>（安全风险测评报告）</w:t>
      </w:r>
      <w:r>
        <w:rPr>
          <w:rFonts w:hint="eastAsia"/>
          <w:sz w:val="22"/>
          <w:szCs w:val="22"/>
        </w:rPr>
        <w:t>。</w:t>
      </w:r>
    </w:p>
    <w:p>
      <w:pPr>
        <w:spacing w:line="360" w:lineRule="auto"/>
        <w:ind w:firstLine="442" w:firstLineChars="201"/>
        <w:rPr>
          <w:rFonts w:ascii="宋体" w:hAnsi="宋体" w:cs="宋体"/>
          <w:b/>
          <w:bCs/>
          <w:color w:val="000000" w:themeColor="text1"/>
          <w:sz w:val="22"/>
          <w14:textFill>
            <w14:solidFill>
              <w14:schemeClr w14:val="tx1"/>
            </w14:solidFill>
          </w14:textFill>
        </w:rPr>
      </w:pPr>
      <w:r>
        <w:rPr>
          <w:rFonts w:hint="eastAsia"/>
          <w:sz w:val="22"/>
          <w:szCs w:val="22"/>
        </w:rPr>
        <w:t>2.取得通信网络安全防护管理系统里面显示通过的结论。</w:t>
      </w:r>
    </w:p>
    <w:p>
      <w:pPr>
        <w:pStyle w:val="2"/>
        <w:rPr>
          <w:color w:val="000000" w:themeColor="text1"/>
          <w14:textFill>
            <w14:solidFill>
              <w14:schemeClr w14:val="tx1"/>
            </w14:solidFill>
          </w14:textFill>
        </w:rPr>
        <w:sectPr>
          <w:footerReference r:id="rId4" w:type="first"/>
          <w:footerReference r:id="rId3" w:type="default"/>
          <w:pgSz w:w="11906" w:h="16838"/>
          <w:pgMar w:top="1440" w:right="1800" w:bottom="1440" w:left="1800" w:header="851" w:footer="992" w:gutter="0"/>
          <w:cols w:space="425" w:num="1"/>
          <w:docGrid w:type="lines" w:linePitch="312" w:charSpace="0"/>
        </w:sectPr>
      </w:pPr>
    </w:p>
    <w:p>
      <w:pPr>
        <w:widowControl/>
        <w:jc w:val="left"/>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3"/>
        <w:jc w:val="center"/>
        <w:rPr>
          <w:rFonts w:ascii="宋体" w:hAnsi="宋体"/>
          <w:color w:val="000000" w:themeColor="text1"/>
          <w:sz w:val="22"/>
          <w:szCs w:val="22"/>
          <w14:textFill>
            <w14:solidFill>
              <w14:schemeClr w14:val="tx1"/>
            </w14:solidFill>
          </w14:textFill>
        </w:rPr>
      </w:pPr>
      <w:bookmarkStart w:id="223" w:name="_Toc10668"/>
      <w:bookmarkStart w:id="224" w:name="_Toc93505794"/>
      <w:r>
        <w:rPr>
          <w:rFonts w:ascii="Times New Roman" w:hAnsi="Times New Roman" w:eastAsiaTheme="minorEastAsia"/>
          <w:color w:val="000000" w:themeColor="text1"/>
          <w14:textFill>
            <w14:solidFill>
              <w14:schemeClr w14:val="tx1"/>
            </w14:solidFill>
          </w14:textFill>
        </w:rPr>
        <w:t>第五章 合同格式</w:t>
      </w:r>
      <w:bookmarkEnd w:id="222"/>
      <w:bookmarkEnd w:id="223"/>
      <w:bookmarkEnd w:id="224"/>
    </w:p>
    <w:p>
      <w:pPr>
        <w:jc w:val="center"/>
        <w:rPr>
          <w:color w:val="000000" w:themeColor="text1"/>
          <w14:textFill>
            <w14:solidFill>
              <w14:schemeClr w14:val="tx1"/>
            </w14:solidFill>
          </w14:textFill>
        </w:rPr>
      </w:pPr>
      <w:r>
        <w:rPr>
          <w:color w:val="000000" w:themeColor="text1"/>
          <w14:textFill>
            <w14:solidFill>
              <w14:schemeClr w14:val="tx1"/>
            </w14:solidFill>
          </w14:textFill>
        </w:rPr>
        <w:br w:type="page"/>
      </w:r>
      <w:bookmarkStart w:id="225" w:name="_Toc441844111"/>
    </w:p>
    <w:p>
      <w:pPr>
        <w:jc w:val="center"/>
        <w:rPr>
          <w:color w:val="000000" w:themeColor="text1"/>
          <w14:textFill>
            <w14:solidFill>
              <w14:schemeClr w14:val="tx1"/>
            </w14:solidFill>
          </w14:textFill>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rPr>
          <w:rFonts w:ascii="宋体" w:hAnsi="宋体" w:cs="宋体"/>
          <w:szCs w:val="21"/>
        </w:rPr>
      </w:pPr>
    </w:p>
    <w:p>
      <w:pPr>
        <w:spacing w:line="560" w:lineRule="exact"/>
        <w:jc w:val="center"/>
        <w:rPr>
          <w:rFonts w:eastAsia="黑体"/>
          <w:b/>
          <w:sz w:val="44"/>
          <w:szCs w:val="44"/>
        </w:rPr>
      </w:pPr>
    </w:p>
    <w:p>
      <w:pPr>
        <w:spacing w:line="560" w:lineRule="exact"/>
        <w:jc w:val="center"/>
        <w:rPr>
          <w:rFonts w:ascii="黑体" w:hAnsi="黑体" w:eastAsia="黑体" w:cs="黑体"/>
          <w:b/>
          <w:sz w:val="44"/>
          <w:szCs w:val="44"/>
        </w:rPr>
      </w:pPr>
      <w:r>
        <w:rPr>
          <w:rFonts w:hint="eastAsia" w:ascii="宋体" w:hAnsi="宋体"/>
          <w:b/>
          <w:sz w:val="44"/>
          <w:szCs w:val="52"/>
          <w:shd w:val="clear" w:color="auto" w:fill="FFFFFF"/>
        </w:rPr>
        <w:t>东莞市数据互联有限公司定级备案及网络安全符合性评测和安全风险评估服务项目合同</w:t>
      </w:r>
    </w:p>
    <w:p>
      <w:pPr>
        <w:spacing w:line="560" w:lineRule="exact"/>
        <w:rPr>
          <w:rFonts w:ascii="黑体" w:hAnsi="黑体" w:eastAsia="黑体" w:cs="黑体"/>
          <w:b/>
          <w:bCs/>
          <w:sz w:val="32"/>
          <w:szCs w:val="32"/>
        </w:rPr>
      </w:pPr>
    </w:p>
    <w:p>
      <w:pPr>
        <w:spacing w:line="560" w:lineRule="exact"/>
        <w:rPr>
          <w:rFonts w:ascii="黑体" w:hAnsi="黑体" w:eastAsia="黑体" w:cs="黑体"/>
          <w:b/>
          <w:bCs/>
          <w:sz w:val="32"/>
          <w:szCs w:val="32"/>
        </w:rPr>
      </w:pPr>
    </w:p>
    <w:p>
      <w:pPr>
        <w:spacing w:line="560" w:lineRule="exact"/>
        <w:rPr>
          <w:rFonts w:ascii="黑体" w:hAnsi="黑体" w:eastAsia="黑体" w:cs="黑体"/>
          <w:b/>
          <w:bCs/>
          <w:sz w:val="32"/>
          <w:szCs w:val="32"/>
        </w:rPr>
      </w:pPr>
    </w:p>
    <w:p>
      <w:pPr>
        <w:spacing w:line="560" w:lineRule="exact"/>
        <w:rPr>
          <w:rFonts w:ascii="黑体" w:hAnsi="黑体" w:eastAsia="黑体" w:cs="黑体"/>
          <w:b/>
          <w:bCs/>
          <w:sz w:val="32"/>
          <w:szCs w:val="32"/>
        </w:rPr>
      </w:pPr>
    </w:p>
    <w:p>
      <w:pPr>
        <w:spacing w:line="560" w:lineRule="exact"/>
        <w:rPr>
          <w:rFonts w:ascii="黑体" w:hAnsi="黑体" w:eastAsia="黑体" w:cs="黑体"/>
          <w:sz w:val="32"/>
          <w:szCs w:val="32"/>
          <w:u w:val="single"/>
        </w:rPr>
      </w:pPr>
      <w:r>
        <w:rPr>
          <w:rFonts w:hint="eastAsia" w:ascii="黑体" w:hAnsi="黑体" w:eastAsia="黑体" w:cs="黑体"/>
          <w:sz w:val="32"/>
          <w:szCs w:val="32"/>
        </w:rPr>
        <w:t>甲方合同编号：</w:t>
      </w:r>
    </w:p>
    <w:p>
      <w:pPr>
        <w:spacing w:line="560" w:lineRule="exact"/>
        <w:rPr>
          <w:rFonts w:ascii="黑体" w:hAnsi="黑体" w:eastAsia="黑体" w:cs="黑体"/>
          <w:sz w:val="32"/>
          <w:szCs w:val="32"/>
          <w:u w:val="single"/>
        </w:rPr>
      </w:pPr>
      <w:r>
        <w:rPr>
          <w:rFonts w:hint="eastAsia" w:ascii="黑体" w:hAnsi="黑体" w:eastAsia="黑体" w:cs="黑体"/>
          <w:sz w:val="32"/>
          <w:szCs w:val="32"/>
        </w:rPr>
        <w:t>乙方合同编号：</w:t>
      </w:r>
    </w:p>
    <w:p>
      <w:pPr>
        <w:spacing w:line="560" w:lineRule="exact"/>
        <w:rPr>
          <w:rFonts w:ascii="黑体" w:hAnsi="黑体" w:eastAsia="黑体" w:cs="黑体"/>
          <w:sz w:val="32"/>
          <w:szCs w:val="32"/>
        </w:rPr>
      </w:pPr>
      <w:r>
        <w:rPr>
          <w:rFonts w:hint="eastAsia" w:ascii="黑体" w:hAnsi="黑体" w:eastAsia="黑体" w:cs="黑体"/>
          <w:sz w:val="32"/>
          <w:szCs w:val="32"/>
        </w:rPr>
        <w:t>委托方（甲方）：</w:t>
      </w:r>
    </w:p>
    <w:p>
      <w:pPr>
        <w:spacing w:line="560" w:lineRule="exact"/>
        <w:rPr>
          <w:rFonts w:ascii="黑体" w:hAnsi="黑体" w:eastAsia="黑体" w:cs="黑体"/>
          <w:sz w:val="32"/>
          <w:szCs w:val="32"/>
          <w:u w:val="single"/>
        </w:rPr>
      </w:pPr>
      <w:r>
        <w:rPr>
          <w:rFonts w:hint="eastAsia" w:ascii="黑体" w:hAnsi="黑体" w:eastAsia="黑体" w:cs="黑体"/>
          <w:sz w:val="32"/>
          <w:szCs w:val="32"/>
        </w:rPr>
        <w:t>受委托方（乙方）：</w:t>
      </w:r>
    </w:p>
    <w:p>
      <w:pPr>
        <w:spacing w:line="560" w:lineRule="exact"/>
        <w:rPr>
          <w:rFonts w:ascii="黑体" w:hAnsi="黑体" w:eastAsia="黑体" w:cs="黑体"/>
          <w:b/>
          <w:bCs/>
          <w:sz w:val="32"/>
          <w:szCs w:val="32"/>
          <w:u w:val="thick"/>
        </w:rPr>
      </w:pPr>
    </w:p>
    <w:p>
      <w:pPr>
        <w:spacing w:line="560" w:lineRule="exact"/>
        <w:rPr>
          <w:rFonts w:ascii="宋体" w:hAnsi="宋体" w:cs="宋体"/>
          <w:b/>
          <w:bCs/>
          <w:szCs w:val="21"/>
          <w:u w:val="thick"/>
        </w:rPr>
      </w:pPr>
    </w:p>
    <w:p>
      <w:pPr>
        <w:spacing w:line="560" w:lineRule="exact"/>
        <w:rPr>
          <w:rFonts w:ascii="宋体" w:hAnsi="宋体" w:cs="宋体"/>
          <w:b/>
          <w:bCs/>
          <w:szCs w:val="21"/>
          <w:u w:val="thick"/>
        </w:rPr>
      </w:pPr>
    </w:p>
    <w:p>
      <w:pPr>
        <w:spacing w:line="560" w:lineRule="exact"/>
        <w:rPr>
          <w:rFonts w:ascii="宋体" w:hAnsi="宋体" w:cs="宋体"/>
          <w:b/>
          <w:bCs/>
          <w:szCs w:val="21"/>
          <w:u w:val="thick"/>
        </w:rPr>
      </w:pPr>
    </w:p>
    <w:p>
      <w:pPr>
        <w:spacing w:line="560" w:lineRule="exact"/>
        <w:rPr>
          <w:rFonts w:ascii="黑体" w:hAnsi="黑体" w:eastAsia="黑体" w:cs="黑体"/>
          <w:sz w:val="32"/>
          <w:szCs w:val="32"/>
          <w:u w:val="single"/>
        </w:rPr>
      </w:pPr>
      <w:r>
        <w:rPr>
          <w:rFonts w:hint="eastAsia" w:ascii="黑体" w:hAnsi="黑体" w:eastAsia="黑体" w:cs="黑体"/>
          <w:sz w:val="32"/>
          <w:szCs w:val="32"/>
        </w:rPr>
        <w:t>签约时间：</w:t>
      </w:r>
      <w:r>
        <w:rPr>
          <w:rFonts w:ascii="黑体" w:hAnsi="黑体" w:eastAsia="黑体" w:cs="黑体"/>
          <w:sz w:val="32"/>
          <w:szCs w:val="32"/>
          <w:u w:val="single"/>
        </w:rPr>
        <w:t>202</w:t>
      </w:r>
      <w:r>
        <w:rPr>
          <w:rFonts w:hint="eastAsia" w:ascii="黑体" w:hAnsi="黑体" w:eastAsia="黑体" w:cs="黑体"/>
          <w:sz w:val="32"/>
          <w:szCs w:val="32"/>
          <w:u w:val="single"/>
        </w:rPr>
        <w:t>2年月</w:t>
      </w:r>
    </w:p>
    <w:p>
      <w:pPr>
        <w:spacing w:line="560" w:lineRule="exact"/>
        <w:rPr>
          <w:rFonts w:ascii="黑体" w:hAnsi="黑体" w:eastAsia="黑体" w:cs="黑体"/>
          <w:sz w:val="32"/>
          <w:szCs w:val="32"/>
        </w:rPr>
      </w:pPr>
      <w:r>
        <w:rPr>
          <w:rFonts w:hint="eastAsia" w:ascii="黑体" w:hAnsi="黑体" w:eastAsia="黑体" w:cs="黑体"/>
          <w:sz w:val="32"/>
          <w:szCs w:val="32"/>
        </w:rPr>
        <w:t>签订地点：东莞市</w:t>
      </w:r>
    </w:p>
    <w:p>
      <w:pPr>
        <w:spacing w:line="560" w:lineRule="exact"/>
        <w:rPr>
          <w:rFonts w:ascii="宋体" w:hAnsi="宋体" w:cs="宋体"/>
          <w:b/>
          <w:bCs/>
          <w:szCs w:val="21"/>
        </w:rPr>
      </w:pPr>
    </w:p>
    <w:p>
      <w:pPr>
        <w:spacing w:line="560" w:lineRule="exact"/>
        <w:rPr>
          <w:rFonts w:ascii="宋体" w:hAnsi="宋体" w:cs="宋体"/>
          <w:b/>
          <w:bCs/>
          <w:szCs w:val="21"/>
        </w:rPr>
      </w:pPr>
    </w:p>
    <w:p>
      <w:pPr>
        <w:spacing w:line="560" w:lineRule="exact"/>
        <w:rPr>
          <w:rFonts w:ascii="宋体" w:hAnsi="宋体" w:cs="宋体"/>
          <w:b/>
          <w:bCs/>
          <w:szCs w:val="21"/>
        </w:rPr>
      </w:pPr>
    </w:p>
    <w:p>
      <w:pPr>
        <w:spacing w:line="560" w:lineRule="exact"/>
        <w:rPr>
          <w:rFonts w:ascii="宋体" w:hAnsi="宋体" w:cs="宋体"/>
          <w:sz w:val="24"/>
        </w:rPr>
      </w:pPr>
      <w:r>
        <w:rPr>
          <w:rFonts w:hint="eastAsia" w:ascii="宋体" w:hAnsi="宋体" w:cs="宋体"/>
          <w:sz w:val="24"/>
        </w:rPr>
        <w:t>甲方：东莞市数据互联有限公司</w:t>
      </w:r>
    </w:p>
    <w:p>
      <w:pPr>
        <w:spacing w:line="560" w:lineRule="exact"/>
        <w:rPr>
          <w:rFonts w:ascii="宋体" w:hAnsi="宋体" w:cs="宋体"/>
          <w:sz w:val="24"/>
        </w:rPr>
      </w:pPr>
      <w:r>
        <w:rPr>
          <w:rFonts w:hint="eastAsia" w:ascii="宋体" w:hAnsi="宋体" w:cs="宋体"/>
          <w:sz w:val="24"/>
        </w:rPr>
        <w:t>法定代表人或负责人：</w:t>
      </w:r>
    </w:p>
    <w:p>
      <w:pPr>
        <w:spacing w:line="560" w:lineRule="exact"/>
        <w:rPr>
          <w:rFonts w:ascii="宋体" w:hAnsi="宋体" w:cs="宋体"/>
          <w:sz w:val="24"/>
        </w:rPr>
      </w:pPr>
      <w:r>
        <w:rPr>
          <w:rFonts w:hint="eastAsia" w:ascii="宋体" w:hAnsi="宋体" w:cs="宋体"/>
          <w:sz w:val="24"/>
        </w:rPr>
        <w:t>单位地址：</w:t>
      </w:r>
    </w:p>
    <w:p>
      <w:pPr>
        <w:spacing w:line="560" w:lineRule="exact"/>
        <w:rPr>
          <w:rFonts w:ascii="宋体" w:hAnsi="宋体" w:cs="宋体"/>
          <w:sz w:val="24"/>
        </w:rPr>
      </w:pPr>
      <w:r>
        <w:rPr>
          <w:rFonts w:hint="eastAsia" w:ascii="宋体" w:hAnsi="宋体" w:cs="宋体"/>
          <w:sz w:val="24"/>
        </w:rPr>
        <w:t>联系人：</w:t>
      </w:r>
    </w:p>
    <w:p>
      <w:pPr>
        <w:spacing w:line="560" w:lineRule="exact"/>
        <w:rPr>
          <w:rFonts w:ascii="宋体" w:hAnsi="宋体" w:cs="宋体"/>
          <w:sz w:val="24"/>
        </w:rPr>
      </w:pPr>
      <w:r>
        <w:rPr>
          <w:rFonts w:hint="eastAsia" w:ascii="宋体" w:hAnsi="宋体" w:cs="宋体"/>
          <w:sz w:val="24"/>
        </w:rPr>
        <w:t>联系电话：</w:t>
      </w:r>
    </w:p>
    <w:p>
      <w:pPr>
        <w:spacing w:line="560" w:lineRule="exact"/>
        <w:rPr>
          <w:rFonts w:ascii="宋体" w:hAnsi="宋体" w:cs="宋体"/>
          <w:sz w:val="24"/>
        </w:rPr>
      </w:pPr>
      <w:r>
        <w:rPr>
          <w:rFonts w:hint="eastAsia" w:ascii="宋体" w:hAnsi="宋体" w:cs="宋体"/>
          <w:sz w:val="24"/>
        </w:rPr>
        <w:t>联系邮箱：</w:t>
      </w:r>
    </w:p>
    <w:p>
      <w:pPr>
        <w:spacing w:line="560" w:lineRule="exact"/>
        <w:rPr>
          <w:rFonts w:ascii="宋体" w:hAnsi="宋体" w:cs="宋体"/>
          <w:sz w:val="24"/>
        </w:rPr>
      </w:pPr>
    </w:p>
    <w:p>
      <w:pPr>
        <w:pStyle w:val="354"/>
        <w:spacing w:line="560" w:lineRule="exact"/>
        <w:ind w:firstLine="420"/>
        <w:rPr>
          <w:lang w:val="en-US"/>
        </w:rPr>
      </w:pPr>
    </w:p>
    <w:p>
      <w:pPr>
        <w:spacing w:line="560" w:lineRule="exact"/>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p>
    <w:p>
      <w:pPr>
        <w:spacing w:line="560" w:lineRule="exact"/>
        <w:rPr>
          <w:rFonts w:ascii="宋体" w:hAnsi="宋体" w:cs="宋体"/>
          <w:sz w:val="24"/>
        </w:rPr>
      </w:pPr>
      <w:r>
        <w:rPr>
          <w:rFonts w:hint="eastAsia" w:ascii="宋体" w:hAnsi="宋体" w:cs="宋体"/>
          <w:sz w:val="24"/>
        </w:rPr>
        <w:t>乙方：</w:t>
      </w:r>
    </w:p>
    <w:p>
      <w:pPr>
        <w:spacing w:line="560" w:lineRule="exact"/>
        <w:rPr>
          <w:rFonts w:ascii="宋体" w:hAnsi="宋体" w:cs="宋体"/>
          <w:sz w:val="24"/>
        </w:rPr>
      </w:pPr>
      <w:r>
        <w:rPr>
          <w:rFonts w:hint="eastAsia" w:ascii="宋体" w:hAnsi="宋体" w:cs="宋体"/>
          <w:sz w:val="24"/>
        </w:rPr>
        <w:t>法定代表人或负责人：</w:t>
      </w:r>
    </w:p>
    <w:p>
      <w:pPr>
        <w:spacing w:line="560" w:lineRule="exact"/>
        <w:rPr>
          <w:rFonts w:ascii="宋体" w:hAnsi="宋体" w:cs="宋体"/>
          <w:sz w:val="24"/>
        </w:rPr>
      </w:pPr>
      <w:r>
        <w:rPr>
          <w:rFonts w:hint="eastAsia" w:ascii="宋体" w:hAnsi="宋体" w:cs="宋体"/>
          <w:sz w:val="24"/>
        </w:rPr>
        <w:t>单位地址：</w:t>
      </w:r>
    </w:p>
    <w:p>
      <w:pPr>
        <w:spacing w:line="560" w:lineRule="exact"/>
        <w:rPr>
          <w:rFonts w:ascii="宋体" w:hAnsi="宋体" w:cs="宋体"/>
          <w:sz w:val="24"/>
        </w:rPr>
      </w:pPr>
      <w:r>
        <w:rPr>
          <w:rFonts w:hint="eastAsia" w:ascii="宋体" w:hAnsi="宋体" w:cs="宋体"/>
          <w:sz w:val="24"/>
        </w:rPr>
        <w:t>电话：</w:t>
      </w:r>
    </w:p>
    <w:p>
      <w:pPr>
        <w:spacing w:line="560" w:lineRule="exact"/>
        <w:rPr>
          <w:rFonts w:ascii="宋体" w:hAnsi="宋体" w:cs="宋体"/>
          <w:sz w:val="24"/>
        </w:rPr>
      </w:pPr>
      <w:r>
        <w:rPr>
          <w:rFonts w:hint="eastAsia" w:ascii="宋体" w:hAnsi="宋体" w:cs="宋体"/>
          <w:sz w:val="24"/>
        </w:rPr>
        <w:t>联系人：</w:t>
      </w:r>
    </w:p>
    <w:p>
      <w:pPr>
        <w:spacing w:line="560" w:lineRule="exact"/>
        <w:rPr>
          <w:rFonts w:ascii="宋体" w:hAnsi="宋体" w:cs="宋体"/>
          <w:sz w:val="24"/>
        </w:rPr>
      </w:pPr>
      <w:r>
        <w:rPr>
          <w:rFonts w:hint="eastAsia" w:ascii="宋体" w:hAnsi="宋体" w:cs="宋体"/>
          <w:sz w:val="24"/>
        </w:rPr>
        <w:t>联系电话：</w:t>
      </w:r>
    </w:p>
    <w:p>
      <w:pPr>
        <w:spacing w:line="560" w:lineRule="exact"/>
        <w:rPr>
          <w:rFonts w:ascii="宋体" w:hAnsi="宋体" w:cs="宋体"/>
          <w:sz w:val="24"/>
        </w:rPr>
      </w:pPr>
      <w:r>
        <w:rPr>
          <w:rFonts w:hint="eastAsia" w:ascii="宋体" w:hAnsi="宋体" w:cs="宋体"/>
          <w:sz w:val="24"/>
        </w:rPr>
        <w:t>联系传真：</w:t>
      </w:r>
    </w:p>
    <w:p>
      <w:pPr>
        <w:spacing w:line="560" w:lineRule="exact"/>
        <w:rPr>
          <w:rFonts w:ascii="宋体" w:hAnsi="宋体" w:cs="宋体"/>
          <w:sz w:val="24"/>
        </w:rPr>
      </w:pPr>
      <w:r>
        <w:rPr>
          <w:rFonts w:hint="eastAsia" w:ascii="宋体" w:hAnsi="宋体" w:cs="宋体"/>
          <w:sz w:val="24"/>
        </w:rPr>
        <w:t>联系邮箱：</w:t>
      </w:r>
    </w:p>
    <w:p>
      <w:pPr>
        <w:spacing w:line="560" w:lineRule="exact"/>
        <w:rPr>
          <w:rFonts w:ascii="宋体" w:hAnsi="宋体" w:cs="宋体"/>
          <w:b/>
          <w:bCs/>
          <w:szCs w:val="21"/>
        </w:rPr>
      </w:pPr>
    </w:p>
    <w:p>
      <w:pPr>
        <w:spacing w:line="560" w:lineRule="exact"/>
        <w:ind w:firstLine="480" w:firstLineChars="200"/>
        <w:rPr>
          <w:rFonts w:ascii="宋体" w:hAnsi="宋体" w:cs="宋体"/>
          <w:sz w:val="24"/>
        </w:rPr>
      </w:pPr>
    </w:p>
    <w:p>
      <w:pPr>
        <w:spacing w:line="560" w:lineRule="exact"/>
        <w:rPr>
          <w:rFonts w:ascii="宋体" w:hAnsi="宋体" w:cs="宋体"/>
          <w:sz w:val="24"/>
        </w:rPr>
      </w:pPr>
    </w:p>
    <w:p>
      <w:pPr>
        <w:pStyle w:val="2"/>
      </w:pPr>
    </w:p>
    <w:p>
      <w:pPr>
        <w:spacing w:line="560" w:lineRule="exact"/>
        <w:ind w:firstLine="480" w:firstLineChars="200"/>
        <w:rPr>
          <w:rFonts w:ascii="宋体" w:hAnsi="宋体" w:cs="宋体"/>
          <w:sz w:val="24"/>
        </w:rPr>
      </w:pPr>
      <w:r>
        <w:rPr>
          <w:rFonts w:hint="eastAsia" w:ascii="宋体" w:hAnsi="宋体" w:cs="宋体"/>
          <w:sz w:val="24"/>
        </w:rPr>
        <w:t>本着平等、自愿、诚实信任、公平、守法的原则，就乙方为甲方提供数据互联定级备案及网络安全符合性评测和安全风险评估服务(</w:t>
      </w:r>
      <w:r>
        <w:rPr>
          <w:rFonts w:ascii="宋体" w:hAnsi="宋体" w:cs="宋体"/>
          <w:sz w:val="24"/>
        </w:rPr>
        <w:t>3</w:t>
      </w:r>
      <w:r>
        <w:rPr>
          <w:rFonts w:hint="eastAsia" w:ascii="宋体" w:hAnsi="宋体" w:cs="宋体"/>
          <w:sz w:val="24"/>
        </w:rPr>
        <w:t>级测评)，经友好协商，甲乙双方同意按照以下条款签订本合同：</w:t>
      </w:r>
    </w:p>
    <w:p>
      <w:pPr>
        <w:pStyle w:val="5"/>
        <w:numPr>
          <w:ilvl w:val="0"/>
          <w:numId w:val="56"/>
        </w:numPr>
        <w:spacing w:before="156" w:beforeLines="50" w:after="0" w:line="560" w:lineRule="exact"/>
        <w:ind w:left="0" w:firstLine="0"/>
        <w:rPr>
          <w:rFonts w:ascii="宋体" w:hAnsi="宋体" w:cs="宋体"/>
          <w:sz w:val="24"/>
          <w:szCs w:val="24"/>
        </w:rPr>
      </w:pPr>
      <w:bookmarkStart w:id="226" w:name="_Toc18269"/>
      <w:r>
        <w:rPr>
          <w:rFonts w:hint="eastAsia" w:ascii="宋体" w:hAnsi="宋体" w:cs="宋体"/>
          <w:sz w:val="24"/>
          <w:szCs w:val="24"/>
        </w:rPr>
        <w:t>服务内容及范围</w:t>
      </w:r>
      <w:bookmarkEnd w:id="226"/>
    </w:p>
    <w:p>
      <w:pPr>
        <w:pStyle w:val="113"/>
        <w:numPr>
          <w:ilvl w:val="0"/>
          <w:numId w:val="57"/>
        </w:numPr>
        <w:tabs>
          <w:tab w:val="left" w:pos="360"/>
          <w:tab w:val="left" w:pos="420"/>
          <w:tab w:val="left" w:pos="1350"/>
        </w:tabs>
        <w:spacing w:line="560" w:lineRule="exact"/>
        <w:ind w:firstLineChars="0"/>
        <w:rPr>
          <w:rFonts w:ascii="宋体" w:hAnsi="宋体" w:cs="宋体"/>
          <w:sz w:val="24"/>
        </w:rPr>
      </w:pPr>
      <w:r>
        <w:rPr>
          <w:rFonts w:hint="eastAsia" w:ascii="宋体" w:hAnsi="宋体" w:cs="宋体"/>
          <w:sz w:val="24"/>
        </w:rPr>
        <w:t>服务内容：根据国家有关规定和本合同项下的服务要求,乙方为甲方的互联网数据中心系统、互联网接入服务系统提供以下服务：</w:t>
      </w:r>
    </w:p>
    <w:tbl>
      <w:tblPr>
        <w:tblStyle w:val="51"/>
        <w:tblpPr w:leftFromText="180" w:rightFromText="180" w:vertAnchor="text" w:horzAnchor="page" w:tblpX="1103" w:tblpY="453"/>
        <w:tblOverlap w:val="never"/>
        <w:tblW w:w="9873" w:type="dxa"/>
        <w:tblInd w:w="0" w:type="dxa"/>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134"/>
        <w:gridCol w:w="4424"/>
        <w:gridCol w:w="1376"/>
        <w:gridCol w:w="2264"/>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452" w:hRule="atLeast"/>
        </w:trPr>
        <w:tc>
          <w:tcPr>
            <w:tcW w:w="675" w:type="dxa"/>
            <w:vAlign w:val="center"/>
          </w:tcPr>
          <w:p>
            <w:pPr>
              <w:spacing w:line="560" w:lineRule="exact"/>
              <w:jc w:val="center"/>
              <w:rPr>
                <w:b/>
              </w:rPr>
            </w:pPr>
            <w:r>
              <w:rPr>
                <w:b/>
              </w:rPr>
              <w:t>序号</w:t>
            </w:r>
          </w:p>
        </w:tc>
        <w:tc>
          <w:tcPr>
            <w:tcW w:w="1134" w:type="dxa"/>
            <w:vAlign w:val="center"/>
          </w:tcPr>
          <w:p>
            <w:pPr>
              <w:wordWrap w:val="0"/>
              <w:spacing w:line="560" w:lineRule="exact"/>
              <w:jc w:val="center"/>
              <w:rPr>
                <w:b/>
              </w:rPr>
            </w:pPr>
            <w:r>
              <w:rPr>
                <w:b/>
              </w:rPr>
              <w:t>服务名称</w:t>
            </w:r>
          </w:p>
        </w:tc>
        <w:tc>
          <w:tcPr>
            <w:tcW w:w="4424" w:type="dxa"/>
            <w:vAlign w:val="center"/>
          </w:tcPr>
          <w:p>
            <w:pPr>
              <w:wordWrap w:val="0"/>
              <w:spacing w:line="560" w:lineRule="exact"/>
              <w:jc w:val="center"/>
              <w:rPr>
                <w:b/>
              </w:rPr>
            </w:pPr>
            <w:r>
              <w:rPr>
                <w:b/>
              </w:rPr>
              <w:t>服务描述</w:t>
            </w:r>
          </w:p>
        </w:tc>
        <w:tc>
          <w:tcPr>
            <w:tcW w:w="1376" w:type="dxa"/>
            <w:vAlign w:val="center"/>
          </w:tcPr>
          <w:p>
            <w:pPr>
              <w:wordWrap w:val="0"/>
              <w:spacing w:line="560" w:lineRule="exact"/>
              <w:jc w:val="center"/>
              <w:rPr>
                <w:b/>
              </w:rPr>
            </w:pPr>
            <w:r>
              <w:rPr>
                <w:b/>
              </w:rPr>
              <w:t>服务次数</w:t>
            </w:r>
          </w:p>
        </w:tc>
        <w:tc>
          <w:tcPr>
            <w:tcW w:w="2264" w:type="dxa"/>
            <w:vAlign w:val="center"/>
          </w:tcPr>
          <w:p>
            <w:pPr>
              <w:wordWrap w:val="0"/>
              <w:spacing w:line="560" w:lineRule="exact"/>
              <w:jc w:val="center"/>
              <w:rPr>
                <w:b/>
              </w:rPr>
            </w:pPr>
            <w:r>
              <w:rPr>
                <w:b/>
              </w:rPr>
              <w:t>服务价格</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564" w:hRule="atLeast"/>
        </w:trPr>
        <w:tc>
          <w:tcPr>
            <w:tcW w:w="675" w:type="dxa"/>
            <w:vAlign w:val="center"/>
          </w:tcPr>
          <w:p>
            <w:pPr>
              <w:spacing w:line="560" w:lineRule="exact"/>
              <w:jc w:val="center"/>
            </w:pPr>
            <w:r>
              <w:rPr>
                <w:rFonts w:hint="eastAsia"/>
              </w:rPr>
              <w:t>1</w:t>
            </w:r>
          </w:p>
        </w:tc>
        <w:tc>
          <w:tcPr>
            <w:tcW w:w="1134" w:type="dxa"/>
            <w:vAlign w:val="center"/>
          </w:tcPr>
          <w:p>
            <w:pPr>
              <w:widowControl/>
              <w:spacing w:line="460" w:lineRule="exact"/>
              <w:rPr>
                <w:kern w:val="0"/>
              </w:rPr>
            </w:pPr>
            <w:r>
              <w:rPr>
                <w:rFonts w:hint="eastAsia" w:ascii="宋体" w:hAnsi="宋体" w:cs="宋体"/>
                <w:sz w:val="22"/>
                <w:shd w:val="clear" w:color="auto" w:fill="FFFFFF"/>
              </w:rPr>
              <w:t>定级备案报告</w:t>
            </w:r>
          </w:p>
        </w:tc>
        <w:tc>
          <w:tcPr>
            <w:tcW w:w="4424" w:type="dxa"/>
            <w:vAlign w:val="center"/>
          </w:tcPr>
          <w:p>
            <w:pPr>
              <w:pStyle w:val="20"/>
              <w:spacing w:before="18"/>
              <w:ind w:left="220" w:right="237" w:firstLine="340"/>
              <w:rPr>
                <w:rFonts w:ascii="宋体" w:hAnsi="宋体" w:cs="宋体"/>
              </w:rPr>
            </w:pPr>
            <w:r>
              <w:rPr>
                <w:rFonts w:hint="eastAsia" w:ascii="宋体" w:hAnsi="宋体" w:cs="宋体"/>
                <w:spacing w:val="-20"/>
              </w:rPr>
              <w:t xml:space="preserve">根据 </w:t>
            </w:r>
            <w:r>
              <w:rPr>
                <w:rFonts w:hint="eastAsia" w:ascii="宋体" w:hAnsi="宋体" w:cs="宋体"/>
              </w:rPr>
              <w:t>YD/T1729-2008</w:t>
            </w:r>
            <w:r>
              <w:rPr>
                <w:rFonts w:hint="eastAsia" w:ascii="宋体" w:hAnsi="宋体" w:cs="宋体"/>
                <w:spacing w:val="-8"/>
              </w:rPr>
              <w:t xml:space="preserve"> 《电信网和互联网安全等级保护实施指南》以及 </w:t>
            </w:r>
            <w:r>
              <w:rPr>
                <w:rFonts w:hint="eastAsia" w:ascii="宋体" w:hAnsi="宋体" w:cs="宋体"/>
                <w:spacing w:val="-4"/>
              </w:rPr>
              <w:t xml:space="preserve">YD/T </w:t>
            </w:r>
            <w:r>
              <w:rPr>
                <w:rFonts w:hint="eastAsia" w:ascii="宋体" w:hAnsi="宋体" w:cs="宋体"/>
              </w:rPr>
              <w:t>3799-2020</w:t>
            </w:r>
            <w:r>
              <w:rPr>
                <w:rFonts w:hint="eastAsia" w:ascii="宋体" w:hAnsi="宋体" w:cs="宋体"/>
                <w:spacing w:val="-10"/>
              </w:rPr>
              <w:t xml:space="preserve"> 《电信网和互联网网络安全防护定级备案实施指南》定级指标赋值原则，确定定级对象安全等级应根据社会影响力、规模和服务范围、所提供服务的</w:t>
            </w:r>
            <w:r>
              <w:rPr>
                <w:rFonts w:hint="eastAsia" w:ascii="宋体" w:hAnsi="宋体" w:cs="宋体"/>
                <w:spacing w:val="-7"/>
              </w:rPr>
              <w:t>重要性三个相互独立的定级要素，结合业务系统特点，并通过安全等级计算方法</w:t>
            </w:r>
            <w:r>
              <w:rPr>
                <w:rFonts w:hint="eastAsia" w:ascii="宋体" w:hAnsi="宋体" w:cs="宋体"/>
              </w:rPr>
              <w:t>计算得出安全等级。</w:t>
            </w:r>
          </w:p>
        </w:tc>
        <w:tc>
          <w:tcPr>
            <w:tcW w:w="1376" w:type="dxa"/>
            <w:vAlign w:val="center"/>
          </w:tcPr>
          <w:p>
            <w:pPr>
              <w:wordWrap w:val="0"/>
              <w:spacing w:line="560" w:lineRule="exact"/>
              <w:jc w:val="center"/>
            </w:pPr>
            <w:r>
              <w:rPr>
                <w:rFonts w:hint="eastAsia"/>
              </w:rPr>
              <w:t>一</w:t>
            </w:r>
            <w:r>
              <w:t>次</w:t>
            </w:r>
          </w:p>
        </w:tc>
        <w:tc>
          <w:tcPr>
            <w:tcW w:w="2264" w:type="dxa"/>
            <w:vMerge w:val="restart"/>
            <w:vAlign w:val="center"/>
          </w:tcPr>
          <w:p>
            <w:pPr>
              <w:wordWrap w:val="0"/>
              <w:spacing w:line="560" w:lineRule="exact"/>
              <w:jc w:val="center"/>
            </w:pPr>
            <w:r>
              <w:t>RMB:</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523" w:hRule="atLeast"/>
        </w:trPr>
        <w:tc>
          <w:tcPr>
            <w:tcW w:w="675" w:type="dxa"/>
            <w:vAlign w:val="center"/>
          </w:tcPr>
          <w:p>
            <w:pPr>
              <w:spacing w:line="560" w:lineRule="exact"/>
              <w:jc w:val="center"/>
            </w:pPr>
            <w:r>
              <w:rPr>
                <w:rFonts w:hint="eastAsia"/>
              </w:rPr>
              <w:t>2</w:t>
            </w:r>
          </w:p>
        </w:tc>
        <w:tc>
          <w:tcPr>
            <w:tcW w:w="1134" w:type="dxa"/>
            <w:vAlign w:val="center"/>
          </w:tcPr>
          <w:p>
            <w:pPr>
              <w:widowControl/>
              <w:spacing w:line="460" w:lineRule="exact"/>
              <w:rPr>
                <w:rFonts w:ascii="宋体" w:hAnsi="宋体" w:cs="宋体"/>
                <w:b/>
                <w:bCs/>
              </w:rPr>
            </w:pPr>
            <w:r>
              <w:rPr>
                <w:rFonts w:hint="eastAsia" w:ascii="宋体" w:hAnsi="宋体" w:cs="宋体"/>
                <w:sz w:val="22"/>
                <w:shd w:val="clear" w:color="auto" w:fill="FFFFFF"/>
              </w:rPr>
              <w:t>符合性测评报告</w:t>
            </w:r>
          </w:p>
        </w:tc>
        <w:tc>
          <w:tcPr>
            <w:tcW w:w="4424" w:type="dxa"/>
            <w:vAlign w:val="center"/>
          </w:tcPr>
          <w:p>
            <w:pPr>
              <w:pStyle w:val="20"/>
              <w:spacing w:before="18"/>
              <w:ind w:left="0" w:right="237" w:firstLine="0"/>
              <w:rPr>
                <w:rFonts w:ascii="宋体" w:hAnsi="宋体" w:cs="宋体"/>
                <w:spacing w:val="-20"/>
              </w:rPr>
            </w:pPr>
            <w:r>
              <w:rPr>
                <w:rFonts w:hint="eastAsia" w:ascii="宋体" w:hAnsi="宋体" w:cs="宋体"/>
                <w:spacing w:val="-11"/>
              </w:rPr>
              <w:t>网络安全符合性测试，符合性测试通过将信息技术服务和信息安全管理现状</w:t>
            </w:r>
            <w:r>
              <w:rPr>
                <w:rFonts w:hint="eastAsia" w:ascii="宋体" w:hAnsi="宋体" w:cs="宋体"/>
              </w:rPr>
              <w:t>与电信网和互联网网络安全防护相关标准进行比较，找出二者之间的差距，明确</w:t>
            </w:r>
            <w:r>
              <w:rPr>
                <w:rFonts w:hint="eastAsia" w:ascii="宋体" w:hAnsi="宋体" w:cs="宋体"/>
                <w:spacing w:val="-8"/>
              </w:rPr>
              <w:t>当前最突出和亟待改进的问题，并摸索和建立一套针对通信网络单元业务特点和系统运行状况的符合性测试方法，将为日后信息技术服务和信息安全管理体系建</w:t>
            </w:r>
            <w:r>
              <w:rPr>
                <w:rFonts w:hint="eastAsia" w:ascii="宋体" w:hAnsi="宋体" w:cs="宋体"/>
              </w:rPr>
              <w:t>设能够顺利进行而打下良好基础。</w:t>
            </w:r>
          </w:p>
        </w:tc>
        <w:tc>
          <w:tcPr>
            <w:tcW w:w="1376" w:type="dxa"/>
            <w:vAlign w:val="center"/>
          </w:tcPr>
          <w:p>
            <w:pPr>
              <w:wordWrap w:val="0"/>
              <w:spacing w:line="560" w:lineRule="exact"/>
              <w:jc w:val="center"/>
            </w:pPr>
            <w:r>
              <w:rPr>
                <w:rFonts w:hint="eastAsia"/>
              </w:rPr>
              <w:t>一</w:t>
            </w:r>
            <w:r>
              <w:t>次</w:t>
            </w:r>
          </w:p>
        </w:tc>
        <w:tc>
          <w:tcPr>
            <w:tcW w:w="2264" w:type="dxa"/>
            <w:vMerge w:val="continue"/>
            <w:vAlign w:val="center"/>
          </w:tcPr>
          <w:p>
            <w:pPr>
              <w:wordWrap w:val="0"/>
              <w:spacing w:line="560" w:lineRule="exact"/>
              <w:jc w:val="cente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2564" w:hRule="atLeast"/>
        </w:trPr>
        <w:tc>
          <w:tcPr>
            <w:tcW w:w="675" w:type="dxa"/>
            <w:vAlign w:val="center"/>
          </w:tcPr>
          <w:p>
            <w:pPr>
              <w:spacing w:line="560" w:lineRule="exact"/>
              <w:jc w:val="center"/>
            </w:pPr>
            <w:r>
              <w:rPr>
                <w:rFonts w:hint="eastAsia"/>
              </w:rPr>
              <w:t>3</w:t>
            </w:r>
          </w:p>
        </w:tc>
        <w:tc>
          <w:tcPr>
            <w:tcW w:w="1134" w:type="dxa"/>
            <w:vAlign w:val="center"/>
          </w:tcPr>
          <w:p>
            <w:pPr>
              <w:pStyle w:val="20"/>
              <w:rPr>
                <w:rFonts w:ascii="宋体" w:hAnsi="宋体" w:cs="宋体"/>
                <w:spacing w:val="-8"/>
              </w:rPr>
            </w:pPr>
            <w:bookmarkStart w:id="227" w:name="_Toc10974"/>
            <w:r>
              <w:rPr>
                <w:rFonts w:hint="eastAsia" w:ascii="宋体" w:hAnsi="宋体" w:cs="宋体"/>
                <w:spacing w:val="-8"/>
              </w:rPr>
              <w:t>风险评估报告</w:t>
            </w:r>
            <w:bookmarkEnd w:id="227"/>
          </w:p>
          <w:p>
            <w:pPr>
              <w:pStyle w:val="20"/>
              <w:ind w:firstLine="388" w:firstLineChars="200"/>
              <w:rPr>
                <w:rFonts w:ascii="宋体" w:hAnsi="宋体" w:cs="宋体"/>
                <w:spacing w:val="-8"/>
              </w:rPr>
            </w:pPr>
          </w:p>
        </w:tc>
        <w:tc>
          <w:tcPr>
            <w:tcW w:w="4424" w:type="dxa"/>
            <w:vAlign w:val="center"/>
          </w:tcPr>
          <w:p>
            <w:pPr>
              <w:pStyle w:val="20"/>
              <w:ind w:firstLine="0" w:firstLineChars="0"/>
              <w:rPr>
                <w:rFonts w:ascii="宋体" w:hAnsi="宋体" w:cs="宋体"/>
                <w:spacing w:val="-11"/>
              </w:rPr>
            </w:pPr>
            <w:r>
              <w:rPr>
                <w:rFonts w:hint="eastAsia" w:ascii="宋体" w:hAnsi="宋体" w:cs="宋体"/>
                <w:spacing w:val="-4"/>
              </w:rPr>
              <w:t>网络安全风险评估，风险评估通过将信息技术服务和信息安全管理现状与国际标准和业界最佳实践和企业标准进行比较，找出二者之间的差距，明确当前最突出和亟待改进的问题，并摸索和建立一套针对通信网络单元业务特点和信息系统运行状况的风险评估方法，将为日后信息技术服务和信息安全管理体系建设能够顺利进行而提供必要保障。</w:t>
            </w:r>
          </w:p>
        </w:tc>
        <w:tc>
          <w:tcPr>
            <w:tcW w:w="1376" w:type="dxa"/>
            <w:vAlign w:val="center"/>
          </w:tcPr>
          <w:p>
            <w:pPr>
              <w:wordWrap w:val="0"/>
              <w:spacing w:line="560" w:lineRule="exact"/>
              <w:jc w:val="center"/>
            </w:pPr>
            <w:r>
              <w:rPr>
                <w:rFonts w:hint="eastAsia"/>
              </w:rPr>
              <w:t>一</w:t>
            </w:r>
            <w:r>
              <w:t>次</w:t>
            </w:r>
          </w:p>
        </w:tc>
        <w:tc>
          <w:tcPr>
            <w:tcW w:w="2264" w:type="dxa"/>
            <w:vMerge w:val="continue"/>
            <w:vAlign w:val="center"/>
          </w:tcPr>
          <w:p>
            <w:pPr>
              <w:wordWrap w:val="0"/>
              <w:spacing w:line="560" w:lineRule="exact"/>
              <w:jc w:val="center"/>
            </w:pP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387" w:hRule="atLeast"/>
        </w:trPr>
        <w:tc>
          <w:tcPr>
            <w:tcW w:w="9873" w:type="dxa"/>
            <w:gridSpan w:val="5"/>
            <w:vAlign w:val="center"/>
          </w:tcPr>
          <w:p>
            <w:pPr>
              <w:spacing w:line="560" w:lineRule="exact"/>
              <w:jc w:val="right"/>
            </w:pPr>
            <w:r>
              <w:rPr>
                <w:b/>
              </w:rPr>
              <w:t>价格</w:t>
            </w:r>
            <w:r>
              <w:rPr>
                <w:rFonts w:hint="eastAsia"/>
                <w:b/>
              </w:rPr>
              <w:t>总计</w:t>
            </w:r>
            <w:r>
              <w:rPr>
                <w:b/>
              </w:rPr>
              <w:t>：RMB：</w:t>
            </w:r>
            <w:r>
              <w:rPr>
                <w:rFonts w:hint="eastAsia"/>
                <w:b/>
              </w:rPr>
              <w:t>XX</w:t>
            </w:r>
            <w:r>
              <w:rPr>
                <w:b/>
              </w:rPr>
              <w:t>元整（人民币：</w:t>
            </w:r>
            <w:r>
              <w:rPr>
                <w:rFonts w:hint="eastAsia"/>
                <w:b/>
              </w:rPr>
              <w:t>XX</w:t>
            </w:r>
            <w:r>
              <w:rPr>
                <w:b/>
              </w:rPr>
              <w:t>元整）</w:t>
            </w:r>
          </w:p>
        </w:tc>
      </w:tr>
    </w:tbl>
    <w:p>
      <w:pPr>
        <w:tabs>
          <w:tab w:val="left" w:pos="360"/>
          <w:tab w:val="left" w:pos="420"/>
          <w:tab w:val="left" w:pos="1350"/>
        </w:tabs>
        <w:spacing w:line="560" w:lineRule="exact"/>
        <w:rPr>
          <w:rFonts w:ascii="宋体" w:hAnsi="宋体" w:cs="宋体"/>
          <w:sz w:val="24"/>
        </w:rPr>
      </w:pPr>
    </w:p>
    <w:p>
      <w:pPr>
        <w:numPr>
          <w:ilvl w:val="0"/>
          <w:numId w:val="58"/>
        </w:numPr>
        <w:tabs>
          <w:tab w:val="left" w:pos="360"/>
          <w:tab w:val="left" w:pos="420"/>
          <w:tab w:val="left" w:pos="1350"/>
        </w:tabs>
        <w:spacing w:line="560" w:lineRule="exact"/>
        <w:rPr>
          <w:rFonts w:ascii="宋体" w:hAnsi="宋体" w:cs="宋体"/>
          <w:sz w:val="24"/>
        </w:rPr>
      </w:pPr>
      <w:r>
        <w:rPr>
          <w:rFonts w:hint="eastAsia" w:ascii="宋体" w:hAnsi="宋体" w:cs="宋体"/>
          <w:sz w:val="24"/>
        </w:rPr>
        <w:t>乙方依据YD/T1729-2008 《电信网和互联网安全等级保护实施指南》以及 YD/T 3799-2020 《电信网和互联网网络安全防护定级备案实施指南》及现行有效的对应系统等级级别的标准对甲方的互联网接入服务系统、互联网数据中心系统对象进行测评，并交付对应的（定级备案报告）、（符合性测评报告）、（安全风险测评报告），共计6份。</w:t>
      </w:r>
    </w:p>
    <w:p>
      <w:pPr>
        <w:numPr>
          <w:ilvl w:val="0"/>
          <w:numId w:val="58"/>
        </w:numPr>
        <w:tabs>
          <w:tab w:val="left" w:pos="360"/>
          <w:tab w:val="left" w:pos="420"/>
          <w:tab w:val="left" w:pos="1350"/>
        </w:tabs>
        <w:spacing w:line="560" w:lineRule="exact"/>
        <w:jc w:val="left"/>
        <w:rPr>
          <w:rFonts w:ascii="宋体" w:hAnsi="宋体" w:cs="宋体"/>
          <w:sz w:val="24"/>
        </w:rPr>
      </w:pPr>
      <w:r>
        <w:rPr>
          <w:rFonts w:hint="eastAsia" w:ascii="宋体" w:hAnsi="宋体" w:cs="宋体"/>
          <w:sz w:val="24"/>
        </w:rPr>
        <w:t>全面协助用户针对《不符合项汇总以及整改建议列表》进行技术方面和管理方面的整改，确保《（定级备案报告、符合性测评报告、安全风险测评报告）》最终能到达”通过的结论，并提交至通信网络安全防护管理系统的所有流程。</w:t>
      </w:r>
    </w:p>
    <w:p>
      <w:pPr>
        <w:tabs>
          <w:tab w:val="left" w:pos="360"/>
          <w:tab w:val="left" w:pos="420"/>
          <w:tab w:val="left" w:pos="1350"/>
        </w:tabs>
        <w:spacing w:line="560" w:lineRule="exact"/>
        <w:jc w:val="left"/>
        <w:rPr>
          <w:rFonts w:ascii="宋体" w:hAnsi="宋体" w:cs="宋体"/>
          <w:sz w:val="24"/>
        </w:rPr>
      </w:pPr>
      <w:r>
        <w:rPr>
          <w:rFonts w:hint="eastAsia" w:ascii="宋体" w:hAnsi="宋体" w:cs="宋体"/>
          <w:sz w:val="24"/>
        </w:rPr>
        <w:t>4、项目完成时限：合同签订之日起15个日历天内完成相关工作。</w:t>
      </w:r>
    </w:p>
    <w:p>
      <w:pPr>
        <w:tabs>
          <w:tab w:val="left" w:pos="360"/>
          <w:tab w:val="left" w:pos="420"/>
          <w:tab w:val="left" w:pos="1350"/>
        </w:tabs>
        <w:spacing w:line="560" w:lineRule="exact"/>
        <w:jc w:val="left"/>
        <w:rPr>
          <w:rFonts w:ascii="宋体" w:hAnsi="宋体" w:cs="宋体"/>
          <w:sz w:val="24"/>
        </w:rPr>
      </w:pPr>
      <w:r>
        <w:rPr>
          <w:rFonts w:hint="eastAsia" w:ascii="宋体" w:hAnsi="宋体" w:cs="宋体"/>
          <w:sz w:val="24"/>
        </w:rPr>
        <w:t>5、合同服务有效期为合同签订之日起至2022年12月31日。</w:t>
      </w:r>
    </w:p>
    <w:p>
      <w:pPr>
        <w:tabs>
          <w:tab w:val="left" w:pos="360"/>
          <w:tab w:val="left" w:pos="420"/>
          <w:tab w:val="left" w:pos="1350"/>
        </w:tabs>
        <w:spacing w:line="560" w:lineRule="exact"/>
        <w:rPr>
          <w:rFonts w:ascii="宋体" w:hAnsi="宋体" w:cs="宋体"/>
          <w:sz w:val="24"/>
        </w:rPr>
      </w:pPr>
    </w:p>
    <w:p>
      <w:pPr>
        <w:pStyle w:val="5"/>
        <w:spacing w:before="156" w:beforeLines="50" w:after="0" w:line="560" w:lineRule="exact"/>
        <w:rPr>
          <w:rFonts w:ascii="宋体" w:hAnsi="宋体" w:cs="宋体"/>
          <w:sz w:val="24"/>
          <w:szCs w:val="24"/>
        </w:rPr>
      </w:pPr>
      <w:bookmarkStart w:id="228" w:name="_Toc20939"/>
      <w:r>
        <w:rPr>
          <w:rFonts w:hint="eastAsia" w:ascii="宋体" w:hAnsi="宋体" w:cs="宋体"/>
          <w:sz w:val="24"/>
          <w:szCs w:val="24"/>
        </w:rPr>
        <w:t>第二条合同金额及支付方式</w:t>
      </w:r>
      <w:bookmarkEnd w:id="228"/>
    </w:p>
    <w:p>
      <w:pPr>
        <w:spacing w:line="560" w:lineRule="exact"/>
        <w:rPr>
          <w:rFonts w:ascii="宋体" w:hAnsi="宋体" w:cs="宋体"/>
          <w:sz w:val="24"/>
        </w:rPr>
      </w:pPr>
      <w:r>
        <w:rPr>
          <w:rFonts w:hint="eastAsia" w:ascii="宋体" w:hAnsi="宋体" w:cs="宋体"/>
          <w:sz w:val="24"/>
        </w:rPr>
        <w:t>1、本合同金额共计</w:t>
      </w:r>
      <w:r>
        <w:rPr>
          <w:rFonts w:hint="eastAsia" w:ascii="宋体" w:hAnsi="宋体" w:cs="宋体"/>
          <w:sz w:val="24"/>
          <w:u w:val="single"/>
        </w:rPr>
        <w:t>￥XX,000.00（大写：人民币XX圆整）(</w:t>
      </w:r>
      <w:r>
        <w:rPr>
          <w:rFonts w:hint="eastAsia" w:ascii="宋体" w:hAnsi="宋体" w:cs="宋体"/>
          <w:sz w:val="24"/>
        </w:rPr>
        <w:t>含6%税)，为甲方向乙方支付的服务费。</w:t>
      </w:r>
    </w:p>
    <w:p>
      <w:pPr>
        <w:spacing w:line="560" w:lineRule="exact"/>
        <w:rPr>
          <w:rFonts w:ascii="宋体" w:hAnsi="宋体" w:cs="宋体"/>
          <w:sz w:val="24"/>
        </w:rPr>
      </w:pPr>
      <w:r>
        <w:rPr>
          <w:rFonts w:hint="eastAsia" w:ascii="宋体" w:hAnsi="宋体" w:cs="宋体"/>
          <w:sz w:val="24"/>
        </w:rPr>
        <w:t>2、支付方式：</w:t>
      </w:r>
    </w:p>
    <w:p>
      <w:pPr>
        <w:tabs>
          <w:tab w:val="left" w:pos="360"/>
        </w:tabs>
        <w:spacing w:line="560" w:lineRule="exact"/>
        <w:rPr>
          <w:rFonts w:ascii="宋体" w:hAnsi="宋体" w:cs="宋体"/>
          <w:sz w:val="24"/>
          <w:u w:val="single"/>
        </w:rPr>
      </w:pPr>
      <w:r>
        <w:rPr>
          <w:rFonts w:hint="eastAsia" w:ascii="宋体" w:hAnsi="宋体" w:cs="宋体"/>
          <w:sz w:val="24"/>
        </w:rPr>
        <w:t>（1）合同签订后十个工作日内，甲方以银行转账的方式向乙方支付合同金额的30%的首款，即</w:t>
      </w:r>
      <w:r>
        <w:rPr>
          <w:rFonts w:hint="eastAsia" w:ascii="宋体" w:hAnsi="宋体" w:cs="宋体"/>
          <w:sz w:val="24"/>
          <w:u w:val="single"/>
        </w:rPr>
        <w:t>￥XX,000.00（大写：人民币XX圆整）</w:t>
      </w:r>
      <w:r>
        <w:rPr>
          <w:rFonts w:hint="eastAsia" w:ascii="宋体" w:hAnsi="宋体" w:cs="宋体"/>
          <w:sz w:val="24"/>
        </w:rPr>
        <w:t>；</w:t>
      </w:r>
    </w:p>
    <w:p>
      <w:pPr>
        <w:tabs>
          <w:tab w:val="left" w:pos="360"/>
        </w:tabs>
        <w:spacing w:line="560" w:lineRule="exact"/>
        <w:rPr>
          <w:rFonts w:ascii="宋体" w:hAnsi="宋体" w:cs="宋体"/>
          <w:sz w:val="24"/>
        </w:rPr>
      </w:pPr>
      <w:r>
        <w:rPr>
          <w:rFonts w:hint="eastAsia" w:ascii="宋体" w:hAnsi="宋体" w:cs="宋体"/>
          <w:sz w:val="24"/>
        </w:rPr>
        <w:t>（2）在乙方出具所有报告，并取得通信网络安全防护管理系统（https://www.mii-aqfh.cn）里面显示定级备案通过的结论，及提供相应金额的增值税专用发票后十个工作日内，甲方以银行转账的方式向乙方支付合同总额的70%，即</w:t>
      </w:r>
      <w:r>
        <w:rPr>
          <w:rFonts w:hint="eastAsia" w:ascii="宋体" w:hAnsi="宋体" w:cs="宋体"/>
          <w:sz w:val="24"/>
          <w:u w:val="single"/>
        </w:rPr>
        <w:t>￥XX,000.00（大写：人民币XX圆整）</w:t>
      </w:r>
      <w:r>
        <w:rPr>
          <w:rFonts w:hint="eastAsia" w:ascii="宋体" w:hAnsi="宋体" w:cs="宋体"/>
          <w:sz w:val="24"/>
        </w:rPr>
        <w:t>；</w:t>
      </w:r>
    </w:p>
    <w:p>
      <w:pPr>
        <w:tabs>
          <w:tab w:val="left" w:pos="360"/>
          <w:tab w:val="left" w:pos="420"/>
          <w:tab w:val="left" w:pos="1350"/>
        </w:tabs>
        <w:spacing w:line="560" w:lineRule="exact"/>
        <w:rPr>
          <w:rFonts w:ascii="宋体" w:hAnsi="宋体" w:cs="宋体"/>
          <w:bCs/>
          <w:sz w:val="24"/>
        </w:rPr>
      </w:pPr>
      <w:r>
        <w:rPr>
          <w:rFonts w:hint="eastAsia" w:ascii="宋体" w:hAnsi="宋体" w:cs="宋体"/>
          <w:bCs/>
          <w:sz w:val="24"/>
        </w:rPr>
        <w:t>3、银行账号信息和纳税人信息：</w:t>
      </w:r>
    </w:p>
    <w:p>
      <w:pPr>
        <w:tabs>
          <w:tab w:val="left" w:pos="360"/>
        </w:tabs>
        <w:spacing w:line="560" w:lineRule="exact"/>
        <w:rPr>
          <w:rFonts w:ascii="宋体" w:hAnsi="宋体" w:cs="宋体"/>
          <w:sz w:val="24"/>
        </w:rPr>
      </w:pPr>
      <w:r>
        <w:rPr>
          <w:rFonts w:hint="eastAsia" w:ascii="宋体" w:hAnsi="宋体" w:cs="宋体"/>
          <w:sz w:val="24"/>
        </w:rPr>
        <w:t>（1）甲方信息如下：</w:t>
      </w:r>
    </w:p>
    <w:p>
      <w:pPr>
        <w:tabs>
          <w:tab w:val="left" w:pos="360"/>
        </w:tabs>
        <w:spacing w:line="560" w:lineRule="exact"/>
        <w:rPr>
          <w:rFonts w:ascii="宋体" w:hAnsi="宋体" w:cs="宋体"/>
          <w:sz w:val="24"/>
        </w:rPr>
      </w:pPr>
      <w:r>
        <w:rPr>
          <w:rFonts w:hint="eastAsia" w:ascii="宋体" w:hAnsi="宋体" w:cs="宋体"/>
          <w:sz w:val="24"/>
        </w:rPr>
        <w:t>公司名称：</w:t>
      </w:r>
      <w:r>
        <w:rPr>
          <w:rFonts w:hint="eastAsia" w:ascii="宋体" w:hAnsi="宋体" w:cs="宋体"/>
          <w:sz w:val="24"/>
          <w:u w:val="single"/>
        </w:rPr>
        <w:t>东莞市数据互联有限公司</w:t>
      </w:r>
    </w:p>
    <w:p>
      <w:pPr>
        <w:tabs>
          <w:tab w:val="left" w:pos="360"/>
        </w:tabs>
        <w:spacing w:line="560" w:lineRule="exact"/>
        <w:rPr>
          <w:rFonts w:ascii="宋体" w:hAnsi="宋体" w:cs="宋体"/>
          <w:sz w:val="24"/>
          <w:u w:val="single"/>
        </w:rPr>
      </w:pPr>
      <w:r>
        <w:rPr>
          <w:rFonts w:hint="eastAsia" w:ascii="宋体" w:hAnsi="宋体" w:cs="宋体"/>
          <w:sz w:val="24"/>
        </w:rPr>
        <w:t>公司地址：</w:t>
      </w:r>
    </w:p>
    <w:p>
      <w:pPr>
        <w:tabs>
          <w:tab w:val="left" w:pos="360"/>
        </w:tabs>
        <w:spacing w:line="560" w:lineRule="exact"/>
        <w:rPr>
          <w:rFonts w:ascii="宋体" w:hAnsi="宋体" w:cs="宋体"/>
          <w:sz w:val="24"/>
        </w:rPr>
      </w:pPr>
      <w:r>
        <w:rPr>
          <w:rFonts w:hint="eastAsia" w:ascii="宋体" w:hAnsi="宋体" w:cs="宋体"/>
          <w:sz w:val="24"/>
        </w:rPr>
        <w:t>公司电话：</w:t>
      </w:r>
      <w:r>
        <w:rPr>
          <w:rFonts w:hint="eastAsia" w:ascii="宋体" w:hAnsi="宋体" w:cs="宋体"/>
          <w:sz w:val="24"/>
          <w:u w:val="single"/>
        </w:rPr>
        <w:br w:type="textWrapping"/>
      </w:r>
      <w:r>
        <w:rPr>
          <w:rFonts w:hint="eastAsia" w:ascii="宋体" w:hAnsi="宋体" w:cs="宋体"/>
          <w:sz w:val="24"/>
        </w:rPr>
        <w:t>统一社会信用代码：</w:t>
      </w:r>
    </w:p>
    <w:p>
      <w:pPr>
        <w:tabs>
          <w:tab w:val="left" w:pos="360"/>
        </w:tabs>
        <w:spacing w:line="560" w:lineRule="exact"/>
        <w:rPr>
          <w:rFonts w:ascii="宋体" w:hAnsi="宋体" w:cs="宋体"/>
          <w:sz w:val="24"/>
        </w:rPr>
      </w:pPr>
      <w:r>
        <w:rPr>
          <w:rFonts w:hint="eastAsia" w:ascii="宋体" w:hAnsi="宋体" w:cs="宋体"/>
          <w:sz w:val="24"/>
        </w:rPr>
        <w:t>（2）乙方信息如下：</w:t>
      </w:r>
    </w:p>
    <w:p>
      <w:pPr>
        <w:tabs>
          <w:tab w:val="left" w:pos="360"/>
        </w:tabs>
        <w:spacing w:line="560" w:lineRule="exact"/>
        <w:rPr>
          <w:rFonts w:ascii="宋体" w:hAnsi="宋体" w:cs="宋体"/>
          <w:sz w:val="24"/>
        </w:rPr>
      </w:pPr>
      <w:r>
        <w:rPr>
          <w:rFonts w:hint="eastAsia" w:ascii="宋体" w:hAnsi="宋体" w:cs="宋体"/>
          <w:sz w:val="24"/>
        </w:rPr>
        <w:t>公司名称：</w:t>
      </w:r>
    </w:p>
    <w:p>
      <w:pPr>
        <w:tabs>
          <w:tab w:val="left" w:pos="360"/>
        </w:tabs>
        <w:spacing w:line="560" w:lineRule="exact"/>
        <w:rPr>
          <w:rFonts w:ascii="宋体" w:hAnsi="宋体" w:cs="宋体"/>
          <w:sz w:val="24"/>
          <w:u w:val="single"/>
        </w:rPr>
      </w:pPr>
      <w:r>
        <w:rPr>
          <w:rFonts w:hint="eastAsia" w:ascii="宋体" w:hAnsi="宋体" w:cs="宋体"/>
          <w:sz w:val="24"/>
        </w:rPr>
        <w:t>公司地址：</w:t>
      </w:r>
    </w:p>
    <w:p>
      <w:pPr>
        <w:tabs>
          <w:tab w:val="left" w:pos="360"/>
        </w:tabs>
        <w:spacing w:line="560" w:lineRule="exact"/>
        <w:rPr>
          <w:rFonts w:ascii="宋体" w:hAnsi="宋体" w:cs="宋体"/>
          <w:sz w:val="24"/>
        </w:rPr>
      </w:pPr>
      <w:r>
        <w:rPr>
          <w:rFonts w:hint="eastAsia" w:ascii="宋体" w:hAnsi="宋体" w:cs="宋体"/>
          <w:sz w:val="24"/>
        </w:rPr>
        <w:t>公司电话：</w:t>
      </w:r>
      <w:r>
        <w:rPr>
          <w:rFonts w:hint="eastAsia" w:ascii="宋体" w:hAnsi="宋体" w:cs="宋体"/>
          <w:sz w:val="24"/>
          <w:u w:val="single"/>
        </w:rPr>
        <w:br w:type="textWrapping"/>
      </w:r>
      <w:r>
        <w:rPr>
          <w:rFonts w:hint="eastAsia" w:ascii="宋体" w:hAnsi="宋体" w:cs="宋体"/>
          <w:sz w:val="24"/>
        </w:rPr>
        <w:t>统一社会信用代码：</w:t>
      </w:r>
      <w:r>
        <w:rPr>
          <w:rFonts w:hint="eastAsia" w:ascii="宋体" w:hAnsi="宋体" w:cs="宋体"/>
          <w:sz w:val="24"/>
          <w:u w:val="single"/>
        </w:rPr>
        <w:br w:type="textWrapping"/>
      </w:r>
      <w:r>
        <w:rPr>
          <w:rFonts w:hint="eastAsia" w:ascii="宋体" w:hAnsi="宋体" w:cs="宋体"/>
          <w:sz w:val="24"/>
        </w:rPr>
        <w:t>开户行名称：</w:t>
      </w:r>
    </w:p>
    <w:p>
      <w:pPr>
        <w:tabs>
          <w:tab w:val="left" w:pos="360"/>
        </w:tabs>
        <w:spacing w:line="560" w:lineRule="exact"/>
        <w:rPr>
          <w:rFonts w:ascii="宋体" w:hAnsi="宋体" w:cs="宋体"/>
          <w:sz w:val="24"/>
          <w:u w:val="single"/>
        </w:rPr>
      </w:pPr>
      <w:r>
        <w:rPr>
          <w:rFonts w:hint="eastAsia" w:ascii="宋体" w:hAnsi="宋体" w:cs="宋体"/>
          <w:sz w:val="24"/>
        </w:rPr>
        <w:t>银行账号：</w:t>
      </w:r>
    </w:p>
    <w:p>
      <w:pPr>
        <w:tabs>
          <w:tab w:val="left" w:pos="360"/>
        </w:tabs>
        <w:spacing w:before="156" w:beforeLines="50" w:line="560" w:lineRule="exact"/>
        <w:rPr>
          <w:rFonts w:ascii="宋体" w:hAnsi="宋体" w:cs="宋体"/>
          <w:b/>
          <w:sz w:val="24"/>
        </w:rPr>
      </w:pPr>
      <w:r>
        <w:rPr>
          <w:rFonts w:hint="eastAsia" w:ascii="宋体" w:hAnsi="宋体" w:cs="宋体"/>
          <w:b/>
          <w:sz w:val="24"/>
        </w:rPr>
        <w:t>第三条甲方的权利和义务</w:t>
      </w:r>
    </w:p>
    <w:p>
      <w:pPr>
        <w:spacing w:line="560" w:lineRule="exact"/>
        <w:rPr>
          <w:rFonts w:ascii="宋体" w:hAnsi="宋体" w:cs="宋体"/>
          <w:sz w:val="24"/>
        </w:rPr>
      </w:pPr>
      <w:r>
        <w:rPr>
          <w:rFonts w:hint="eastAsia" w:ascii="宋体" w:hAnsi="宋体" w:cs="宋体"/>
          <w:sz w:val="24"/>
        </w:rPr>
        <w:t>1、本合同履行过程中，甲方应本着合法、合规、合理的原则向乙方提出明确的工作要求和建议，并在</w:t>
      </w:r>
      <w:r>
        <w:rPr>
          <w:rFonts w:hint="eastAsia" w:ascii="宋体" w:hAnsi="宋体" w:cs="宋体"/>
          <w:bCs/>
          <w:sz w:val="24"/>
        </w:rPr>
        <w:t>乙方进场实施前向其告知相关的安全管理制度要求</w:t>
      </w:r>
      <w:r>
        <w:rPr>
          <w:rFonts w:hint="eastAsia" w:ascii="宋体" w:hAnsi="宋体" w:cs="宋体"/>
          <w:sz w:val="24"/>
        </w:rPr>
        <w:t>。如乙方履行本合同的人员违反本合同或违反甲方有关规定的，甲方有权要求乙方更换人员。</w:t>
      </w:r>
    </w:p>
    <w:p>
      <w:pPr>
        <w:spacing w:line="560" w:lineRule="exact"/>
        <w:rPr>
          <w:rFonts w:ascii="宋体" w:hAnsi="宋体" w:cs="宋体"/>
          <w:sz w:val="24"/>
        </w:rPr>
      </w:pPr>
      <w:r>
        <w:rPr>
          <w:rFonts w:hint="eastAsia" w:ascii="宋体" w:hAnsi="宋体" w:cs="宋体"/>
          <w:sz w:val="24"/>
        </w:rPr>
        <w:t>2、甲方应积极协助、配合乙方的工作，提供满足乙方履行本合同测评服务的工作环境和条件，包括但不限于测评对象的技术及制度资料、对网络安全设置所需的技术资料、测试服务所需的良好的安装场地、通信条件、人员配合等。如甲方无法提供测评环境、条件或其他配合工作导致测评无法如期开展的，不视为乙方逾期。</w:t>
      </w:r>
    </w:p>
    <w:p>
      <w:pPr>
        <w:spacing w:line="560" w:lineRule="exact"/>
        <w:rPr>
          <w:sz w:val="24"/>
        </w:rPr>
      </w:pPr>
      <w:r>
        <w:rPr>
          <w:rFonts w:hint="eastAsia" w:ascii="宋体" w:hAnsi="宋体" w:cs="宋体"/>
          <w:sz w:val="24"/>
        </w:rPr>
        <w:t>3、甲方保证提供给乙方用于本次测评服务的日志、制度、</w:t>
      </w:r>
      <w:r>
        <w:rPr>
          <w:rFonts w:hint="eastAsia" w:ascii="宋体" w:hAnsi="宋体" w:cs="宋体"/>
          <w:kern w:val="0"/>
          <w:sz w:val="24"/>
        </w:rPr>
        <w:t>文件、资料等所有材料真实、合法、有效。</w:t>
      </w:r>
    </w:p>
    <w:p>
      <w:pPr>
        <w:widowControl/>
        <w:spacing w:line="560" w:lineRule="exact"/>
        <w:jc w:val="left"/>
        <w:rPr>
          <w:rFonts w:ascii="宋体" w:hAnsi="宋体" w:cs="宋体"/>
          <w:sz w:val="24"/>
        </w:rPr>
      </w:pPr>
      <w:r>
        <w:rPr>
          <w:rFonts w:hint="eastAsia" w:ascii="宋体" w:hAnsi="宋体" w:cs="宋体"/>
          <w:sz w:val="24"/>
        </w:rPr>
        <w:t>4、如测评对象</w:t>
      </w:r>
      <w:r>
        <w:rPr>
          <w:rFonts w:hint="eastAsia" w:ascii="宋体" w:hAnsi="宋体" w:cs="宋体"/>
          <w:bCs/>
          <w:sz w:val="24"/>
        </w:rPr>
        <w:t>信息系统涉及个人信息，甲方承诺其个人信息全生命周期（采集、存储、传输、使用、对外披露等）的处理应符合法律法规的相关要求。</w:t>
      </w:r>
    </w:p>
    <w:p>
      <w:pPr>
        <w:tabs>
          <w:tab w:val="left" w:pos="360"/>
        </w:tabs>
        <w:spacing w:before="156" w:beforeLines="50" w:line="560" w:lineRule="exact"/>
        <w:rPr>
          <w:rFonts w:ascii="宋体" w:hAnsi="宋体" w:cs="宋体"/>
          <w:b/>
          <w:sz w:val="24"/>
        </w:rPr>
      </w:pPr>
      <w:r>
        <w:rPr>
          <w:rFonts w:hint="eastAsia" w:ascii="宋体" w:hAnsi="宋体" w:cs="宋体"/>
          <w:b/>
          <w:sz w:val="24"/>
        </w:rPr>
        <w:t>第四条乙方的权利和义务</w:t>
      </w:r>
    </w:p>
    <w:p>
      <w:pPr>
        <w:spacing w:line="560" w:lineRule="exact"/>
        <w:rPr>
          <w:rFonts w:ascii="宋体" w:hAnsi="宋体" w:cs="宋体"/>
          <w:sz w:val="24"/>
        </w:rPr>
      </w:pPr>
      <w:r>
        <w:rPr>
          <w:rFonts w:hint="eastAsia" w:ascii="宋体" w:hAnsi="宋体" w:cs="宋体"/>
          <w:sz w:val="24"/>
        </w:rPr>
        <w:t>1、乙方按合同要求进入甲方指定的场所提供测评服务，包括但不限于指派称职的技术人员按照本合同规定及国家有关规定完成现场测评服务，以及撰写测评报告。</w:t>
      </w:r>
    </w:p>
    <w:p>
      <w:pPr>
        <w:spacing w:line="560" w:lineRule="exact"/>
        <w:rPr>
          <w:rFonts w:ascii="宋体" w:hAnsi="宋体" w:cs="宋体"/>
          <w:sz w:val="24"/>
        </w:rPr>
      </w:pPr>
      <w:r>
        <w:rPr>
          <w:rFonts w:hint="eastAsia" w:ascii="宋体" w:hAnsi="宋体" w:cs="宋体"/>
          <w:sz w:val="24"/>
        </w:rPr>
        <w:t>2、</w:t>
      </w:r>
      <w:r>
        <w:rPr>
          <w:rFonts w:hAnsi="宋体"/>
          <w:sz w:val="24"/>
        </w:rPr>
        <w:t>乙方</w:t>
      </w:r>
      <w:r>
        <w:rPr>
          <w:rFonts w:hint="eastAsia" w:hAnsi="宋体"/>
          <w:sz w:val="24"/>
        </w:rPr>
        <w:t>保证</w:t>
      </w:r>
      <w:r>
        <w:rPr>
          <w:rFonts w:hAnsi="宋体"/>
          <w:sz w:val="24"/>
        </w:rPr>
        <w:t>提供给甲方使用的相关软件和工具是合法</w:t>
      </w:r>
      <w:r>
        <w:rPr>
          <w:rFonts w:hint="eastAsia" w:hAnsi="宋体"/>
          <w:sz w:val="24"/>
        </w:rPr>
        <w:t>或具有合法授权的</w:t>
      </w:r>
      <w:r>
        <w:rPr>
          <w:rFonts w:hAnsi="宋体"/>
          <w:sz w:val="24"/>
        </w:rPr>
        <w:t>，</w:t>
      </w:r>
      <w:r>
        <w:rPr>
          <w:rFonts w:hint="eastAsia" w:ascii="宋体" w:hAnsi="宋体" w:cs="宋体"/>
          <w:sz w:val="24"/>
        </w:rPr>
        <w:t>乙方保证测评服务过程中使用的脚本和技术工具仅作为履行本合同必要而用，不对系统的配置与数据进行任何变动。</w:t>
      </w:r>
    </w:p>
    <w:p>
      <w:pPr>
        <w:spacing w:line="560" w:lineRule="exact"/>
        <w:rPr>
          <w:rFonts w:ascii="宋体" w:hAnsi="宋体" w:cs="宋体"/>
          <w:sz w:val="24"/>
        </w:rPr>
      </w:pPr>
      <w:r>
        <w:rPr>
          <w:rFonts w:hint="eastAsia" w:ascii="宋体" w:hAnsi="宋体" w:cs="宋体"/>
          <w:sz w:val="24"/>
        </w:rPr>
        <w:t>3、乙方在履约过程中不得影响甲方测评对象正常运行，如因测试过程造成不便需对系统修复或改动，应告知甲方并由双方协商一致后方可进行。</w:t>
      </w:r>
    </w:p>
    <w:p>
      <w:pPr>
        <w:spacing w:line="560" w:lineRule="exact"/>
        <w:rPr>
          <w:rFonts w:ascii="宋体" w:hAnsi="宋体" w:cs="宋体"/>
          <w:bCs/>
          <w:sz w:val="24"/>
        </w:rPr>
      </w:pPr>
      <w:r>
        <w:rPr>
          <w:rFonts w:hint="eastAsia" w:ascii="宋体" w:hAnsi="宋体" w:cs="宋体"/>
          <w:sz w:val="24"/>
        </w:rPr>
        <w:t>4、乙方</w:t>
      </w:r>
      <w:r>
        <w:rPr>
          <w:rFonts w:hint="eastAsia" w:ascii="宋体" w:hAnsi="宋体" w:cs="宋体"/>
          <w:bCs/>
          <w:sz w:val="24"/>
        </w:rPr>
        <w:t>员工或受托参与本合同有关事项的专业人士，均不得在本合同的签署或履行过程中，利用本合同服务实施的机会为自身谋取非法利益，乙方有义务对其指派人员进行必要的管理和监督，</w:t>
      </w:r>
      <w:r>
        <w:rPr>
          <w:rFonts w:hAnsi="宋体"/>
          <w:bCs/>
          <w:sz w:val="24"/>
        </w:rPr>
        <w:t>在其职责范围内防范道德风险。</w:t>
      </w:r>
    </w:p>
    <w:p>
      <w:pPr>
        <w:widowControl/>
        <w:spacing w:line="560" w:lineRule="exact"/>
        <w:jc w:val="left"/>
        <w:rPr>
          <w:rFonts w:ascii="宋体" w:hAnsi="宋体" w:cs="宋体"/>
          <w:b/>
          <w:bCs/>
          <w:sz w:val="24"/>
        </w:rPr>
      </w:pPr>
      <w:r>
        <w:rPr>
          <w:rFonts w:hint="eastAsia" w:ascii="宋体" w:hAnsi="宋体" w:cs="宋体"/>
          <w:bCs/>
          <w:sz w:val="24"/>
        </w:rPr>
        <w:t>5、</w:t>
      </w:r>
      <w:r>
        <w:rPr>
          <w:rFonts w:hAnsi="宋体"/>
          <w:sz w:val="24"/>
        </w:rPr>
        <w:t>如甲方在使用乙方提供的服务期间遭到恶意攻击，乙方将对事件过程做出文字上详细说明，并且及时做出妥善处理。</w:t>
      </w:r>
    </w:p>
    <w:p>
      <w:pPr>
        <w:tabs>
          <w:tab w:val="left" w:pos="360"/>
        </w:tabs>
        <w:spacing w:before="156" w:beforeLines="50" w:line="560" w:lineRule="exact"/>
        <w:rPr>
          <w:rFonts w:ascii="宋体" w:hAnsi="宋体" w:cs="宋体"/>
          <w:b/>
          <w:bCs/>
          <w:sz w:val="24"/>
        </w:rPr>
      </w:pPr>
      <w:r>
        <w:rPr>
          <w:rFonts w:hint="eastAsia" w:ascii="宋体" w:hAnsi="宋体" w:cs="宋体"/>
          <w:b/>
          <w:bCs/>
          <w:sz w:val="24"/>
        </w:rPr>
        <w:t>第五条保密规定</w:t>
      </w:r>
    </w:p>
    <w:p>
      <w:pPr>
        <w:spacing w:line="560" w:lineRule="exact"/>
        <w:rPr>
          <w:rFonts w:ascii="宋体" w:hAnsi="宋体" w:cs="宋体"/>
          <w:sz w:val="24"/>
        </w:rPr>
      </w:pPr>
      <w:r>
        <w:rPr>
          <w:rFonts w:hint="eastAsia" w:ascii="宋体" w:hAnsi="宋体" w:cs="宋体"/>
          <w:sz w:val="24"/>
        </w:rPr>
        <w:t>1、本条款的保密信息指甲乙双方在合同签订前进行商务洽谈及技术交流所获得的或对方提供的与本项目有关的技术资料、需求分析、设计方案、服务价格，以及在合同期内因履行本合同所接触和掌握到的任何一方的技术成果、设备配置、网络搭建、技术文档等相关技术资料等未被合法公开的信息。</w:t>
      </w:r>
    </w:p>
    <w:p>
      <w:pPr>
        <w:spacing w:line="560" w:lineRule="exact"/>
        <w:rPr>
          <w:rFonts w:ascii="宋体" w:hAnsi="宋体" w:cs="宋体"/>
          <w:sz w:val="24"/>
        </w:rPr>
      </w:pPr>
      <w:r>
        <w:rPr>
          <w:rFonts w:hint="eastAsia" w:ascii="宋体" w:hAnsi="宋体" w:cs="宋体"/>
          <w:sz w:val="24"/>
        </w:rPr>
        <w:t>2、任何一方及其参与履行本合同的全部人员在任何情况下应严格遵守法律规定和职业操守，不得违反有关法律法规向任何第三方泄露、使用或允许他人使用其所获知的另一方的技术秘密、商业秘密以及另一方的任何非公开信息，也不能以任何方式对本合同测评对象所涉的数据、个人信息进行非法披露。</w:t>
      </w:r>
    </w:p>
    <w:p>
      <w:pPr>
        <w:tabs>
          <w:tab w:val="left" w:pos="360"/>
        </w:tabs>
        <w:spacing w:before="156" w:beforeLines="50" w:line="560" w:lineRule="exact"/>
        <w:rPr>
          <w:rFonts w:ascii="宋体" w:hAnsi="宋体" w:cs="宋体"/>
          <w:b/>
          <w:bCs/>
          <w:sz w:val="24"/>
        </w:rPr>
      </w:pPr>
      <w:r>
        <w:rPr>
          <w:rFonts w:hint="eastAsia" w:ascii="宋体" w:hAnsi="宋体" w:cs="宋体"/>
          <w:b/>
          <w:bCs/>
          <w:sz w:val="24"/>
        </w:rPr>
        <w:t>第六条违约责任</w:t>
      </w:r>
    </w:p>
    <w:p>
      <w:pPr>
        <w:spacing w:line="560" w:lineRule="exact"/>
        <w:rPr>
          <w:rFonts w:ascii="宋体" w:hAnsi="宋体" w:cs="宋体"/>
          <w:sz w:val="24"/>
        </w:rPr>
      </w:pPr>
      <w:r>
        <w:rPr>
          <w:rFonts w:hint="eastAsia" w:ascii="宋体" w:hAnsi="宋体" w:cs="宋体"/>
          <w:sz w:val="24"/>
        </w:rPr>
        <w:t>1、本合同任何一方无正当理由提前解除合同的，应向对方支付违约金。违约金金额为合同总金额的</w:t>
      </w:r>
      <w:r>
        <w:rPr>
          <w:rFonts w:hint="eastAsia" w:ascii="宋体" w:hAnsi="宋体" w:cs="宋体"/>
          <w:sz w:val="24"/>
          <w:u w:val="single"/>
        </w:rPr>
        <w:t xml:space="preserve"> 10% </w:t>
      </w:r>
      <w:r>
        <w:rPr>
          <w:rFonts w:hint="eastAsia" w:ascii="宋体" w:hAnsi="宋体" w:cs="宋体"/>
          <w:sz w:val="24"/>
        </w:rPr>
        <w:t>。如解除本合同给对方造成的经济损失超过违约金的，违约方应另行进行相应的弥补。</w:t>
      </w:r>
    </w:p>
    <w:p>
      <w:pPr>
        <w:spacing w:line="560" w:lineRule="exact"/>
        <w:rPr>
          <w:rFonts w:ascii="宋体" w:hAnsi="宋体" w:cs="宋体"/>
          <w:sz w:val="24"/>
        </w:rPr>
      </w:pPr>
      <w:r>
        <w:rPr>
          <w:rFonts w:hint="eastAsia" w:ascii="宋体" w:hAnsi="宋体" w:cs="宋体"/>
          <w:sz w:val="24"/>
        </w:rPr>
        <w:t>2、乙方提供的服务不符合本合同约定的，或不符合相关国家、行业技术要求、质控要求的，甲方有权要求乙方在规定的时间内整改，如甲方书面提出整改通知，乙方无正当理由拒绝，或甲方书面提出整改通知累计达三次的，除应向甲方支付相当于合同总金额 10 %的违约金外，甲方还有权随时单方解除本合同，并有权要求乙方赔偿因合同解除给甲方造成的一切损失。</w:t>
      </w:r>
    </w:p>
    <w:p>
      <w:pPr>
        <w:pStyle w:val="62"/>
        <w:spacing w:line="560" w:lineRule="exact"/>
        <w:rPr>
          <w:rFonts w:ascii="宋体" w:hAnsi="宋体" w:cs="宋体"/>
        </w:rPr>
      </w:pPr>
      <w:r>
        <w:rPr>
          <w:rFonts w:hint="eastAsia" w:ascii="宋体" w:hAnsi="宋体" w:cs="宋体"/>
        </w:rPr>
        <w:t>3、</w:t>
      </w:r>
      <w:r>
        <w:rPr>
          <w:rFonts w:hint="eastAsia" w:ascii="宋体" w:hAnsi="宋体" w:cs="宋体"/>
          <w:spacing w:val="0"/>
          <w:kern w:val="2"/>
          <w:szCs w:val="24"/>
        </w:rPr>
        <w:t>乙方逾期提供本合同约定的服务的，从逾期之日起乙方每日按合同总金额0.5% 数额向甲方支付违约金，因逾期履行产生的违约金总额不超过合同总金额的 5 %；逾期超过30天的，除应按前述标准向甲方支付因逾期履行产生的违约金外，甲方有权随时单方解除本合同，并有权要求乙方赔偿因合同解除给甲方造成的一切损失。</w:t>
      </w:r>
    </w:p>
    <w:p>
      <w:pPr>
        <w:pStyle w:val="62"/>
        <w:spacing w:line="560" w:lineRule="exact"/>
        <w:rPr>
          <w:rFonts w:ascii="宋体" w:hAnsi="宋体" w:cs="宋体"/>
        </w:rPr>
      </w:pPr>
      <w:r>
        <w:rPr>
          <w:rFonts w:hint="eastAsia" w:ascii="宋体" w:hAnsi="宋体" w:cs="宋体"/>
        </w:rPr>
        <w:t>4、在乙方按约履行的前提下，甲方无正当理由拒绝接受服务，且到期拒付合同款项的，从逾期之日起每日按合同总金额 0.5 %数额向乙方支付违约金，因逾期履行产生的违约金总额不超过合同总金额的 5 %；逾期超过 30 天的，除了应按前述标准向乙方支付因逾期履行产生的违约金外，乙方有权随时单方解除本合同，要求甲方支付已经完成部分的相应费用。</w:t>
      </w:r>
    </w:p>
    <w:p>
      <w:pPr>
        <w:spacing w:line="560" w:lineRule="exact"/>
        <w:rPr>
          <w:rFonts w:hAnsi="宋体"/>
          <w:sz w:val="24"/>
        </w:rPr>
      </w:pPr>
      <w:r>
        <w:rPr>
          <w:rFonts w:hint="eastAsia" w:hAnsi="宋体"/>
          <w:sz w:val="24"/>
        </w:rPr>
        <w:t>5、任何一方违反本合同保密义务造成对方经济损失的，应赔偿对方因此造成的损失，包括</w:t>
      </w:r>
      <w:r>
        <w:rPr>
          <w:rFonts w:hint="eastAsia" w:ascii="宋体" w:hAnsi="宋体" w:cs="宋体"/>
          <w:bCs/>
          <w:sz w:val="24"/>
        </w:rPr>
        <w:t>直接经济损失以及调查费、诉讼费、律师费等主张权利的合理费用。</w:t>
      </w:r>
    </w:p>
    <w:p>
      <w:pPr>
        <w:spacing w:line="560" w:lineRule="exact"/>
        <w:rPr>
          <w:rFonts w:hAnsi="宋体"/>
          <w:sz w:val="24"/>
        </w:rPr>
      </w:pPr>
      <w:r>
        <w:rPr>
          <w:rFonts w:hint="eastAsia" w:ascii="宋体" w:hAnsi="宋体" w:cs="宋体"/>
          <w:sz w:val="24"/>
        </w:rPr>
        <w:t>6、如</w:t>
      </w:r>
      <w:r>
        <w:rPr>
          <w:rFonts w:hint="eastAsia"/>
          <w:sz w:val="24"/>
        </w:rPr>
        <w:t>甲方隐瞒、伪造材料影响测评结论，或利用测评对象从事违法犯罪活动，乙方有权解除本合同，并要求甲方支付已履行的服务费及赔偿由此造成的乙方的经济损失。</w:t>
      </w:r>
    </w:p>
    <w:p>
      <w:pPr>
        <w:spacing w:line="560" w:lineRule="exact"/>
        <w:rPr>
          <w:rFonts w:hAnsi="宋体"/>
          <w:sz w:val="24"/>
        </w:rPr>
      </w:pPr>
      <w:r>
        <w:rPr>
          <w:rFonts w:hint="eastAsia" w:hAnsi="宋体"/>
          <w:sz w:val="24"/>
        </w:rPr>
        <w:t>7、如乙方因故意或重大过失导致甲方系统遭到严重破坏，甲方有权解除本合同</w:t>
      </w:r>
      <w:r>
        <w:rPr>
          <w:rFonts w:hAnsi="宋体"/>
          <w:sz w:val="24"/>
        </w:rPr>
        <w:t>，</w:t>
      </w:r>
      <w:r>
        <w:rPr>
          <w:rFonts w:hint="eastAsia" w:hAnsi="宋体"/>
          <w:sz w:val="24"/>
        </w:rPr>
        <w:t>并要求乙方赔偿由此造成的甲方的经济损失。</w:t>
      </w:r>
    </w:p>
    <w:p>
      <w:pPr>
        <w:tabs>
          <w:tab w:val="left" w:pos="360"/>
        </w:tabs>
        <w:spacing w:before="156" w:beforeLines="50" w:line="560" w:lineRule="exact"/>
        <w:rPr>
          <w:rFonts w:ascii="宋体" w:hAnsi="宋体" w:cs="宋体"/>
          <w:b/>
          <w:bCs/>
          <w:sz w:val="24"/>
        </w:rPr>
      </w:pPr>
      <w:r>
        <w:rPr>
          <w:rFonts w:hint="eastAsia" w:ascii="宋体" w:hAnsi="宋体" w:cs="宋体"/>
          <w:b/>
          <w:bCs/>
          <w:sz w:val="24"/>
        </w:rPr>
        <w:t>第七条不可抗力和免责条款</w:t>
      </w:r>
    </w:p>
    <w:p>
      <w:pPr>
        <w:spacing w:line="560" w:lineRule="exact"/>
        <w:rPr>
          <w:rFonts w:ascii="宋体" w:hAnsi="宋体" w:cs="宋体"/>
          <w:sz w:val="24"/>
        </w:rPr>
      </w:pPr>
      <w:r>
        <w:rPr>
          <w:rFonts w:hint="eastAsia" w:ascii="宋体" w:hAnsi="宋体" w:cs="宋体"/>
          <w:sz w:val="24"/>
        </w:rPr>
        <w:t>1、由于战争、暴乱、自然灾害、政变、罢工、传染疾病、国家法律变化和政府行为等不能预见、不能避免并不能克服的客观情况影响本合同的履行时,遇有上述不可抗力的一方应立即以传真、电报等书面形式通知对方,并在 10个工作日之内提供不可抗力的详细情况和理由，以及有效的有关部门出具的证明文件。按不可抗力对履行合同影响的程度,由双方协商决定是否解除合同,或者部分免除履行合同的义务,或者延期履行合同。一方迟延履行本合同时发生不可抗力的,迟延方的合同义务不能免除。</w:t>
      </w:r>
    </w:p>
    <w:p>
      <w:pPr>
        <w:tabs>
          <w:tab w:val="left" w:pos="360"/>
        </w:tabs>
        <w:spacing w:line="560" w:lineRule="exact"/>
        <w:rPr>
          <w:rFonts w:ascii="宋体" w:hAnsi="宋体" w:cs="宋体"/>
          <w:sz w:val="24"/>
        </w:rPr>
      </w:pPr>
      <w:r>
        <w:rPr>
          <w:rFonts w:hint="eastAsia" w:ascii="宋体" w:hAnsi="宋体" w:cs="宋体"/>
          <w:sz w:val="24"/>
        </w:rPr>
        <w:t>2、受到不可抗力影响的一方,应尽可能地及时采取合理的措施减轻不可抗力对本合同的履行所造成的影响。没有采取适当措施致使损失扩大的,该方不得就扩大损失的部分要求免责或赔偿。</w:t>
      </w:r>
    </w:p>
    <w:p>
      <w:pPr>
        <w:tabs>
          <w:tab w:val="left" w:pos="360"/>
        </w:tabs>
        <w:spacing w:line="560" w:lineRule="exact"/>
        <w:rPr>
          <w:rFonts w:ascii="宋体" w:hAnsi="宋体" w:cs="宋体"/>
          <w:b/>
          <w:bCs/>
          <w:sz w:val="24"/>
        </w:rPr>
      </w:pPr>
      <w:r>
        <w:rPr>
          <w:rFonts w:hint="eastAsia" w:ascii="宋体" w:hAnsi="宋体" w:cs="宋体"/>
          <w:sz w:val="24"/>
        </w:rPr>
        <w:t>3、因不可抗力持续2个月及以上而影响本合同履行的,双方应对本合同的有关内容进行重新协商,协商不成的,任何一方均有权解除合同。</w:t>
      </w:r>
    </w:p>
    <w:p>
      <w:pPr>
        <w:tabs>
          <w:tab w:val="left" w:pos="360"/>
        </w:tabs>
        <w:spacing w:before="156" w:beforeLines="50" w:line="560" w:lineRule="exact"/>
        <w:rPr>
          <w:rFonts w:ascii="宋体" w:hAnsi="宋体" w:cs="宋体"/>
          <w:b/>
          <w:bCs/>
          <w:sz w:val="24"/>
        </w:rPr>
      </w:pPr>
      <w:r>
        <w:rPr>
          <w:rFonts w:hint="eastAsia" w:ascii="宋体" w:hAnsi="宋体" w:cs="宋体"/>
          <w:b/>
          <w:bCs/>
          <w:sz w:val="24"/>
        </w:rPr>
        <w:t>第八条其他</w:t>
      </w:r>
    </w:p>
    <w:p>
      <w:pPr>
        <w:spacing w:line="560" w:lineRule="exact"/>
        <w:rPr>
          <w:rFonts w:ascii="宋体" w:hAnsi="宋体" w:cs="宋体"/>
          <w:sz w:val="24"/>
        </w:rPr>
      </w:pPr>
      <w:r>
        <w:rPr>
          <w:rFonts w:hint="eastAsia" w:ascii="宋体" w:hAnsi="宋体" w:cs="宋体"/>
          <w:sz w:val="24"/>
        </w:rPr>
        <w:t>1、本合同适用《中华人民共和国民法典》等相关法律法规。本合同加盖公章后立即生效。合同一式四份，双方各执两份，效力等同。</w:t>
      </w:r>
    </w:p>
    <w:p>
      <w:pPr>
        <w:spacing w:line="560" w:lineRule="exact"/>
        <w:rPr>
          <w:rFonts w:ascii="宋体" w:hAnsi="宋体" w:cs="宋体"/>
          <w:sz w:val="24"/>
        </w:rPr>
      </w:pPr>
      <w:r>
        <w:rPr>
          <w:rFonts w:hint="eastAsia" w:ascii="宋体" w:hAnsi="宋体" w:cs="宋体"/>
          <w:sz w:val="24"/>
        </w:rPr>
        <w:t>2、如对本合同条款进行任何修改、变更或增减，双方应签订书面补充协议。</w:t>
      </w:r>
    </w:p>
    <w:p>
      <w:pPr>
        <w:spacing w:line="560" w:lineRule="exact"/>
        <w:rPr>
          <w:rFonts w:ascii="宋体" w:hAnsi="宋体" w:cs="宋体"/>
          <w:sz w:val="24"/>
        </w:rPr>
      </w:pPr>
      <w:r>
        <w:rPr>
          <w:rFonts w:hint="eastAsia" w:ascii="宋体" w:hAnsi="宋体" w:cs="宋体"/>
          <w:sz w:val="24"/>
        </w:rPr>
        <w:t>3、本合同未尽事宜由双方友好协商解决。若无法协商解决的，任一方均可将争议提交至本合同签订所在地人民法院通过诉讼解决。</w:t>
      </w:r>
    </w:p>
    <w:p>
      <w:pPr>
        <w:spacing w:line="560" w:lineRule="exact"/>
        <w:rPr>
          <w:rFonts w:ascii="宋体" w:hAnsi="宋体" w:cs="宋体"/>
          <w:sz w:val="24"/>
        </w:rPr>
      </w:pPr>
      <w:r>
        <w:rPr>
          <w:rFonts w:hint="eastAsia" w:ascii="宋体" w:hAnsi="宋体" w:cs="宋体"/>
          <w:sz w:val="24"/>
        </w:rPr>
        <w:t>4、本合同的附件为本合同不可分割的一部分，与本合同具有同等法律效力。本合同附件为：《测评服务内容和要求》（附件一）。</w:t>
      </w:r>
    </w:p>
    <w:p>
      <w:pPr>
        <w:pStyle w:val="62"/>
        <w:spacing w:line="560" w:lineRule="exact"/>
        <w:rPr>
          <w:rFonts w:ascii="宋体" w:hAnsi="宋体" w:cs="宋体"/>
        </w:rPr>
      </w:pPr>
      <w:r>
        <w:rPr>
          <w:rFonts w:hint="eastAsia" w:ascii="宋体" w:hAnsi="宋体" w:cs="宋体"/>
        </w:rPr>
        <w:t>5、在执行本合同过程中，经双方签章确认的所有附件或补充协议是合同不可分割的一部分，与本合同具有同等效力。若附件或补充协议与本合同的约定不一致的，按以下顺序排列的文件具有相对应的优先权：</w:t>
      </w:r>
    </w:p>
    <w:p>
      <w:pPr>
        <w:pStyle w:val="62"/>
        <w:spacing w:line="560" w:lineRule="exact"/>
        <w:ind w:firstLine="260" w:firstLineChars="100"/>
        <w:rPr>
          <w:rFonts w:ascii="宋体" w:hAnsi="宋体" w:cs="宋体"/>
        </w:rPr>
      </w:pPr>
      <w:r>
        <w:rPr>
          <w:rFonts w:hint="eastAsia" w:ascii="宋体" w:hAnsi="宋体" w:cs="宋体"/>
        </w:rPr>
        <w:t>1）最新签署的有效的补充协议；</w:t>
      </w:r>
    </w:p>
    <w:p>
      <w:pPr>
        <w:pStyle w:val="62"/>
        <w:spacing w:line="560" w:lineRule="exact"/>
        <w:ind w:firstLine="260" w:firstLineChars="100"/>
        <w:rPr>
          <w:rFonts w:ascii="宋体" w:hAnsi="宋体" w:cs="宋体"/>
        </w:rPr>
      </w:pPr>
      <w:r>
        <w:rPr>
          <w:rFonts w:hint="eastAsia" w:ascii="宋体" w:hAnsi="宋体" w:cs="宋体"/>
        </w:rPr>
        <w:t>2）本合同；</w:t>
      </w:r>
    </w:p>
    <w:p>
      <w:pPr>
        <w:pStyle w:val="62"/>
        <w:spacing w:line="560" w:lineRule="exact"/>
        <w:ind w:firstLine="260" w:firstLineChars="100"/>
        <w:rPr>
          <w:rFonts w:ascii="宋体" w:hAnsi="宋体" w:cs="宋体"/>
        </w:rPr>
      </w:pPr>
      <w:r>
        <w:rPr>
          <w:rFonts w:hint="eastAsia" w:ascii="宋体" w:hAnsi="宋体" w:cs="宋体"/>
        </w:rPr>
        <w:t>3）合同其他有效附件。</w:t>
      </w:r>
    </w:p>
    <w:p>
      <w:pPr>
        <w:pStyle w:val="62"/>
        <w:spacing w:line="560" w:lineRule="exact"/>
      </w:pPr>
    </w:p>
    <w:p>
      <w:pPr>
        <w:pStyle w:val="62"/>
        <w:spacing w:line="560" w:lineRule="exact"/>
      </w:pPr>
    </w:p>
    <w:p>
      <w:pPr>
        <w:spacing w:line="560" w:lineRule="exact"/>
        <w:rPr>
          <w:rFonts w:ascii="宋体" w:hAnsi="宋体" w:cs="宋体"/>
          <w:sz w:val="24"/>
        </w:rPr>
      </w:pPr>
      <w:r>
        <w:rPr>
          <w:rFonts w:hint="eastAsia" w:ascii="宋体" w:hAnsi="宋体" w:cs="宋体"/>
          <w:sz w:val="24"/>
        </w:rPr>
        <w:t>（以下无正文）</w:t>
      </w:r>
    </w:p>
    <w:p>
      <w:pPr>
        <w:spacing w:line="560" w:lineRule="exact"/>
        <w:rPr>
          <w:sz w:val="24"/>
        </w:rPr>
      </w:pPr>
    </w:p>
    <w:p>
      <w:pPr>
        <w:spacing w:line="560" w:lineRule="exact"/>
        <w:jc w:val="center"/>
        <w:rPr>
          <w:sz w:val="24"/>
        </w:rPr>
      </w:pPr>
    </w:p>
    <w:p>
      <w:pPr>
        <w:spacing w:line="560" w:lineRule="exact"/>
        <w:ind w:left="4646" w:leftChars="41" w:hanging="4560" w:hangingChars="1900"/>
        <w:jc w:val="center"/>
        <w:rPr>
          <w:b/>
          <w:sz w:val="24"/>
        </w:rPr>
      </w:pPr>
      <w:r>
        <w:rPr>
          <w:sz w:val="24"/>
        </w:rPr>
        <mc:AlternateContent>
          <mc:Choice Requires="wps">
            <w:drawing>
              <wp:anchor distT="0" distB="0" distL="114300" distR="114300" simplePos="0" relativeHeight="251660288" behindDoc="0" locked="0" layoutInCell="1" allowOverlap="1">
                <wp:simplePos x="0" y="0"/>
                <wp:positionH relativeFrom="column">
                  <wp:posOffset>-361950</wp:posOffset>
                </wp:positionH>
                <wp:positionV relativeFrom="paragraph">
                  <wp:posOffset>154305</wp:posOffset>
                </wp:positionV>
                <wp:extent cx="2752725" cy="31419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752725" cy="3141980"/>
                        </a:xfrm>
                        <a:prstGeom prst="rect">
                          <a:avLst/>
                        </a:prstGeom>
                        <a:noFill/>
                        <a:ln w="9525">
                          <a:noFill/>
                        </a:ln>
                        <a:effectLst/>
                      </wps:spPr>
                      <wps:txbx>
                        <w:txbxContent>
                          <w:p>
                            <w:pPr>
                              <w:adjustRightInd w:val="0"/>
                              <w:snapToGrid w:val="0"/>
                              <w:ind w:firstLine="482" w:firstLineChars="200"/>
                              <w:rPr>
                                <w:rFonts w:ascii="黑体" w:hAnsi="黑体" w:eastAsia="黑体"/>
                                <w:b/>
                                <w:sz w:val="24"/>
                              </w:rPr>
                            </w:pPr>
                            <w:r>
                              <w:rPr>
                                <w:rFonts w:hint="eastAsia" w:ascii="黑体" w:hAnsi="黑体" w:eastAsia="黑体"/>
                                <w:b/>
                                <w:sz w:val="24"/>
                              </w:rPr>
                              <w:t>甲方</w:t>
                            </w:r>
                          </w:p>
                          <w:p>
                            <w:pPr>
                              <w:adjustRightInd w:val="0"/>
                              <w:snapToGrid w:val="0"/>
                              <w:rPr>
                                <w:rFonts w:ascii="黑体" w:hAnsi="黑体" w:eastAsia="黑体"/>
                                <w:b/>
                                <w:bCs/>
                                <w:snapToGrid w:val="0"/>
                                <w:sz w:val="24"/>
                              </w:rPr>
                            </w:pPr>
                          </w:p>
                          <w:p>
                            <w:pPr>
                              <w:adjustRightInd w:val="0"/>
                              <w:snapToGrid w:val="0"/>
                              <w:ind w:left="420" w:leftChars="200"/>
                              <w:rPr>
                                <w:rFonts w:ascii="黑体" w:hAnsi="黑体" w:eastAsia="黑体"/>
                                <w:b/>
                                <w:sz w:val="24"/>
                              </w:rPr>
                            </w:pPr>
                            <w:r>
                              <w:rPr>
                                <w:rFonts w:hint="eastAsia" w:ascii="黑体" w:hAnsi="黑体" w:eastAsia="黑体"/>
                                <w:b/>
                                <w:sz w:val="24"/>
                              </w:rPr>
                              <w:t>东莞市数据互联有限公司</w:t>
                            </w:r>
                          </w:p>
                          <w:p>
                            <w:pPr>
                              <w:adjustRightInd w:val="0"/>
                              <w:snapToGrid w:val="0"/>
                              <w:ind w:left="420" w:leftChars="200"/>
                              <w:rPr>
                                <w:rFonts w:ascii="黑体" w:hAnsi="黑体" w:eastAsia="黑体"/>
                                <w:b/>
                                <w:sz w:val="24"/>
                              </w:rPr>
                            </w:pPr>
                          </w:p>
                          <w:p>
                            <w:pPr>
                              <w:adjustRightInd w:val="0"/>
                              <w:snapToGrid w:val="0"/>
                              <w:ind w:left="420" w:leftChars="200" w:firstLine="1181" w:firstLineChars="490"/>
                              <w:rPr>
                                <w:rFonts w:hAnsi="黑体" w:eastAsia="黑体"/>
                                <w:b/>
                                <w:bCs/>
                                <w:color w:val="FF0000"/>
                                <w:sz w:val="24"/>
                              </w:rPr>
                            </w:pPr>
                            <w:r>
                              <w:rPr>
                                <w:rFonts w:hint="eastAsia" w:ascii="黑体" w:hAnsi="黑体" w:eastAsia="黑体"/>
                                <w:b/>
                                <w:sz w:val="24"/>
                              </w:rPr>
                              <w:t>（盖章）</w:t>
                            </w:r>
                          </w:p>
                          <w:p>
                            <w:pPr>
                              <w:adjustRightInd w:val="0"/>
                              <w:snapToGrid w:val="0"/>
                              <w:ind w:left="479" w:leftChars="228"/>
                              <w:rPr>
                                <w:rFonts w:ascii="黑体" w:hAnsi="黑体" w:eastAsia="黑体"/>
                                <w:b/>
                                <w:sz w:val="24"/>
                              </w:rPr>
                            </w:pPr>
                          </w:p>
                          <w:p>
                            <w:pPr>
                              <w:adjustRightInd w:val="0"/>
                              <w:snapToGrid w:val="0"/>
                              <w:rPr>
                                <w:rFonts w:ascii="黑体" w:hAnsi="黑体" w:eastAsia="黑体"/>
                                <w:b/>
                                <w:sz w:val="24"/>
                              </w:rPr>
                            </w:pPr>
                          </w:p>
                          <w:p>
                            <w:pPr>
                              <w:adjustRightInd w:val="0"/>
                              <w:snapToGrid w:val="0"/>
                              <w:rPr>
                                <w:rFonts w:ascii="黑体" w:hAnsi="黑体" w:eastAsia="黑体"/>
                                <w:b/>
                                <w:sz w:val="24"/>
                              </w:rPr>
                            </w:pPr>
                          </w:p>
                          <w:p>
                            <w:pPr>
                              <w:adjustRightInd w:val="0"/>
                              <w:snapToGrid w:val="0"/>
                              <w:ind w:firstLine="482" w:firstLineChars="200"/>
                              <w:rPr>
                                <w:rFonts w:hAnsi="黑体" w:eastAsia="黑体"/>
                                <w:b/>
                                <w:bCs/>
                                <w:sz w:val="24"/>
                              </w:rPr>
                            </w:pPr>
                            <w:r>
                              <w:rPr>
                                <w:rFonts w:hAnsi="黑体" w:eastAsia="黑体"/>
                                <w:b/>
                                <w:bCs/>
                                <w:sz w:val="24"/>
                              </w:rPr>
                              <w:t>法定代表人或负责人：</w:t>
                            </w:r>
                          </w:p>
                          <w:p>
                            <w:pPr>
                              <w:adjustRightInd w:val="0"/>
                              <w:snapToGrid w:val="0"/>
                              <w:ind w:firstLine="482" w:firstLineChars="200"/>
                              <w:rPr>
                                <w:rFonts w:hAnsi="黑体" w:eastAsia="黑体"/>
                                <w:b/>
                                <w:bCs/>
                                <w:sz w:val="24"/>
                              </w:rPr>
                            </w:pPr>
                            <w:r>
                              <w:rPr>
                                <w:rFonts w:hint="eastAsia" w:hAnsi="黑体" w:eastAsia="黑体"/>
                                <w:b/>
                                <w:bCs/>
                                <w:sz w:val="24"/>
                              </w:rPr>
                              <w:t>（签字）</w:t>
                            </w:r>
                          </w:p>
                          <w:p>
                            <w:pPr>
                              <w:adjustRightInd w:val="0"/>
                              <w:snapToGrid w:val="0"/>
                              <w:rPr>
                                <w:rFonts w:ascii="黑体" w:hAnsi="黑体" w:eastAsia="黑体"/>
                                <w:b/>
                                <w:sz w:val="24"/>
                              </w:rPr>
                            </w:pPr>
                          </w:p>
                          <w:p>
                            <w:pPr>
                              <w:adjustRightInd w:val="0"/>
                              <w:snapToGrid w:val="0"/>
                              <w:rPr>
                                <w:rFonts w:ascii="黑体" w:hAnsi="黑体" w:eastAsia="黑体"/>
                                <w:b/>
                                <w:sz w:val="24"/>
                              </w:rPr>
                            </w:pPr>
                          </w:p>
                          <w:p>
                            <w:pPr>
                              <w:adjustRightInd w:val="0"/>
                              <w:snapToGrid w:val="0"/>
                              <w:rPr>
                                <w:rFonts w:ascii="黑体" w:hAnsi="黑体" w:eastAsia="黑体"/>
                                <w:b/>
                              </w:rPr>
                            </w:pPr>
                            <w:r>
                              <w:rPr>
                                <w:rFonts w:hint="eastAsia" w:ascii="黑体" w:hAnsi="黑体" w:eastAsia="黑体"/>
                                <w:b/>
                                <w:sz w:val="24"/>
                              </w:rPr>
                              <w:t>年月日</w:t>
                            </w:r>
                          </w:p>
                        </w:txbxContent>
                      </wps:txbx>
                      <wps:bodyPr wrap="square" upright="1"/>
                    </wps:wsp>
                  </a:graphicData>
                </a:graphic>
              </wp:anchor>
            </w:drawing>
          </mc:Choice>
          <mc:Fallback>
            <w:pict>
              <v:shape id="_x0000_s1026" o:spid="_x0000_s1026" o:spt="202" type="#_x0000_t202" style="position:absolute;left:0pt;margin-left:-28.5pt;margin-top:12.15pt;height:247.4pt;width:216.75pt;z-index:251660288;mso-width-relative:page;mso-height-relative:page;" filled="f" stroked="f" coordsize="21600,21600" o:gfxdata="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aLczLZAAAA&#10;CgEAAA8AAAAAAAAAAQAgAAAAIgAAAGRycy9kb3ducmV2LnhtbFBLAQIUABQAAAAIAIdO4kBJM2U4&#10;qgEAACYDAAAOAAAAAAAAAAEAIAAAACgBAABkcnMvZTJvRG9jLnhtbFBLBQYAAAAABgAGAFkBAABE&#10;BQAAAAA=&#10;">
                <v:fill on="f" focussize="0,0"/>
                <v:stroke on="f"/>
                <v:imagedata o:title=""/>
                <o:lock v:ext="edit" aspectratio="f"/>
                <v:textbox>
                  <w:txbxContent>
                    <w:p>
                      <w:pPr>
                        <w:adjustRightInd w:val="0"/>
                        <w:snapToGrid w:val="0"/>
                        <w:ind w:firstLine="482" w:firstLineChars="200"/>
                        <w:rPr>
                          <w:rFonts w:ascii="黑体" w:hAnsi="黑体" w:eastAsia="黑体"/>
                          <w:b/>
                          <w:sz w:val="24"/>
                        </w:rPr>
                      </w:pPr>
                      <w:r>
                        <w:rPr>
                          <w:rFonts w:hint="eastAsia" w:ascii="黑体" w:hAnsi="黑体" w:eastAsia="黑体"/>
                          <w:b/>
                          <w:sz w:val="24"/>
                        </w:rPr>
                        <w:t>甲方</w:t>
                      </w:r>
                    </w:p>
                    <w:p>
                      <w:pPr>
                        <w:adjustRightInd w:val="0"/>
                        <w:snapToGrid w:val="0"/>
                        <w:rPr>
                          <w:rFonts w:ascii="黑体" w:hAnsi="黑体" w:eastAsia="黑体"/>
                          <w:b/>
                          <w:bCs/>
                          <w:snapToGrid w:val="0"/>
                          <w:sz w:val="24"/>
                        </w:rPr>
                      </w:pPr>
                    </w:p>
                    <w:p>
                      <w:pPr>
                        <w:adjustRightInd w:val="0"/>
                        <w:snapToGrid w:val="0"/>
                        <w:ind w:left="420" w:leftChars="200"/>
                        <w:rPr>
                          <w:rFonts w:ascii="黑体" w:hAnsi="黑体" w:eastAsia="黑体"/>
                          <w:b/>
                          <w:sz w:val="24"/>
                        </w:rPr>
                      </w:pPr>
                      <w:r>
                        <w:rPr>
                          <w:rFonts w:hint="eastAsia" w:ascii="黑体" w:hAnsi="黑体" w:eastAsia="黑体"/>
                          <w:b/>
                          <w:sz w:val="24"/>
                        </w:rPr>
                        <w:t>东莞市数据互联有限公司</w:t>
                      </w:r>
                    </w:p>
                    <w:p>
                      <w:pPr>
                        <w:adjustRightInd w:val="0"/>
                        <w:snapToGrid w:val="0"/>
                        <w:ind w:left="420" w:leftChars="200"/>
                        <w:rPr>
                          <w:rFonts w:ascii="黑体" w:hAnsi="黑体" w:eastAsia="黑体"/>
                          <w:b/>
                          <w:sz w:val="24"/>
                        </w:rPr>
                      </w:pPr>
                    </w:p>
                    <w:p>
                      <w:pPr>
                        <w:adjustRightInd w:val="0"/>
                        <w:snapToGrid w:val="0"/>
                        <w:ind w:left="420" w:leftChars="200" w:firstLine="1181" w:firstLineChars="490"/>
                        <w:rPr>
                          <w:rFonts w:hAnsi="黑体" w:eastAsia="黑体"/>
                          <w:b/>
                          <w:bCs/>
                          <w:color w:val="FF0000"/>
                          <w:sz w:val="24"/>
                        </w:rPr>
                      </w:pPr>
                      <w:r>
                        <w:rPr>
                          <w:rFonts w:hint="eastAsia" w:ascii="黑体" w:hAnsi="黑体" w:eastAsia="黑体"/>
                          <w:b/>
                          <w:sz w:val="24"/>
                        </w:rPr>
                        <w:t>（盖章）</w:t>
                      </w:r>
                    </w:p>
                    <w:p>
                      <w:pPr>
                        <w:adjustRightInd w:val="0"/>
                        <w:snapToGrid w:val="0"/>
                        <w:ind w:left="479" w:leftChars="228"/>
                        <w:rPr>
                          <w:rFonts w:ascii="黑体" w:hAnsi="黑体" w:eastAsia="黑体"/>
                          <w:b/>
                          <w:sz w:val="24"/>
                        </w:rPr>
                      </w:pPr>
                    </w:p>
                    <w:p>
                      <w:pPr>
                        <w:adjustRightInd w:val="0"/>
                        <w:snapToGrid w:val="0"/>
                        <w:rPr>
                          <w:rFonts w:ascii="黑体" w:hAnsi="黑体" w:eastAsia="黑体"/>
                          <w:b/>
                          <w:sz w:val="24"/>
                        </w:rPr>
                      </w:pPr>
                    </w:p>
                    <w:p>
                      <w:pPr>
                        <w:adjustRightInd w:val="0"/>
                        <w:snapToGrid w:val="0"/>
                        <w:rPr>
                          <w:rFonts w:ascii="黑体" w:hAnsi="黑体" w:eastAsia="黑体"/>
                          <w:b/>
                          <w:sz w:val="24"/>
                        </w:rPr>
                      </w:pPr>
                    </w:p>
                    <w:p>
                      <w:pPr>
                        <w:adjustRightInd w:val="0"/>
                        <w:snapToGrid w:val="0"/>
                        <w:ind w:firstLine="482" w:firstLineChars="200"/>
                        <w:rPr>
                          <w:rFonts w:hAnsi="黑体" w:eastAsia="黑体"/>
                          <w:b/>
                          <w:bCs/>
                          <w:sz w:val="24"/>
                        </w:rPr>
                      </w:pPr>
                      <w:r>
                        <w:rPr>
                          <w:rFonts w:hAnsi="黑体" w:eastAsia="黑体"/>
                          <w:b/>
                          <w:bCs/>
                          <w:sz w:val="24"/>
                        </w:rPr>
                        <w:t>法定代表人或负责人：</w:t>
                      </w:r>
                    </w:p>
                    <w:p>
                      <w:pPr>
                        <w:adjustRightInd w:val="0"/>
                        <w:snapToGrid w:val="0"/>
                        <w:ind w:firstLine="482" w:firstLineChars="200"/>
                        <w:rPr>
                          <w:rFonts w:hAnsi="黑体" w:eastAsia="黑体"/>
                          <w:b/>
                          <w:bCs/>
                          <w:sz w:val="24"/>
                        </w:rPr>
                      </w:pPr>
                      <w:r>
                        <w:rPr>
                          <w:rFonts w:hint="eastAsia" w:hAnsi="黑体" w:eastAsia="黑体"/>
                          <w:b/>
                          <w:bCs/>
                          <w:sz w:val="24"/>
                        </w:rPr>
                        <w:t>（签字）</w:t>
                      </w:r>
                    </w:p>
                    <w:p>
                      <w:pPr>
                        <w:adjustRightInd w:val="0"/>
                        <w:snapToGrid w:val="0"/>
                        <w:rPr>
                          <w:rFonts w:ascii="黑体" w:hAnsi="黑体" w:eastAsia="黑体"/>
                          <w:b/>
                          <w:sz w:val="24"/>
                        </w:rPr>
                      </w:pPr>
                    </w:p>
                    <w:p>
                      <w:pPr>
                        <w:adjustRightInd w:val="0"/>
                        <w:snapToGrid w:val="0"/>
                        <w:rPr>
                          <w:rFonts w:ascii="黑体" w:hAnsi="黑体" w:eastAsia="黑体"/>
                          <w:b/>
                          <w:sz w:val="24"/>
                        </w:rPr>
                      </w:pPr>
                    </w:p>
                    <w:p>
                      <w:pPr>
                        <w:adjustRightInd w:val="0"/>
                        <w:snapToGrid w:val="0"/>
                        <w:rPr>
                          <w:rFonts w:ascii="黑体" w:hAnsi="黑体" w:eastAsia="黑体"/>
                          <w:b/>
                        </w:rPr>
                      </w:pPr>
                      <w:r>
                        <w:rPr>
                          <w:rFonts w:hint="eastAsia" w:ascii="黑体" w:hAnsi="黑体" w:eastAsia="黑体"/>
                          <w:b/>
                          <w:sz w:val="24"/>
                        </w:rPr>
                        <w:t>年月日</w:t>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127000</wp:posOffset>
                </wp:positionV>
                <wp:extent cx="2533650" cy="3169285"/>
                <wp:effectExtent l="0" t="0" r="0" b="0"/>
                <wp:wrapNone/>
                <wp:docPr id="6" name="文本框 6"/>
                <wp:cNvGraphicFramePr/>
                <a:graphic xmlns:a="http://schemas.openxmlformats.org/drawingml/2006/main">
                  <a:graphicData uri="http://schemas.microsoft.com/office/word/2010/wordprocessingShape">
                    <wps:wsp>
                      <wps:cNvSpPr txBox="1"/>
                      <wps:spPr>
                        <a:xfrm>
                          <a:off x="0" y="0"/>
                          <a:ext cx="2533650" cy="3169285"/>
                        </a:xfrm>
                        <a:prstGeom prst="rect">
                          <a:avLst/>
                        </a:prstGeom>
                        <a:noFill/>
                        <a:ln w="9525">
                          <a:noFill/>
                        </a:ln>
                        <a:effectLst/>
                      </wps:spPr>
                      <wps:txbx>
                        <w:txbxContent>
                          <w:p>
                            <w:pPr>
                              <w:adjustRightInd w:val="0"/>
                              <w:snapToGrid w:val="0"/>
                              <w:rPr>
                                <w:rFonts w:ascii="黑体" w:hAnsi="黑体" w:eastAsia="黑体"/>
                                <w:b/>
                                <w:sz w:val="24"/>
                              </w:rPr>
                            </w:pPr>
                            <w:r>
                              <w:rPr>
                                <w:rFonts w:hint="eastAsia" w:ascii="黑体" w:hAnsi="黑体" w:eastAsia="黑体"/>
                                <w:b/>
                                <w:sz w:val="24"/>
                              </w:rPr>
                              <w:t>乙方</w:t>
                            </w:r>
                          </w:p>
                          <w:p>
                            <w:pPr>
                              <w:adjustRightInd w:val="0"/>
                              <w:snapToGrid w:val="0"/>
                              <w:rPr>
                                <w:rFonts w:ascii="黑体" w:hAnsi="黑体" w:eastAsia="黑体"/>
                                <w:b/>
                                <w:bCs/>
                                <w:snapToGrid w:val="0"/>
                                <w:sz w:val="24"/>
                              </w:rPr>
                            </w:pPr>
                          </w:p>
                          <w:p>
                            <w:pPr>
                              <w:pStyle w:val="62"/>
                              <w:ind w:firstLine="1305" w:firstLineChars="500"/>
                              <w:rPr>
                                <w:rFonts w:ascii="黑体" w:hAnsi="黑体" w:eastAsia="黑体"/>
                                <w:b/>
                                <w:bCs/>
                                <w:snapToGrid w:val="0"/>
                              </w:rPr>
                            </w:pPr>
                            <w:r>
                              <w:rPr>
                                <w:rFonts w:hint="eastAsia" w:ascii="黑体" w:hAnsi="黑体" w:eastAsia="黑体"/>
                                <w:b/>
                              </w:rPr>
                              <w:t>有限公司</w:t>
                            </w:r>
                          </w:p>
                          <w:p>
                            <w:pPr>
                              <w:pStyle w:val="62"/>
                              <w:rPr>
                                <w:rFonts w:ascii="黑体" w:hAnsi="黑体" w:eastAsia="黑体"/>
                                <w:b/>
                                <w:bCs/>
                                <w:snapToGrid w:val="0"/>
                              </w:rPr>
                            </w:pPr>
                          </w:p>
                          <w:p>
                            <w:pPr>
                              <w:adjustRightInd w:val="0"/>
                              <w:snapToGrid w:val="0"/>
                              <w:ind w:firstLine="1202" w:firstLineChars="499"/>
                              <w:rPr>
                                <w:rFonts w:ascii="黑体" w:hAnsi="黑体" w:eastAsia="黑体"/>
                                <w:b/>
                                <w:sz w:val="24"/>
                              </w:rPr>
                            </w:pPr>
                            <w:r>
                              <w:rPr>
                                <w:rFonts w:hint="eastAsia" w:ascii="黑体" w:hAnsi="黑体" w:eastAsia="黑体"/>
                                <w:b/>
                                <w:sz w:val="24"/>
                              </w:rPr>
                              <w:t>（盖章）</w:t>
                            </w:r>
                          </w:p>
                          <w:p>
                            <w:pPr>
                              <w:adjustRightInd w:val="0"/>
                              <w:snapToGrid w:val="0"/>
                              <w:ind w:left="1205" w:hanging="1205" w:hangingChars="500"/>
                              <w:rPr>
                                <w:rFonts w:ascii="黑体" w:hAnsi="黑体" w:eastAsia="黑体"/>
                                <w:b/>
                                <w:sz w:val="24"/>
                              </w:rPr>
                            </w:pPr>
                          </w:p>
                          <w:p>
                            <w:pPr>
                              <w:adjustRightInd w:val="0"/>
                              <w:snapToGrid w:val="0"/>
                              <w:ind w:left="1205" w:hanging="1205" w:hangingChars="500"/>
                              <w:rPr>
                                <w:rFonts w:ascii="黑体" w:hAnsi="黑体" w:eastAsia="黑体"/>
                                <w:b/>
                                <w:sz w:val="24"/>
                              </w:rPr>
                            </w:pPr>
                          </w:p>
                          <w:p>
                            <w:pPr>
                              <w:adjustRightInd w:val="0"/>
                              <w:snapToGrid w:val="0"/>
                              <w:rPr>
                                <w:rFonts w:ascii="黑体" w:hAnsi="黑体" w:eastAsia="黑体"/>
                                <w:b/>
                                <w:sz w:val="24"/>
                              </w:rPr>
                            </w:pPr>
                          </w:p>
                          <w:p>
                            <w:pPr>
                              <w:adjustRightInd w:val="0"/>
                              <w:snapToGrid w:val="0"/>
                              <w:rPr>
                                <w:rFonts w:ascii="黑体" w:hAnsi="黑体" w:eastAsia="黑体"/>
                                <w:b/>
                                <w:sz w:val="24"/>
                              </w:rPr>
                            </w:pPr>
                            <w:r>
                              <w:rPr>
                                <w:rFonts w:hAnsi="黑体" w:eastAsia="黑体"/>
                                <w:b/>
                                <w:bCs/>
                                <w:sz w:val="24"/>
                              </w:rPr>
                              <w:t>法定代表人或负责人：</w:t>
                            </w:r>
                          </w:p>
                          <w:p>
                            <w:pPr>
                              <w:adjustRightInd w:val="0"/>
                              <w:snapToGrid w:val="0"/>
                              <w:rPr>
                                <w:rFonts w:ascii="黑体" w:hAnsi="黑体" w:eastAsia="黑体"/>
                                <w:b/>
                                <w:sz w:val="24"/>
                              </w:rPr>
                            </w:pPr>
                            <w:r>
                              <w:rPr>
                                <w:rFonts w:hint="eastAsia" w:ascii="黑体" w:hAnsi="黑体" w:eastAsia="黑体"/>
                                <w:b/>
                                <w:sz w:val="24"/>
                              </w:rPr>
                              <w:t>（签字）</w:t>
                            </w:r>
                          </w:p>
                          <w:p>
                            <w:pPr>
                              <w:adjustRightInd w:val="0"/>
                              <w:snapToGrid w:val="0"/>
                              <w:rPr>
                                <w:rFonts w:ascii="黑体" w:hAnsi="黑体" w:eastAsia="黑体"/>
                                <w:b/>
                                <w:sz w:val="24"/>
                              </w:rPr>
                            </w:pPr>
                          </w:p>
                          <w:p>
                            <w:pPr>
                              <w:adjustRightInd w:val="0"/>
                              <w:snapToGrid w:val="0"/>
                              <w:rPr>
                                <w:rFonts w:ascii="黑体" w:hAnsi="黑体" w:eastAsia="黑体"/>
                                <w:b/>
                                <w:sz w:val="24"/>
                              </w:rPr>
                            </w:pPr>
                          </w:p>
                          <w:p>
                            <w:pPr>
                              <w:adjustRightInd w:val="0"/>
                              <w:snapToGrid w:val="0"/>
                              <w:ind w:firstLine="120" w:firstLineChars="50"/>
                              <w:rPr>
                                <w:rFonts w:ascii="黑体" w:hAnsi="黑体" w:eastAsia="黑体"/>
                                <w:b/>
                              </w:rPr>
                            </w:pPr>
                            <w:r>
                              <w:rPr>
                                <w:rFonts w:hint="eastAsia" w:ascii="黑体" w:hAnsi="黑体" w:eastAsia="黑体"/>
                                <w:b/>
                                <w:sz w:val="24"/>
                              </w:rPr>
                              <w:t>年月日</w:t>
                            </w:r>
                          </w:p>
                        </w:txbxContent>
                      </wps:txbx>
                      <wps:bodyPr upright="1"/>
                    </wps:wsp>
                  </a:graphicData>
                </a:graphic>
              </wp:anchor>
            </w:drawing>
          </mc:Choice>
          <mc:Fallback>
            <w:pict>
              <v:shape id="_x0000_s1026" o:spid="_x0000_s1026" o:spt="202" type="#_x0000_t202" style="position:absolute;left:0pt;margin-left:252pt;margin-top:10pt;height:249.55pt;width:199.5pt;z-index:251659264;mso-width-relative:page;mso-height-relative:page;" filled="f" stroked="f" coordsize="21600,21600" o:gfxdata="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l6M8T1gAAAAoBAAAPAAAAAAAAAAEA&#10;IAAAACIAAABkcnMvZG93bnJldi54bWxQSwECFAAUAAAACACHTuJAYPWjzJ8BAAAYAwAADgAAAAAA&#10;AAABACAAAAAlAQAAZHJzL2Uyb0RvYy54bWxQSwUGAAAAAAYABgBZAQAANgUAAAAA&#10;">
                <v:fill on="f" focussize="0,0"/>
                <v:stroke on="f"/>
                <v:imagedata o:title=""/>
                <o:lock v:ext="edit" aspectratio="f"/>
                <v:textbox>
                  <w:txbxContent>
                    <w:p>
                      <w:pPr>
                        <w:adjustRightInd w:val="0"/>
                        <w:snapToGrid w:val="0"/>
                        <w:rPr>
                          <w:rFonts w:ascii="黑体" w:hAnsi="黑体" w:eastAsia="黑体"/>
                          <w:b/>
                          <w:sz w:val="24"/>
                        </w:rPr>
                      </w:pPr>
                      <w:r>
                        <w:rPr>
                          <w:rFonts w:hint="eastAsia" w:ascii="黑体" w:hAnsi="黑体" w:eastAsia="黑体"/>
                          <w:b/>
                          <w:sz w:val="24"/>
                        </w:rPr>
                        <w:t>乙方</w:t>
                      </w:r>
                    </w:p>
                    <w:p>
                      <w:pPr>
                        <w:adjustRightInd w:val="0"/>
                        <w:snapToGrid w:val="0"/>
                        <w:rPr>
                          <w:rFonts w:ascii="黑体" w:hAnsi="黑体" w:eastAsia="黑体"/>
                          <w:b/>
                          <w:bCs/>
                          <w:snapToGrid w:val="0"/>
                          <w:sz w:val="24"/>
                        </w:rPr>
                      </w:pPr>
                    </w:p>
                    <w:p>
                      <w:pPr>
                        <w:pStyle w:val="62"/>
                        <w:ind w:firstLine="1305" w:firstLineChars="500"/>
                        <w:rPr>
                          <w:rFonts w:ascii="黑体" w:hAnsi="黑体" w:eastAsia="黑体"/>
                          <w:b/>
                          <w:bCs/>
                          <w:snapToGrid w:val="0"/>
                        </w:rPr>
                      </w:pPr>
                      <w:r>
                        <w:rPr>
                          <w:rFonts w:hint="eastAsia" w:ascii="黑体" w:hAnsi="黑体" w:eastAsia="黑体"/>
                          <w:b/>
                        </w:rPr>
                        <w:t>有限公司</w:t>
                      </w:r>
                    </w:p>
                    <w:p>
                      <w:pPr>
                        <w:pStyle w:val="62"/>
                        <w:rPr>
                          <w:rFonts w:ascii="黑体" w:hAnsi="黑体" w:eastAsia="黑体"/>
                          <w:b/>
                          <w:bCs/>
                          <w:snapToGrid w:val="0"/>
                        </w:rPr>
                      </w:pPr>
                    </w:p>
                    <w:p>
                      <w:pPr>
                        <w:adjustRightInd w:val="0"/>
                        <w:snapToGrid w:val="0"/>
                        <w:ind w:firstLine="1202" w:firstLineChars="499"/>
                        <w:rPr>
                          <w:rFonts w:ascii="黑体" w:hAnsi="黑体" w:eastAsia="黑体"/>
                          <w:b/>
                          <w:sz w:val="24"/>
                        </w:rPr>
                      </w:pPr>
                      <w:r>
                        <w:rPr>
                          <w:rFonts w:hint="eastAsia" w:ascii="黑体" w:hAnsi="黑体" w:eastAsia="黑体"/>
                          <w:b/>
                          <w:sz w:val="24"/>
                        </w:rPr>
                        <w:t>（盖章）</w:t>
                      </w:r>
                    </w:p>
                    <w:p>
                      <w:pPr>
                        <w:adjustRightInd w:val="0"/>
                        <w:snapToGrid w:val="0"/>
                        <w:ind w:left="1205" w:hanging="1205" w:hangingChars="500"/>
                        <w:rPr>
                          <w:rFonts w:ascii="黑体" w:hAnsi="黑体" w:eastAsia="黑体"/>
                          <w:b/>
                          <w:sz w:val="24"/>
                        </w:rPr>
                      </w:pPr>
                    </w:p>
                    <w:p>
                      <w:pPr>
                        <w:adjustRightInd w:val="0"/>
                        <w:snapToGrid w:val="0"/>
                        <w:ind w:left="1205" w:hanging="1205" w:hangingChars="500"/>
                        <w:rPr>
                          <w:rFonts w:ascii="黑体" w:hAnsi="黑体" w:eastAsia="黑体"/>
                          <w:b/>
                          <w:sz w:val="24"/>
                        </w:rPr>
                      </w:pPr>
                    </w:p>
                    <w:p>
                      <w:pPr>
                        <w:adjustRightInd w:val="0"/>
                        <w:snapToGrid w:val="0"/>
                        <w:rPr>
                          <w:rFonts w:ascii="黑体" w:hAnsi="黑体" w:eastAsia="黑体"/>
                          <w:b/>
                          <w:sz w:val="24"/>
                        </w:rPr>
                      </w:pPr>
                    </w:p>
                    <w:p>
                      <w:pPr>
                        <w:adjustRightInd w:val="0"/>
                        <w:snapToGrid w:val="0"/>
                        <w:rPr>
                          <w:rFonts w:ascii="黑体" w:hAnsi="黑体" w:eastAsia="黑体"/>
                          <w:b/>
                          <w:sz w:val="24"/>
                        </w:rPr>
                      </w:pPr>
                      <w:r>
                        <w:rPr>
                          <w:rFonts w:hAnsi="黑体" w:eastAsia="黑体"/>
                          <w:b/>
                          <w:bCs/>
                          <w:sz w:val="24"/>
                        </w:rPr>
                        <w:t>法定代表人或负责人：</w:t>
                      </w:r>
                    </w:p>
                    <w:p>
                      <w:pPr>
                        <w:adjustRightInd w:val="0"/>
                        <w:snapToGrid w:val="0"/>
                        <w:rPr>
                          <w:rFonts w:ascii="黑体" w:hAnsi="黑体" w:eastAsia="黑体"/>
                          <w:b/>
                          <w:sz w:val="24"/>
                        </w:rPr>
                      </w:pPr>
                      <w:r>
                        <w:rPr>
                          <w:rFonts w:hint="eastAsia" w:ascii="黑体" w:hAnsi="黑体" w:eastAsia="黑体"/>
                          <w:b/>
                          <w:sz w:val="24"/>
                        </w:rPr>
                        <w:t>（签字）</w:t>
                      </w:r>
                    </w:p>
                    <w:p>
                      <w:pPr>
                        <w:adjustRightInd w:val="0"/>
                        <w:snapToGrid w:val="0"/>
                        <w:rPr>
                          <w:rFonts w:ascii="黑体" w:hAnsi="黑体" w:eastAsia="黑体"/>
                          <w:b/>
                          <w:sz w:val="24"/>
                        </w:rPr>
                      </w:pPr>
                    </w:p>
                    <w:p>
                      <w:pPr>
                        <w:adjustRightInd w:val="0"/>
                        <w:snapToGrid w:val="0"/>
                        <w:rPr>
                          <w:rFonts w:ascii="黑体" w:hAnsi="黑体" w:eastAsia="黑体"/>
                          <w:b/>
                          <w:sz w:val="24"/>
                        </w:rPr>
                      </w:pPr>
                    </w:p>
                    <w:p>
                      <w:pPr>
                        <w:adjustRightInd w:val="0"/>
                        <w:snapToGrid w:val="0"/>
                        <w:ind w:firstLine="120" w:firstLineChars="50"/>
                        <w:rPr>
                          <w:rFonts w:ascii="黑体" w:hAnsi="黑体" w:eastAsia="黑体"/>
                          <w:b/>
                        </w:rPr>
                      </w:pPr>
                      <w:r>
                        <w:rPr>
                          <w:rFonts w:hint="eastAsia" w:ascii="黑体" w:hAnsi="黑体" w:eastAsia="黑体"/>
                          <w:b/>
                          <w:sz w:val="24"/>
                        </w:rPr>
                        <w:t>年月日</w:t>
                      </w:r>
                    </w:p>
                  </w:txbxContent>
                </v:textbox>
              </v:shape>
            </w:pict>
          </mc:Fallback>
        </mc:AlternateContent>
      </w:r>
    </w:p>
    <w:p>
      <w:pPr>
        <w:spacing w:line="560" w:lineRule="exact"/>
        <w:ind w:left="4664" w:leftChars="41" w:hanging="4578" w:hangingChars="1900"/>
        <w:jc w:val="center"/>
        <w:rPr>
          <w:b/>
          <w:sz w:val="24"/>
        </w:rPr>
      </w:pPr>
    </w:p>
    <w:p>
      <w:pPr>
        <w:spacing w:line="560" w:lineRule="exact"/>
        <w:ind w:left="4664" w:leftChars="41" w:hanging="4578" w:hangingChars="1900"/>
        <w:jc w:val="center"/>
        <w:rPr>
          <w:b/>
          <w:sz w:val="24"/>
        </w:rPr>
      </w:pPr>
    </w:p>
    <w:p>
      <w:pPr>
        <w:spacing w:line="560" w:lineRule="exact"/>
        <w:ind w:left="4664" w:leftChars="41" w:hanging="4578" w:hangingChars="1900"/>
        <w:jc w:val="center"/>
        <w:rPr>
          <w:b/>
          <w:sz w:val="24"/>
        </w:rPr>
      </w:pPr>
    </w:p>
    <w:p>
      <w:pPr>
        <w:spacing w:line="560" w:lineRule="exact"/>
        <w:ind w:left="4664" w:leftChars="41" w:hanging="4578" w:hangingChars="1900"/>
        <w:jc w:val="center"/>
        <w:rPr>
          <w:b/>
          <w:sz w:val="24"/>
        </w:rPr>
      </w:pPr>
    </w:p>
    <w:p>
      <w:pPr>
        <w:spacing w:line="560" w:lineRule="exact"/>
        <w:ind w:left="4664" w:leftChars="41" w:hanging="4578" w:hangingChars="1900"/>
        <w:jc w:val="center"/>
        <w:rPr>
          <w:b/>
          <w:sz w:val="24"/>
        </w:rPr>
      </w:pPr>
    </w:p>
    <w:p>
      <w:pPr>
        <w:spacing w:line="560" w:lineRule="exact"/>
        <w:ind w:left="4664" w:leftChars="41" w:hanging="4578" w:hangingChars="1900"/>
        <w:jc w:val="center"/>
        <w:rPr>
          <w:b/>
          <w:sz w:val="24"/>
        </w:rPr>
      </w:pPr>
    </w:p>
    <w:p>
      <w:pPr>
        <w:spacing w:line="560" w:lineRule="exact"/>
        <w:ind w:left="4664" w:leftChars="41" w:hanging="4578" w:hangingChars="1900"/>
        <w:jc w:val="center"/>
        <w:rPr>
          <w:b/>
          <w:sz w:val="24"/>
        </w:rPr>
      </w:pPr>
    </w:p>
    <w:p>
      <w:pPr>
        <w:spacing w:line="560" w:lineRule="exact"/>
        <w:ind w:left="4664" w:leftChars="41" w:hanging="4578" w:hangingChars="1900"/>
        <w:jc w:val="center"/>
        <w:rPr>
          <w:b/>
          <w:sz w:val="24"/>
        </w:rPr>
      </w:pPr>
    </w:p>
    <w:p>
      <w:pPr>
        <w:spacing w:line="560" w:lineRule="exact"/>
        <w:ind w:left="4664" w:leftChars="41" w:hanging="4578" w:hangingChars="1900"/>
        <w:jc w:val="center"/>
        <w:rPr>
          <w:b/>
          <w:sz w:val="24"/>
        </w:rPr>
      </w:pPr>
    </w:p>
    <w:p>
      <w:pPr>
        <w:spacing w:line="560" w:lineRule="exact"/>
        <w:jc w:val="left"/>
        <w:rPr>
          <w:rFonts w:ascii="宋体" w:hAnsi="宋体" w:cs="宋体"/>
          <w:sz w:val="24"/>
        </w:rPr>
      </w:pPr>
    </w:p>
    <w:p>
      <w:pPr>
        <w:spacing w:line="560" w:lineRule="exact"/>
        <w:jc w:val="left"/>
        <w:rPr>
          <w:rFonts w:ascii="宋体" w:hAnsi="宋体" w:cs="宋体"/>
          <w:sz w:val="24"/>
        </w:rPr>
      </w:pPr>
    </w:p>
    <w:p>
      <w:pPr>
        <w:spacing w:line="560" w:lineRule="exact"/>
        <w:jc w:val="left"/>
        <w:rPr>
          <w:rFonts w:ascii="宋体" w:hAnsi="宋体" w:cs="宋体"/>
          <w:sz w:val="24"/>
        </w:rPr>
      </w:pPr>
    </w:p>
    <w:p>
      <w:pPr>
        <w:spacing w:line="560" w:lineRule="exact"/>
        <w:jc w:val="left"/>
        <w:rPr>
          <w:rFonts w:ascii="宋体" w:hAnsi="宋体" w:cs="宋体"/>
          <w:sz w:val="24"/>
        </w:rPr>
      </w:pPr>
    </w:p>
    <w:p>
      <w:pPr>
        <w:spacing w:line="560" w:lineRule="exact"/>
        <w:jc w:val="left"/>
        <w:rPr>
          <w:rFonts w:ascii="宋体" w:hAnsi="宋体" w:cs="宋体"/>
          <w:sz w:val="24"/>
        </w:rPr>
      </w:pPr>
    </w:p>
    <w:p>
      <w:pPr>
        <w:spacing w:line="560" w:lineRule="exact"/>
        <w:jc w:val="left"/>
        <w:rPr>
          <w:rFonts w:ascii="宋体" w:hAnsi="宋体" w:cs="宋体"/>
          <w:sz w:val="24"/>
        </w:rPr>
      </w:pPr>
    </w:p>
    <w:p>
      <w:pPr>
        <w:spacing w:line="560" w:lineRule="exact"/>
        <w:jc w:val="left"/>
        <w:rPr>
          <w:rFonts w:ascii="宋体" w:hAnsi="宋体" w:cs="宋体"/>
          <w:sz w:val="24"/>
        </w:rPr>
      </w:pPr>
    </w:p>
    <w:p>
      <w:pPr>
        <w:spacing w:line="560" w:lineRule="exact"/>
        <w:jc w:val="left"/>
        <w:rPr>
          <w:rFonts w:ascii="宋体" w:hAnsi="宋体" w:cs="宋体"/>
          <w:sz w:val="24"/>
        </w:rPr>
      </w:pPr>
    </w:p>
    <w:p>
      <w:pPr>
        <w:pStyle w:val="354"/>
        <w:spacing w:line="560" w:lineRule="exact"/>
        <w:rPr>
          <w:rFonts w:ascii="宋体" w:hAnsi="宋体" w:cs="宋体"/>
          <w:sz w:val="24"/>
        </w:rPr>
      </w:pPr>
    </w:p>
    <w:p>
      <w:pPr>
        <w:pStyle w:val="354"/>
        <w:spacing w:line="560" w:lineRule="exact"/>
        <w:rPr>
          <w:rFonts w:ascii="宋体" w:hAnsi="宋体" w:cs="宋体"/>
          <w:sz w:val="24"/>
        </w:rPr>
      </w:pPr>
    </w:p>
    <w:p>
      <w:pPr>
        <w:pStyle w:val="354"/>
        <w:spacing w:line="560" w:lineRule="exact"/>
        <w:rPr>
          <w:rFonts w:ascii="宋体" w:hAnsi="宋体" w:cs="宋体"/>
          <w:sz w:val="24"/>
        </w:rPr>
      </w:pPr>
    </w:p>
    <w:p>
      <w:pPr>
        <w:pStyle w:val="354"/>
        <w:spacing w:line="560" w:lineRule="exact"/>
        <w:ind w:firstLine="0" w:firstLineChars="0"/>
        <w:rPr>
          <w:rFonts w:ascii="宋体" w:hAnsi="宋体" w:cs="宋体"/>
          <w:sz w:val="24"/>
        </w:rPr>
      </w:pPr>
    </w:p>
    <w:p>
      <w:pPr>
        <w:spacing w:line="560" w:lineRule="exact"/>
        <w:jc w:val="left"/>
        <w:rPr>
          <w:rFonts w:ascii="宋体" w:hAnsi="宋体" w:cs="宋体"/>
          <w:b/>
          <w:sz w:val="24"/>
        </w:rPr>
      </w:pPr>
      <w:r>
        <w:rPr>
          <w:rFonts w:hint="eastAsia" w:ascii="宋体" w:hAnsi="宋体" w:cs="宋体"/>
          <w:b/>
          <w:sz w:val="24"/>
        </w:rPr>
        <w:t>合同附件一：</w:t>
      </w:r>
    </w:p>
    <w:p>
      <w:pPr>
        <w:spacing w:line="560" w:lineRule="exact"/>
        <w:jc w:val="center"/>
        <w:rPr>
          <w:rFonts w:ascii="宋体" w:hAnsi="宋体" w:cs="宋体"/>
          <w:b/>
          <w:sz w:val="28"/>
          <w:szCs w:val="28"/>
        </w:rPr>
      </w:pPr>
      <w:r>
        <w:rPr>
          <w:rFonts w:hint="eastAsia" w:ascii="宋体" w:hAnsi="宋体" w:cs="宋体"/>
          <w:b/>
          <w:sz w:val="28"/>
          <w:szCs w:val="28"/>
        </w:rPr>
        <w:t>测评服务内容和要求</w:t>
      </w:r>
    </w:p>
    <w:p>
      <w:pPr>
        <w:spacing w:line="560" w:lineRule="exact"/>
        <w:ind w:left="4664" w:leftChars="41" w:hanging="4578" w:hangingChars="1900"/>
        <w:jc w:val="left"/>
        <w:rPr>
          <w:rFonts w:ascii="宋体" w:hAnsi="宋体" w:cs="宋体"/>
          <w:b/>
          <w:sz w:val="24"/>
        </w:rPr>
      </w:pPr>
    </w:p>
    <w:p>
      <w:pPr>
        <w:numPr>
          <w:ilvl w:val="0"/>
          <w:numId w:val="59"/>
        </w:numPr>
        <w:tabs>
          <w:tab w:val="left" w:pos="360"/>
          <w:tab w:val="left" w:pos="420"/>
          <w:tab w:val="left" w:pos="1350"/>
        </w:tabs>
        <w:spacing w:line="560" w:lineRule="exact"/>
        <w:rPr>
          <w:rFonts w:ascii="宋体" w:hAnsi="宋体" w:cs="宋体"/>
          <w:sz w:val="24"/>
        </w:rPr>
      </w:pPr>
      <w:r>
        <w:rPr>
          <w:rFonts w:hint="eastAsia" w:ascii="宋体" w:hAnsi="宋体" w:cs="宋体"/>
          <w:sz w:val="24"/>
        </w:rPr>
        <w:t>甲方委托乙方针对以下系统按照国家有关规定完成测评服务并交付测评报告：</w:t>
      </w:r>
    </w:p>
    <w:p>
      <w:pPr>
        <w:numPr>
          <w:ilvl w:val="255"/>
          <w:numId w:val="0"/>
        </w:numPr>
        <w:tabs>
          <w:tab w:val="left" w:pos="360"/>
          <w:tab w:val="left" w:pos="420"/>
          <w:tab w:val="left" w:pos="1350"/>
        </w:tabs>
        <w:spacing w:line="560" w:lineRule="exact"/>
        <w:ind w:firstLine="240" w:firstLineChars="100"/>
        <w:rPr>
          <w:rFonts w:ascii="宋体" w:hAnsi="宋体" w:cs="宋体"/>
          <w:sz w:val="24"/>
        </w:rPr>
      </w:pPr>
      <w:r>
        <w:rPr>
          <w:rFonts w:hint="eastAsia" w:ascii="宋体" w:hAnsi="宋体" w:cs="宋体"/>
          <w:sz w:val="24"/>
        </w:rPr>
        <w:t>东莞交投集团数据中心互联网数据中心系统三级一次测评服务；</w:t>
      </w:r>
    </w:p>
    <w:p>
      <w:pPr>
        <w:numPr>
          <w:ilvl w:val="255"/>
          <w:numId w:val="0"/>
        </w:numPr>
        <w:tabs>
          <w:tab w:val="left" w:pos="360"/>
          <w:tab w:val="left" w:pos="420"/>
          <w:tab w:val="left" w:pos="1350"/>
        </w:tabs>
        <w:spacing w:line="560" w:lineRule="exact"/>
        <w:ind w:firstLine="240" w:firstLineChars="100"/>
        <w:rPr>
          <w:rFonts w:ascii="宋体" w:hAnsi="宋体" w:cs="宋体"/>
          <w:sz w:val="24"/>
        </w:rPr>
      </w:pPr>
      <w:r>
        <w:rPr>
          <w:rFonts w:hint="eastAsia" w:ascii="宋体" w:hAnsi="宋体" w:cs="宋体"/>
          <w:sz w:val="24"/>
        </w:rPr>
        <w:t>东莞交投集团数据中心互联网接入服务系统三级一次测评服务；</w:t>
      </w:r>
    </w:p>
    <w:p>
      <w:pPr>
        <w:pStyle w:val="354"/>
        <w:numPr>
          <w:ilvl w:val="255"/>
          <w:numId w:val="0"/>
        </w:numPr>
        <w:spacing w:line="560" w:lineRule="exact"/>
        <w:rPr>
          <w:rFonts w:ascii="宋体" w:hAnsi="宋体" w:cs="宋体"/>
          <w:sz w:val="24"/>
        </w:rPr>
      </w:pPr>
      <w:r>
        <w:rPr>
          <w:rFonts w:hint="eastAsia" w:ascii="宋体" w:hAnsi="宋体" w:cs="宋体"/>
          <w:sz w:val="24"/>
          <w:lang w:val="en-US"/>
        </w:rPr>
        <w:t>2、</w:t>
      </w:r>
      <w:r>
        <w:rPr>
          <w:rFonts w:hint="eastAsia" w:ascii="宋体" w:hAnsi="宋体" w:cs="宋体"/>
          <w:sz w:val="24"/>
        </w:rPr>
        <w:t>测评服务内容：</w:t>
      </w:r>
    </w:p>
    <w:p>
      <w:pPr>
        <w:numPr>
          <w:ilvl w:val="255"/>
          <w:numId w:val="0"/>
        </w:numPr>
        <w:tabs>
          <w:tab w:val="left" w:pos="360"/>
          <w:tab w:val="left" w:pos="420"/>
          <w:tab w:val="left" w:pos="1350"/>
        </w:tabs>
        <w:spacing w:line="560" w:lineRule="exact"/>
        <w:rPr>
          <w:rFonts w:ascii="宋体" w:hAnsi="宋体" w:cs="宋体"/>
          <w:sz w:val="24"/>
        </w:rPr>
      </w:pPr>
      <w:r>
        <w:rPr>
          <w:rFonts w:ascii="宋体" w:hAnsi="宋体" w:cs="宋体"/>
          <w:sz w:val="24"/>
        </w:rPr>
        <w:t>（</w:t>
      </w:r>
      <w:r>
        <w:rPr>
          <w:rFonts w:hint="eastAsia" w:ascii="宋体" w:hAnsi="宋体" w:cs="宋体"/>
          <w:sz w:val="24"/>
        </w:rPr>
        <w:t>1</w:t>
      </w:r>
      <w:r>
        <w:rPr>
          <w:rFonts w:ascii="宋体" w:hAnsi="宋体" w:cs="宋体"/>
          <w:sz w:val="24"/>
        </w:rPr>
        <w:t>）</w:t>
      </w:r>
      <w:r>
        <w:rPr>
          <w:rFonts w:hint="eastAsia" w:ascii="宋体" w:hAnsi="宋体" w:cs="宋体"/>
          <w:sz w:val="24"/>
        </w:rPr>
        <w:t>在甲方具备测试服务的环境和条件后，及在甲方相应的配合下，乙方指派相应称技术人员到甲方指定的场所，利用安全测评工具或相关技术手段对甲方指定的测评对象的信息系统进行安全测评。</w:t>
      </w:r>
    </w:p>
    <w:p>
      <w:pPr>
        <w:numPr>
          <w:ilvl w:val="255"/>
          <w:numId w:val="0"/>
        </w:numPr>
        <w:tabs>
          <w:tab w:val="left" w:pos="360"/>
          <w:tab w:val="left" w:pos="420"/>
          <w:tab w:val="left" w:pos="1350"/>
        </w:tabs>
        <w:spacing w:line="560" w:lineRule="exact"/>
        <w:rPr>
          <w:rFonts w:ascii="宋体" w:hAnsi="宋体" w:cs="宋体"/>
          <w:sz w:val="24"/>
        </w:rPr>
      </w:pPr>
      <w:r>
        <w:rPr>
          <w:rFonts w:ascii="宋体" w:hAnsi="宋体" w:cs="宋体"/>
          <w:sz w:val="24"/>
        </w:rPr>
        <w:t>（</w:t>
      </w:r>
      <w:r>
        <w:rPr>
          <w:rFonts w:hint="eastAsia" w:ascii="宋体" w:hAnsi="宋体" w:cs="宋体"/>
          <w:sz w:val="24"/>
        </w:rPr>
        <w:t>2</w:t>
      </w:r>
      <w:r>
        <w:rPr>
          <w:rFonts w:ascii="宋体" w:hAnsi="宋体" w:cs="宋体"/>
          <w:sz w:val="24"/>
        </w:rPr>
        <w:t>）</w:t>
      </w:r>
      <w:r>
        <w:rPr>
          <w:rFonts w:hint="eastAsia" w:ascii="宋体" w:hAnsi="宋体" w:cs="宋体"/>
          <w:sz w:val="24"/>
        </w:rPr>
        <w:t>测评服务阶段：</w:t>
      </w:r>
    </w:p>
    <w:p>
      <w:pPr>
        <w:numPr>
          <w:ilvl w:val="0"/>
          <w:numId w:val="60"/>
        </w:numPr>
        <w:tabs>
          <w:tab w:val="left" w:pos="360"/>
          <w:tab w:val="left" w:pos="420"/>
          <w:tab w:val="left" w:pos="1350"/>
          <w:tab w:val="clear" w:pos="312"/>
        </w:tabs>
        <w:spacing w:line="560" w:lineRule="exact"/>
        <w:rPr>
          <w:rFonts w:ascii="宋体" w:hAnsi="宋体" w:cs="宋体"/>
          <w:sz w:val="24"/>
        </w:rPr>
      </w:pPr>
      <w:r>
        <w:rPr>
          <w:rFonts w:hint="eastAsia" w:ascii="宋体" w:hAnsi="宋体" w:cs="宋体"/>
          <w:sz w:val="24"/>
        </w:rPr>
        <w:t>调研和测评方案阶段：通过调研表调研获取测评对象信息系统的基本情况，以掌握系统运行的环境、网络设备、安全设备、服务器、数据库、应用系统、操作终端和管理制度等方面信息，制定测评方案。</w:t>
      </w:r>
    </w:p>
    <w:p>
      <w:pPr>
        <w:numPr>
          <w:ilvl w:val="0"/>
          <w:numId w:val="60"/>
        </w:numPr>
        <w:tabs>
          <w:tab w:val="left" w:pos="360"/>
          <w:tab w:val="left" w:pos="420"/>
          <w:tab w:val="left" w:pos="1350"/>
          <w:tab w:val="clear" w:pos="312"/>
        </w:tabs>
        <w:spacing w:line="560" w:lineRule="exact"/>
        <w:rPr>
          <w:rFonts w:ascii="宋体" w:hAnsi="宋体" w:cs="宋体"/>
          <w:sz w:val="24"/>
        </w:rPr>
      </w:pPr>
      <w:r>
        <w:rPr>
          <w:rFonts w:hint="eastAsia" w:ascii="宋体" w:hAnsi="宋体" w:cs="宋体"/>
          <w:sz w:val="24"/>
        </w:rPr>
        <w:t>现场测评阶段：自甲方提供可备乙方进行本合同的测评服务所需的环境及条件后，甲方授权乙方进行现场测评工作，</w:t>
      </w:r>
      <w:r>
        <w:rPr>
          <w:rFonts w:hAnsi="宋体"/>
          <w:sz w:val="24"/>
        </w:rPr>
        <w:t>测评工作将涉及到贵单位信息系统的物理环境、主机系统（含操作系统和数据库）、网络系统、应用系统和数据以及管理制度与规章</w:t>
      </w:r>
      <w:r>
        <w:rPr>
          <w:rFonts w:hint="eastAsia" w:hAnsi="宋体"/>
          <w:sz w:val="24"/>
        </w:rPr>
        <w:t>等</w:t>
      </w:r>
      <w:r>
        <w:rPr>
          <w:rFonts w:hAnsi="宋体"/>
          <w:sz w:val="24"/>
        </w:rPr>
        <w:t>，并将查看相关的日志等资料。</w:t>
      </w:r>
    </w:p>
    <w:p>
      <w:pPr>
        <w:numPr>
          <w:ilvl w:val="0"/>
          <w:numId w:val="60"/>
        </w:numPr>
        <w:tabs>
          <w:tab w:val="left" w:pos="360"/>
          <w:tab w:val="left" w:pos="420"/>
          <w:tab w:val="left" w:pos="1350"/>
          <w:tab w:val="clear" w:pos="312"/>
        </w:tabs>
        <w:spacing w:line="560" w:lineRule="exact"/>
        <w:rPr>
          <w:rFonts w:ascii="宋体" w:hAnsi="宋体" w:cs="宋体"/>
          <w:sz w:val="24"/>
        </w:rPr>
      </w:pPr>
      <w:r>
        <w:rPr>
          <w:rFonts w:hint="eastAsia" w:ascii="宋体" w:hAnsi="宋体" w:cs="宋体"/>
          <w:sz w:val="24"/>
        </w:rPr>
        <w:t>安全整改阶段：乙方根据测评结果，可以提出测评发现的安全问题项、整改建议或意见，以便甲方进行整改或解释说明。</w:t>
      </w:r>
    </w:p>
    <w:p>
      <w:pPr>
        <w:numPr>
          <w:ilvl w:val="0"/>
          <w:numId w:val="60"/>
        </w:numPr>
        <w:tabs>
          <w:tab w:val="left" w:pos="360"/>
          <w:tab w:val="left" w:pos="420"/>
          <w:tab w:val="left" w:pos="1350"/>
          <w:tab w:val="clear" w:pos="312"/>
        </w:tabs>
        <w:spacing w:line="560" w:lineRule="exact"/>
        <w:rPr>
          <w:rFonts w:ascii="宋体" w:hAnsi="宋体" w:cs="宋体"/>
          <w:sz w:val="24"/>
        </w:rPr>
      </w:pPr>
      <w:r>
        <w:rPr>
          <w:rFonts w:hint="eastAsia" w:ascii="宋体" w:hAnsi="宋体" w:cs="宋体"/>
          <w:sz w:val="24"/>
        </w:rPr>
        <w:t>撰写测评报告阶段：根据测评结果、甲方的整改情况或反馈情况 ,乙方进行测评项单项符合性判定并形成测评报告。</w:t>
      </w:r>
    </w:p>
    <w:p>
      <w:pPr>
        <w:numPr>
          <w:ilvl w:val="0"/>
          <w:numId w:val="61"/>
        </w:numPr>
        <w:tabs>
          <w:tab w:val="left" w:pos="360"/>
          <w:tab w:val="left" w:pos="420"/>
          <w:tab w:val="left" w:pos="1350"/>
          <w:tab w:val="clear" w:pos="0"/>
        </w:tabs>
        <w:spacing w:line="560" w:lineRule="exact"/>
        <w:rPr>
          <w:rFonts w:ascii="宋体" w:hAnsi="宋体" w:cs="宋体"/>
          <w:sz w:val="24"/>
        </w:rPr>
      </w:pPr>
      <w:r>
        <w:rPr>
          <w:rFonts w:hint="eastAsia" w:ascii="宋体" w:hAnsi="宋体" w:cs="宋体"/>
          <w:sz w:val="24"/>
        </w:rPr>
        <w:t xml:space="preserve">乙方在测评服务期间向甲方提供 7x24 的电话技术支持，技术支持热线：    </w:t>
      </w:r>
      <w:r>
        <w:rPr>
          <w:rFonts w:ascii="宋体" w:hAnsi="宋体" w:cs="宋体"/>
          <w:sz w:val="24"/>
        </w:rPr>
        <w:t xml:space="preserve">  </w:t>
      </w:r>
    </w:p>
    <w:p>
      <w:pPr>
        <w:tabs>
          <w:tab w:val="left" w:pos="0"/>
          <w:tab w:val="left" w:pos="360"/>
          <w:tab w:val="left" w:pos="420"/>
          <w:tab w:val="left" w:pos="1350"/>
        </w:tabs>
        <w:spacing w:line="560" w:lineRule="exact"/>
        <w:rPr>
          <w:rFonts w:ascii="宋体" w:hAnsi="宋体" w:cs="宋体"/>
          <w:sz w:val="24"/>
        </w:rPr>
      </w:pPr>
      <w:r>
        <w:rPr>
          <w:rFonts w:hint="eastAsia" w:ascii="宋体" w:hAnsi="宋体" w:cs="宋体"/>
          <w:sz w:val="24"/>
        </w:rPr>
        <w:t xml:space="preserve">E-mail: </w:t>
      </w:r>
    </w:p>
    <w:p>
      <w:pPr>
        <w:numPr>
          <w:ilvl w:val="0"/>
          <w:numId w:val="61"/>
        </w:numPr>
        <w:tabs>
          <w:tab w:val="left" w:pos="360"/>
          <w:tab w:val="left" w:pos="420"/>
          <w:tab w:val="left" w:pos="1350"/>
          <w:tab w:val="clear" w:pos="0"/>
        </w:tabs>
        <w:spacing w:line="560" w:lineRule="exact"/>
        <w:rPr>
          <w:rFonts w:ascii="宋体" w:hAnsi="宋体" w:cs="宋体"/>
          <w:sz w:val="24"/>
        </w:rPr>
      </w:pPr>
      <w:r>
        <w:rPr>
          <w:rFonts w:hint="eastAsia" w:ascii="宋体" w:hAnsi="宋体" w:cs="宋体"/>
          <w:sz w:val="24"/>
        </w:rPr>
        <w:t>双方应各指派一名协调人代表各方负责附录1项下工作的协调、沟通和联络。各方可随时经对方通知更换该协调人。</w:t>
      </w:r>
    </w:p>
    <w:p>
      <w:pPr>
        <w:tabs>
          <w:tab w:val="left" w:pos="360"/>
          <w:tab w:val="left" w:pos="420"/>
          <w:tab w:val="left" w:pos="1350"/>
        </w:tabs>
        <w:spacing w:line="560" w:lineRule="exact"/>
        <w:ind w:firstLine="480" w:firstLineChars="200"/>
        <w:rPr>
          <w:rFonts w:ascii="宋体" w:hAnsi="宋体" w:cs="宋体"/>
          <w:sz w:val="24"/>
        </w:rPr>
      </w:pPr>
      <w:r>
        <w:rPr>
          <w:rFonts w:hint="eastAsia" w:ascii="宋体" w:hAnsi="宋体" w:cs="宋体"/>
          <w:sz w:val="24"/>
        </w:rPr>
        <w:t>甲方指派【】为协调人，联系方式是【姓名：电话：地址：】。</w:t>
      </w:r>
    </w:p>
    <w:p>
      <w:pPr>
        <w:tabs>
          <w:tab w:val="left" w:pos="360"/>
          <w:tab w:val="left" w:pos="420"/>
          <w:tab w:val="left" w:pos="1350"/>
        </w:tabs>
        <w:spacing w:line="560" w:lineRule="exact"/>
        <w:ind w:firstLine="480" w:firstLineChars="200"/>
        <w:rPr>
          <w:rFonts w:ascii="宋体" w:hAnsi="宋体" w:cs="宋体"/>
          <w:sz w:val="24"/>
        </w:rPr>
      </w:pPr>
      <w:r>
        <w:rPr>
          <w:rFonts w:hint="eastAsia" w:ascii="宋体" w:hAnsi="宋体" w:cs="宋体"/>
          <w:sz w:val="24"/>
        </w:rPr>
        <w:t>乙方指派【】为协调人，联系方式是【姓名：电话：地址：】。</w:t>
      </w:r>
    </w:p>
    <w:p>
      <w:pPr>
        <w:tabs>
          <w:tab w:val="left" w:pos="360"/>
          <w:tab w:val="left" w:pos="420"/>
          <w:tab w:val="left" w:pos="1350"/>
        </w:tabs>
        <w:spacing w:line="560" w:lineRule="exact"/>
        <w:rPr>
          <w:rFonts w:ascii="宋体" w:hAnsi="宋体" w:cs="宋体"/>
          <w:sz w:val="24"/>
        </w:rPr>
      </w:pPr>
    </w:p>
    <w:p>
      <w:pPr>
        <w:tabs>
          <w:tab w:val="left" w:pos="360"/>
          <w:tab w:val="left" w:pos="420"/>
          <w:tab w:val="left" w:pos="1350"/>
        </w:tabs>
        <w:spacing w:line="560" w:lineRule="exact"/>
        <w:rPr>
          <w:rFonts w:ascii="宋体" w:hAnsi="宋体" w:cs="宋体"/>
          <w:sz w:val="24"/>
        </w:rPr>
      </w:pPr>
      <w:r>
        <w:rPr>
          <w:rFonts w:hint="eastAsia" w:ascii="宋体" w:hAnsi="宋体" w:cs="宋体"/>
          <w:sz w:val="24"/>
        </w:rPr>
        <w:t>3、测评报告：</w:t>
      </w:r>
    </w:p>
    <w:p>
      <w:pPr>
        <w:tabs>
          <w:tab w:val="left" w:pos="360"/>
          <w:tab w:val="left" w:pos="420"/>
          <w:tab w:val="left" w:pos="1350"/>
        </w:tabs>
        <w:spacing w:line="560" w:lineRule="exact"/>
        <w:rPr>
          <w:rFonts w:ascii="宋体" w:hAnsi="宋体" w:cs="宋体"/>
          <w:sz w:val="24"/>
        </w:rPr>
      </w:pPr>
      <w:r>
        <w:rPr>
          <w:rFonts w:hint="eastAsia" w:ascii="宋体" w:hAnsi="宋体" w:cs="宋体"/>
          <w:sz w:val="24"/>
        </w:rPr>
        <w:t>（1）乙方在甲方确认测评对象已整改完成或不再进行整改后应在</w:t>
      </w:r>
      <w:r>
        <w:rPr>
          <w:rFonts w:hint="eastAsia" w:ascii="宋体" w:hAnsi="宋体" w:cs="宋体"/>
          <w:sz w:val="24"/>
          <w:u w:val="single"/>
        </w:rPr>
        <w:t xml:space="preserve"> 5  </w:t>
      </w:r>
      <w:r>
        <w:rPr>
          <w:rFonts w:hint="eastAsia" w:ascii="宋体" w:hAnsi="宋体" w:cs="宋体"/>
          <w:sz w:val="24"/>
        </w:rPr>
        <w:t>个工作日内出具测评报告；甲方在收到乙方交付的测评报告后应在</w:t>
      </w:r>
      <w:r>
        <w:rPr>
          <w:rFonts w:hint="eastAsia" w:ascii="宋体" w:hAnsi="宋体" w:cs="宋体"/>
          <w:sz w:val="24"/>
          <w:u w:val="single"/>
        </w:rPr>
        <w:t xml:space="preserve">  5  </w:t>
      </w:r>
      <w:r>
        <w:rPr>
          <w:rFonts w:hint="eastAsia" w:ascii="宋体" w:hAnsi="宋体" w:cs="宋体"/>
          <w:sz w:val="24"/>
        </w:rPr>
        <w:t>个工作日内组织验收，超过期限不验收的则视为验收合格。</w:t>
      </w:r>
    </w:p>
    <w:p>
      <w:pPr>
        <w:tabs>
          <w:tab w:val="left" w:pos="360"/>
          <w:tab w:val="left" w:pos="420"/>
          <w:tab w:val="left" w:pos="1350"/>
        </w:tabs>
        <w:spacing w:line="560" w:lineRule="exact"/>
        <w:rPr>
          <w:rFonts w:ascii="宋体" w:hAnsi="宋体" w:cs="宋体"/>
          <w:sz w:val="24"/>
        </w:rPr>
      </w:pPr>
      <w:r>
        <w:rPr>
          <w:rFonts w:hint="eastAsia" w:ascii="宋体" w:hAnsi="宋体" w:cs="宋体"/>
          <w:sz w:val="24"/>
        </w:rPr>
        <w:t>（2）测评报告仅针对本合同约定的测评对象信息系统的安全保护状况进行测评的结果，并非是对甲方的测评对象的信息系统从事的业务合法性、合规性进行评价分析和保证。测评报告结论的有效性建立在甲方提供的测评对象相关材料的真实性、合法性基础之上。</w:t>
      </w:r>
    </w:p>
    <w:p>
      <w:pPr>
        <w:spacing w:line="560" w:lineRule="exact"/>
        <w:rPr>
          <w:rFonts w:ascii="宋体" w:hAnsi="宋体" w:cs="宋体"/>
          <w:sz w:val="24"/>
        </w:rPr>
      </w:pPr>
      <w:r>
        <w:rPr>
          <w:rFonts w:hint="eastAsia" w:ascii="宋体" w:hAnsi="宋体" w:cs="宋体"/>
          <w:sz w:val="24"/>
        </w:rPr>
        <w:t>（3）如测评对象</w:t>
      </w:r>
      <w:r>
        <w:rPr>
          <w:rFonts w:hint="eastAsia" w:ascii="宋体" w:hAnsi="宋体" w:cs="宋体"/>
          <w:bCs/>
          <w:sz w:val="24"/>
        </w:rPr>
        <w:t>信息系统涉及个人信息，测评报告仅对</w:t>
      </w:r>
      <w:r>
        <w:rPr>
          <w:rFonts w:hint="eastAsia" w:ascii="宋体" w:hAnsi="宋体" w:cs="宋体"/>
          <w:sz w:val="24"/>
        </w:rPr>
        <w:t>测评对象信息系统个人信息采集、保存、访问、使用等已检测内容和检测范围情况进行符合性判断。</w:t>
      </w:r>
    </w:p>
    <w:p>
      <w:pPr>
        <w:tabs>
          <w:tab w:val="left" w:pos="360"/>
          <w:tab w:val="left" w:pos="420"/>
          <w:tab w:val="left" w:pos="1350"/>
        </w:tabs>
        <w:spacing w:line="560" w:lineRule="exact"/>
        <w:rPr>
          <w:rFonts w:ascii="宋体" w:hAnsi="宋体" w:cs="宋体"/>
          <w:sz w:val="24"/>
        </w:rPr>
      </w:pPr>
      <w:r>
        <w:rPr>
          <w:rFonts w:hint="eastAsia" w:ascii="宋体" w:hAnsi="宋体" w:cs="宋体"/>
          <w:sz w:val="24"/>
        </w:rPr>
        <w:t>4、测评服务周期：自合同签订后，实施服务周期应不超过一年。测评对象系统需要整改的，自乙方首次提出测评问题或整改建议或意见后,甲方整改期限应不超过半年。若甲方因各种原因未在前述期限内完成全部整改或因甲方原因导致测评服务无法在测评服务周期内完成，则乙方有权根据国家有关规定和实际测评结果出具测评报告或终止合同。</w:t>
      </w:r>
    </w:p>
    <w:p>
      <w:pPr>
        <w:tabs>
          <w:tab w:val="left" w:pos="360"/>
          <w:tab w:val="left" w:pos="420"/>
          <w:tab w:val="left" w:pos="1350"/>
        </w:tabs>
        <w:spacing w:line="560" w:lineRule="exact"/>
        <w:rPr>
          <w:rFonts w:ascii="宋体" w:hAnsi="宋体" w:cs="宋体"/>
          <w:sz w:val="24"/>
        </w:rPr>
      </w:pPr>
      <w:r>
        <w:rPr>
          <w:rFonts w:hint="eastAsia" w:ascii="宋体" w:hAnsi="宋体" w:cs="宋体"/>
          <w:sz w:val="24"/>
        </w:rPr>
        <w:t>5、测评服务的影响或风险及应对措施：</w:t>
      </w:r>
    </w:p>
    <w:p>
      <w:pPr>
        <w:tabs>
          <w:tab w:val="left" w:pos="360"/>
          <w:tab w:val="left" w:pos="420"/>
          <w:tab w:val="left" w:pos="1350"/>
        </w:tabs>
        <w:spacing w:line="560" w:lineRule="exact"/>
        <w:rPr>
          <w:rFonts w:ascii="宋体" w:hAnsi="宋体" w:cs="宋体"/>
          <w:sz w:val="24"/>
        </w:rPr>
      </w:pPr>
      <w:r>
        <w:rPr>
          <w:rFonts w:hint="eastAsia" w:ascii="宋体" w:hAnsi="宋体" w:cs="宋体"/>
          <w:sz w:val="24"/>
        </w:rPr>
        <w:t>（1）乙方在测评前负责向甲方说明各项测评采用的工具、技术手段及对网络系统、信息系统可能带来的影响。乙方在进行等级测评现场工作时，可能会给被测系统带来包括但不限于如下风险：</w:t>
      </w:r>
    </w:p>
    <w:p>
      <w:pPr>
        <w:numPr>
          <w:ilvl w:val="0"/>
          <w:numId w:val="62"/>
        </w:numPr>
        <w:spacing w:line="560" w:lineRule="exact"/>
        <w:ind w:firstLine="300"/>
        <w:rPr>
          <w:rFonts w:ascii="宋体" w:hAnsi="宋体" w:cs="宋体"/>
          <w:sz w:val="24"/>
        </w:rPr>
      </w:pPr>
      <w:r>
        <w:rPr>
          <w:rFonts w:hint="eastAsia" w:ascii="宋体" w:hAnsi="宋体" w:cs="宋体"/>
          <w:sz w:val="24"/>
        </w:rPr>
        <w:t>网络性能变慢；</w:t>
      </w:r>
    </w:p>
    <w:p>
      <w:pPr>
        <w:numPr>
          <w:ilvl w:val="0"/>
          <w:numId w:val="62"/>
        </w:numPr>
        <w:spacing w:line="560" w:lineRule="exact"/>
        <w:ind w:firstLine="300"/>
        <w:rPr>
          <w:rFonts w:ascii="宋体" w:hAnsi="宋体" w:cs="宋体"/>
          <w:sz w:val="24"/>
        </w:rPr>
      </w:pPr>
      <w:r>
        <w:rPr>
          <w:rFonts w:hint="eastAsia" w:ascii="宋体" w:hAnsi="宋体" w:cs="宋体"/>
          <w:sz w:val="24"/>
        </w:rPr>
        <w:t>网络设备性能变慢或停机；</w:t>
      </w:r>
    </w:p>
    <w:p>
      <w:pPr>
        <w:numPr>
          <w:ilvl w:val="0"/>
          <w:numId w:val="62"/>
        </w:numPr>
        <w:spacing w:line="560" w:lineRule="exact"/>
        <w:ind w:firstLine="300"/>
        <w:rPr>
          <w:rFonts w:ascii="宋体" w:hAnsi="宋体" w:cs="宋体"/>
          <w:sz w:val="24"/>
        </w:rPr>
      </w:pPr>
      <w:r>
        <w:rPr>
          <w:rFonts w:hint="eastAsia" w:ascii="宋体" w:hAnsi="宋体" w:cs="宋体"/>
          <w:sz w:val="24"/>
        </w:rPr>
        <w:t>主机服务器性能变慢或停机；</w:t>
      </w:r>
    </w:p>
    <w:p>
      <w:pPr>
        <w:numPr>
          <w:ilvl w:val="0"/>
          <w:numId w:val="62"/>
        </w:numPr>
        <w:spacing w:line="560" w:lineRule="exact"/>
        <w:ind w:firstLine="300"/>
        <w:rPr>
          <w:rFonts w:ascii="宋体" w:hAnsi="宋体" w:cs="宋体"/>
          <w:sz w:val="24"/>
        </w:rPr>
      </w:pPr>
      <w:r>
        <w:rPr>
          <w:rFonts w:hint="eastAsia" w:ascii="宋体" w:hAnsi="宋体" w:cs="宋体"/>
          <w:sz w:val="24"/>
        </w:rPr>
        <w:t>应用系统性能变慢或下线；</w:t>
      </w:r>
    </w:p>
    <w:p>
      <w:pPr>
        <w:numPr>
          <w:ilvl w:val="0"/>
          <w:numId w:val="62"/>
        </w:numPr>
        <w:spacing w:line="560" w:lineRule="exact"/>
        <w:ind w:firstLine="300"/>
        <w:rPr>
          <w:rFonts w:ascii="宋体" w:hAnsi="宋体" w:cs="宋体"/>
          <w:sz w:val="24"/>
        </w:rPr>
      </w:pPr>
      <w:r>
        <w:rPr>
          <w:rFonts w:hint="eastAsia" w:ascii="宋体" w:hAnsi="宋体" w:cs="宋体"/>
          <w:sz w:val="24"/>
        </w:rPr>
        <w:t>数据库数据可能丢失。</w:t>
      </w:r>
    </w:p>
    <w:p>
      <w:pPr>
        <w:spacing w:line="560" w:lineRule="exact"/>
        <w:rPr>
          <w:rFonts w:ascii="宋体" w:hAnsi="宋体" w:cs="宋体"/>
          <w:sz w:val="24"/>
        </w:rPr>
      </w:pPr>
      <w:r>
        <w:rPr>
          <w:rFonts w:hint="eastAsia" w:ascii="宋体" w:hAnsi="宋体" w:cs="宋体"/>
          <w:sz w:val="24"/>
        </w:rPr>
        <w:t>（2）为应对因乙方测评服务可能带来的风险，甲方负责在测试服务之前做好各项数据、设备和系统的备份工作和应急响应工作；乙方在测试服务之前负责与甲方技术人员协商沟通数据备份事宜，并在得到甲方（技术人员）同意的前提下开展测评工作。</w:t>
      </w:r>
    </w:p>
    <w:p>
      <w:pPr>
        <w:spacing w:line="560" w:lineRule="exact"/>
        <w:rPr>
          <w:rFonts w:ascii="宋体" w:hAnsi="宋体" w:cs="宋体"/>
          <w:bCs/>
          <w:sz w:val="24"/>
        </w:rPr>
      </w:pPr>
      <w:r>
        <w:rPr>
          <w:rFonts w:hint="eastAsia" w:ascii="宋体" w:hAnsi="宋体" w:cs="宋体"/>
          <w:bCs/>
          <w:sz w:val="24"/>
        </w:rPr>
        <w:t>（3）如果在现场</w:t>
      </w:r>
      <w:r>
        <w:rPr>
          <w:rFonts w:hint="eastAsia" w:hAnsi="宋体"/>
          <w:sz w:val="24"/>
        </w:rPr>
        <w:t>测评</w:t>
      </w:r>
      <w:r>
        <w:rPr>
          <w:rFonts w:hint="eastAsia" w:ascii="宋体" w:hAnsi="宋体" w:cs="宋体"/>
          <w:bCs/>
          <w:sz w:val="24"/>
        </w:rPr>
        <w:t>期间发生上述风险，乙方应配合甲方进行原因分析。如确认是乙方原因导致的，乙方将承担相应的法律责任并赔偿相应损失。</w:t>
      </w:r>
    </w:p>
    <w:p>
      <w:pPr>
        <w:ind w:firstLine="480" w:firstLineChars="200"/>
        <w:rPr>
          <w:color w:val="000000" w:themeColor="text1"/>
          <w:sz w:val="22"/>
          <w:szCs w:val="22"/>
          <w14:textFill>
            <w14:solidFill>
              <w14:schemeClr w14:val="tx1"/>
            </w14:solidFill>
          </w14:textFill>
        </w:rPr>
      </w:pPr>
      <w:r>
        <w:rPr>
          <w:rFonts w:hint="eastAsia" w:ascii="宋体" w:hAnsi="宋体" w:cs="宋体"/>
          <w:sz w:val="24"/>
        </w:rPr>
        <w:t>（以下无正文）</w:t>
      </w:r>
      <w:r>
        <w:rPr>
          <w:color w:val="000000" w:themeColor="text1"/>
          <w:sz w:val="22"/>
          <w:szCs w:val="22"/>
          <w14:textFill>
            <w14:solidFill>
              <w14:schemeClr w14:val="tx1"/>
            </w14:solidFill>
          </w14:textFill>
        </w:rPr>
        <w:br w:type="page"/>
      </w:r>
    </w:p>
    <w:p>
      <w:pPr>
        <w:rPr>
          <w:rFonts w:ascii="Times New Roman" w:hAnsi="Times New Roman"/>
          <w:color w:val="000000" w:themeColor="text1"/>
          <w:sz w:val="36"/>
          <w:szCs w:val="36"/>
          <w14:textFill>
            <w14:solidFill>
              <w14:schemeClr w14:val="tx1"/>
            </w14:solidFill>
          </w14:textFill>
        </w:rPr>
      </w:pPr>
    </w:p>
    <w:p>
      <w:pPr>
        <w:pStyle w:val="3"/>
        <w:jc w:val="center"/>
        <w:rPr>
          <w:rFonts w:ascii="Times New Roman" w:hAnsi="Times New Roman" w:eastAsiaTheme="minorEastAsia"/>
          <w:color w:val="000000" w:themeColor="text1"/>
          <w14:textFill>
            <w14:solidFill>
              <w14:schemeClr w14:val="tx1"/>
            </w14:solidFill>
          </w14:textFill>
        </w:rPr>
      </w:pPr>
      <w:bookmarkStart w:id="229" w:name="_Toc93505795"/>
    </w:p>
    <w:p>
      <w:pPr>
        <w:pStyle w:val="3"/>
        <w:jc w:val="center"/>
        <w:rPr>
          <w:rFonts w:ascii="Times New Roman" w:hAnsi="Times New Roman" w:eastAsiaTheme="minorEastAsia"/>
          <w:color w:val="000000" w:themeColor="text1"/>
          <w14:textFill>
            <w14:solidFill>
              <w14:schemeClr w14:val="tx1"/>
            </w14:solidFill>
          </w14:textFill>
        </w:rPr>
      </w:pPr>
    </w:p>
    <w:p>
      <w:pPr>
        <w:pStyle w:val="3"/>
        <w:jc w:val="center"/>
        <w:rPr>
          <w:rFonts w:ascii="Times New Roman" w:hAnsi="Times New Roman" w:eastAsiaTheme="minorEastAsia"/>
          <w:color w:val="000000" w:themeColor="text1"/>
          <w14:textFill>
            <w14:solidFill>
              <w14:schemeClr w14:val="tx1"/>
            </w14:solidFill>
          </w14:textFill>
        </w:rPr>
      </w:pPr>
    </w:p>
    <w:p>
      <w:pPr>
        <w:pStyle w:val="3"/>
        <w:jc w:val="center"/>
        <w:rPr>
          <w:rFonts w:ascii="Times New Roman" w:hAnsi="Times New Roman" w:eastAsiaTheme="minorEastAsia"/>
          <w:color w:val="000000" w:themeColor="text1"/>
          <w14:textFill>
            <w14:solidFill>
              <w14:schemeClr w14:val="tx1"/>
            </w14:solidFill>
          </w14:textFill>
        </w:rPr>
      </w:pPr>
    </w:p>
    <w:p>
      <w:pPr>
        <w:pStyle w:val="3"/>
        <w:jc w:val="center"/>
        <w:rPr>
          <w:rFonts w:ascii="Times New Roman" w:hAnsi="Times New Roman" w:eastAsiaTheme="minorEastAsia"/>
          <w:color w:val="000000" w:themeColor="text1"/>
          <w14:textFill>
            <w14:solidFill>
              <w14:schemeClr w14:val="tx1"/>
            </w14:solidFill>
          </w14:textFill>
        </w:rPr>
      </w:pPr>
      <w:bookmarkStart w:id="230" w:name="_Toc21689"/>
      <w:r>
        <w:rPr>
          <w:rFonts w:ascii="Times New Roman" w:hAnsi="Times New Roman" w:eastAsiaTheme="minorEastAsia"/>
          <w:color w:val="000000" w:themeColor="text1"/>
          <w14:textFill>
            <w14:solidFill>
              <w14:schemeClr w14:val="tx1"/>
            </w14:solidFill>
          </w14:textFill>
        </w:rPr>
        <w:t>第六章 投标文件格式</w:t>
      </w:r>
      <w:bookmarkEnd w:id="225"/>
      <w:bookmarkEnd w:id="229"/>
      <w:bookmarkEnd w:id="230"/>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widowControl/>
        <w:jc w:val="left"/>
        <w:rPr>
          <w:rFonts w:ascii="Times New Roman" w:hAnsi="Times New Roman"/>
          <w:b/>
          <w:color w:val="000000" w:themeColor="text1"/>
          <w:sz w:val="52"/>
          <w14:textFill>
            <w14:solidFill>
              <w14:schemeClr w14:val="tx1"/>
            </w14:solidFill>
          </w14:textFill>
        </w:rPr>
      </w:pPr>
      <w:r>
        <w:rPr>
          <w:rFonts w:ascii="Times New Roman" w:hAnsi="Times New Roman"/>
          <w:b/>
          <w:color w:val="000000" w:themeColor="text1"/>
          <w:sz w:val="52"/>
          <w14:textFill>
            <w14:solidFill>
              <w14:schemeClr w14:val="tx1"/>
            </w14:solidFill>
          </w14:textFill>
        </w:rPr>
        <w:br w:type="page"/>
      </w:r>
    </w:p>
    <w:p>
      <w:pPr>
        <w:spacing w:line="360" w:lineRule="auto"/>
        <w:rPr>
          <w:rFonts w:ascii="Times New Roman" w:hAnsi="Times New Roman"/>
          <w:b/>
          <w:color w:val="000000" w:themeColor="text1"/>
          <w:sz w:val="52"/>
          <w14:textFill>
            <w14:solidFill>
              <w14:schemeClr w14:val="tx1"/>
            </w14:solidFill>
          </w14:textFill>
        </w:rPr>
      </w:pPr>
    </w:p>
    <w:p>
      <w:pPr>
        <w:spacing w:line="360" w:lineRule="auto"/>
        <w:rPr>
          <w:rFonts w:ascii="Times New Roman" w:hAnsi="Times New Roman"/>
          <w:b/>
          <w:color w:val="000000" w:themeColor="text1"/>
          <w:sz w:val="52"/>
          <w14:textFill>
            <w14:solidFill>
              <w14:schemeClr w14:val="tx1"/>
            </w14:solidFill>
          </w14:textFill>
        </w:rPr>
      </w:pPr>
    </w:p>
    <w:p>
      <w:pPr>
        <w:spacing w:line="360" w:lineRule="auto"/>
        <w:rPr>
          <w:rFonts w:ascii="Times New Roman" w:hAnsi="Times New Roman"/>
          <w:b/>
          <w:color w:val="000000" w:themeColor="text1"/>
          <w:sz w:val="52"/>
          <w14:textFill>
            <w14:solidFill>
              <w14:schemeClr w14:val="tx1"/>
            </w14:solidFill>
          </w14:textFill>
        </w:rPr>
      </w:pPr>
    </w:p>
    <w:p>
      <w:pPr>
        <w:spacing w:line="360" w:lineRule="auto"/>
        <w:rPr>
          <w:rFonts w:ascii="Times New Roman" w:hAnsi="Times New Roman"/>
          <w:b/>
          <w:color w:val="000000" w:themeColor="text1"/>
          <w:sz w:val="52"/>
          <w14:textFill>
            <w14:solidFill>
              <w14:schemeClr w14:val="tx1"/>
            </w14:solidFill>
          </w14:textFill>
        </w:rPr>
      </w:pPr>
    </w:p>
    <w:p>
      <w:pPr>
        <w:spacing w:line="360" w:lineRule="auto"/>
        <w:rPr>
          <w:rFonts w:ascii="Times New Roman" w:hAnsi="Times New Roman"/>
          <w:b/>
          <w:color w:val="000000" w:themeColor="text1"/>
          <w:sz w:val="52"/>
          <w14:textFill>
            <w14:solidFill>
              <w14:schemeClr w14:val="tx1"/>
            </w14:solidFill>
          </w14:textFill>
        </w:rPr>
      </w:pPr>
    </w:p>
    <w:p>
      <w:pPr>
        <w:ind w:left="1050" w:hanging="1050"/>
        <w:rPr>
          <w:rFonts w:ascii="Times New Roman" w:hAnsi="Times New Roman"/>
          <w:color w:val="000000" w:themeColor="text1"/>
          <w14:textFill>
            <w14:solidFill>
              <w14:schemeClr w14:val="tx1"/>
            </w14:solidFill>
          </w14:textFill>
        </w:rPr>
      </w:pPr>
      <w:bookmarkStart w:id="231" w:name="_Toc454875049"/>
      <w:bookmarkStart w:id="232" w:name="_Toc441844112"/>
      <w:bookmarkStart w:id="233" w:name="_Toc439325709"/>
    </w:p>
    <w:p>
      <w:pPr>
        <w:ind w:left="1050" w:hanging="1050"/>
        <w:rPr>
          <w:rFonts w:ascii="Times New Roman" w:hAnsi="Times New Roman"/>
          <w:color w:val="000000" w:themeColor="text1"/>
          <w14:textFill>
            <w14:solidFill>
              <w14:schemeClr w14:val="tx1"/>
            </w14:solidFill>
          </w14:textFill>
        </w:rPr>
      </w:pPr>
    </w:p>
    <w:p>
      <w:pPr>
        <w:spacing w:after="60" w:line="360" w:lineRule="auto"/>
        <w:ind w:left="2349" w:hanging="2349" w:hangingChars="500"/>
        <w:jc w:val="center"/>
        <w:outlineLvl w:val="1"/>
        <w:rPr>
          <w:rFonts w:ascii="Times New Roman" w:hAnsi="Times New Roman"/>
          <w:b/>
          <w:bCs/>
          <w:color w:val="000000" w:themeColor="text1"/>
          <w:spacing w:val="-6"/>
          <w:sz w:val="48"/>
          <w:szCs w:val="48"/>
          <w14:textFill>
            <w14:solidFill>
              <w14:schemeClr w14:val="tx1"/>
            </w14:solidFill>
          </w14:textFill>
        </w:rPr>
      </w:pPr>
      <w:bookmarkStart w:id="234" w:name="_Toc24397"/>
      <w:bookmarkStart w:id="235" w:name="_Toc93505796"/>
      <w:r>
        <w:rPr>
          <w:rFonts w:ascii="Times New Roman" w:hAnsi="Times New Roman"/>
          <w:b/>
          <w:bCs/>
          <w:color w:val="000000" w:themeColor="text1"/>
          <w:spacing w:val="-6"/>
          <w:sz w:val="48"/>
          <w:szCs w:val="48"/>
          <w14:textFill>
            <w14:solidFill>
              <w14:schemeClr w14:val="tx1"/>
            </w14:solidFill>
          </w14:textFill>
        </w:rPr>
        <w:t>一、价格部分文件</w:t>
      </w:r>
      <w:bookmarkEnd w:id="231"/>
      <w:bookmarkEnd w:id="232"/>
      <w:bookmarkEnd w:id="233"/>
      <w:bookmarkEnd w:id="234"/>
      <w:bookmarkEnd w:id="235"/>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rPr>
          <w:rFonts w:ascii="Times New Roman" w:hAnsi="Times New Roman"/>
          <w:b/>
          <w:color w:val="000000" w:themeColor="text1"/>
          <w:sz w:val="32"/>
          <w:szCs w:val="32"/>
          <w:u w:val="single"/>
          <w14:textFill>
            <w14:solidFill>
              <w14:schemeClr w14:val="tx1"/>
            </w14:solidFill>
          </w14:textFill>
        </w:rPr>
      </w:pPr>
      <w:r>
        <w:rPr>
          <w:rFonts w:ascii="Times New Roman" w:hAnsi="Times New Roman" w:eastAsia="新宋体"/>
          <w:b/>
          <w:bCs/>
          <w:color w:val="000000" w:themeColor="text1"/>
          <w:spacing w:val="-6"/>
          <w:sz w:val="32"/>
          <w:szCs w:val="32"/>
          <w14:textFill>
            <w14:solidFill>
              <w14:schemeClr w14:val="tx1"/>
            </w14:solidFill>
          </w14:textFill>
        </w:rPr>
        <w:t xml:space="preserve">项目名称: </w:t>
      </w:r>
    </w:p>
    <w:p>
      <w:pPr>
        <w:spacing w:after="60" w:line="360" w:lineRule="auto"/>
        <w:rPr>
          <w:rFonts w:ascii="Times New Roman" w:hAnsi="Times New Roman" w:eastAsia="新宋体"/>
          <w:b/>
          <w:bCs/>
          <w:color w:val="000000" w:themeColor="text1"/>
          <w:sz w:val="32"/>
          <w:szCs w:val="32"/>
          <w14:textFill>
            <w14:solidFill>
              <w14:schemeClr w14:val="tx1"/>
            </w14:solidFill>
          </w14:textFill>
        </w:rPr>
      </w:pPr>
    </w:p>
    <w:p>
      <w:pPr>
        <w:spacing w:after="60" w:line="360" w:lineRule="auto"/>
        <w:rPr>
          <w:rFonts w:ascii="Times New Roman" w:hAnsi="Times New Roman"/>
          <w:b/>
          <w:color w:val="000000" w:themeColor="text1"/>
          <w:sz w:val="32"/>
          <w:szCs w:val="32"/>
          <w:u w:val="single"/>
          <w14:textFill>
            <w14:solidFill>
              <w14:schemeClr w14:val="tx1"/>
            </w14:solidFill>
          </w14:textFill>
        </w:rPr>
      </w:pPr>
      <w:r>
        <w:rPr>
          <w:rFonts w:hint="eastAsia" w:ascii="Times New Roman" w:hAnsi="Times New Roman" w:eastAsia="新宋体"/>
          <w:b/>
          <w:bCs/>
          <w:color w:val="000000" w:themeColor="text1"/>
          <w:sz w:val="32"/>
          <w:szCs w:val="32"/>
          <w14:textFill>
            <w14:solidFill>
              <w14:schemeClr w14:val="tx1"/>
            </w14:solidFill>
          </w14:textFill>
        </w:rPr>
        <w:t>项目</w:t>
      </w:r>
      <w:r>
        <w:rPr>
          <w:rFonts w:ascii="Times New Roman" w:hAnsi="Times New Roman" w:eastAsia="新宋体"/>
          <w:b/>
          <w:bCs/>
          <w:color w:val="000000" w:themeColor="text1"/>
          <w:sz w:val="32"/>
          <w:szCs w:val="32"/>
          <w14:textFill>
            <w14:solidFill>
              <w14:schemeClr w14:val="tx1"/>
            </w14:solidFill>
          </w14:textFill>
        </w:rPr>
        <w:t>编号:</w:t>
      </w:r>
      <w:r>
        <w:rPr>
          <w:rFonts w:hint="eastAsia" w:ascii="Times New Roman" w:hAnsi="Times New Roman" w:eastAsia="新宋体"/>
          <w:b/>
          <w:bCs/>
          <w:color w:val="000000" w:themeColor="text1"/>
          <w:sz w:val="32"/>
          <w:szCs w:val="32"/>
          <w14:textFill>
            <w14:solidFill>
              <w14:schemeClr w14:val="tx1"/>
            </w14:solidFill>
          </w14:textFill>
        </w:rPr>
        <w:t xml:space="preserve">                        包号：</w:t>
      </w:r>
    </w:p>
    <w:p>
      <w:pPr>
        <w:tabs>
          <w:tab w:val="left" w:pos="1440"/>
          <w:tab w:val="left" w:pos="1620"/>
        </w:tabs>
        <w:spacing w:after="60" w:line="360" w:lineRule="auto"/>
        <w:rPr>
          <w:rFonts w:ascii="Times New Roman" w:hAnsi="Times New Roman"/>
          <w:b/>
          <w:color w:val="000000" w:themeColor="text1"/>
          <w:sz w:val="32"/>
          <w:szCs w:val="32"/>
          <w14:textFill>
            <w14:solidFill>
              <w14:schemeClr w14:val="tx1"/>
            </w14:solidFill>
          </w14:textFill>
        </w:rPr>
      </w:pPr>
    </w:p>
    <w:p>
      <w:pPr>
        <w:tabs>
          <w:tab w:val="left" w:pos="1440"/>
          <w:tab w:val="left" w:pos="1620"/>
        </w:tabs>
        <w:spacing w:after="60" w:line="360" w:lineRule="auto"/>
        <w:rPr>
          <w:rFonts w:ascii="Times New Roman" w:hAnsi="Times New Roman"/>
          <w:color w:val="000000" w:themeColor="text1"/>
          <w:u w:val="single"/>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投 标 人（</w:t>
      </w:r>
      <w:r>
        <w:rPr>
          <w:rFonts w:hint="eastAsia" w:ascii="Times New Roman" w:hAnsi="Times New Roman"/>
          <w:b/>
          <w:color w:val="000000" w:themeColor="text1"/>
          <w:sz w:val="32"/>
          <w:szCs w:val="32"/>
          <w14:textFill>
            <w14:solidFill>
              <w14:schemeClr w14:val="tx1"/>
            </w14:solidFill>
          </w14:textFill>
        </w:rPr>
        <w:t>加盖公章</w:t>
      </w:r>
      <w:r>
        <w:rPr>
          <w:rFonts w:ascii="Times New Roman" w:hAnsi="Times New Roman"/>
          <w:b/>
          <w:color w:val="000000" w:themeColor="text1"/>
          <w:sz w:val="32"/>
          <w:szCs w:val="32"/>
          <w14:textFill>
            <w14:solidFill>
              <w14:schemeClr w14:val="tx1"/>
            </w14:solidFill>
          </w14:textFill>
        </w:rPr>
        <w:t>）:</w:t>
      </w:r>
    </w:p>
    <w:p>
      <w:pPr>
        <w:spacing w:line="560" w:lineRule="exact"/>
        <w:rPr>
          <w:rFonts w:ascii="Times New Roman" w:hAnsi="Times New Roman"/>
          <w:b/>
          <w:color w:val="000000" w:themeColor="text1"/>
          <w:sz w:val="32"/>
          <w:szCs w:val="32"/>
          <w14:textFill>
            <w14:solidFill>
              <w14:schemeClr w14:val="tx1"/>
            </w14:solidFill>
          </w14:textFill>
        </w:rPr>
      </w:pPr>
    </w:p>
    <w:p>
      <w:pPr>
        <w:spacing w:line="560" w:lineRule="exact"/>
        <w:rPr>
          <w:rFonts w:ascii="Times New Roman" w:hAnsi="Times New Roman"/>
          <w:b/>
          <w:color w:val="000000" w:themeColor="text1"/>
          <w:sz w:val="32"/>
          <w:szCs w:val="32"/>
          <w14:textFill>
            <w14:solidFill>
              <w14:schemeClr w14:val="tx1"/>
            </w14:solidFill>
          </w14:textFill>
        </w:rPr>
      </w:pPr>
      <w:r>
        <w:rPr>
          <w:rFonts w:hint="eastAsia" w:cs="宋体" w:asciiTheme="minorEastAsia" w:hAnsiTheme="minorEastAsia" w:eastAsiaTheme="minorEastAsia"/>
          <w:b/>
          <w:color w:val="000000" w:themeColor="text1"/>
          <w:sz w:val="32"/>
          <w:szCs w:val="32"/>
          <w14:textFill>
            <w14:solidFill>
              <w14:schemeClr w14:val="tx1"/>
            </w14:solidFill>
          </w14:textFill>
        </w:rPr>
        <w:t>投标人法定代表人或被授权人（签名或盖私章）</w:t>
      </w:r>
      <w:r>
        <w:rPr>
          <w:rFonts w:ascii="Times New Roman" w:hAnsi="Times New Roman"/>
          <w:b/>
          <w:color w:val="000000" w:themeColor="text1"/>
          <w:sz w:val="32"/>
          <w:szCs w:val="32"/>
          <w14:textFill>
            <w14:solidFill>
              <w14:schemeClr w14:val="tx1"/>
            </w14:solidFill>
          </w14:textFill>
        </w:rPr>
        <w:t>：</w:t>
      </w:r>
    </w:p>
    <w:p>
      <w:pPr>
        <w:spacing w:after="60" w:line="360" w:lineRule="auto"/>
        <w:rPr>
          <w:rFonts w:ascii="Times New Roman" w:hAnsi="Times New Roman"/>
          <w:b/>
          <w:color w:val="000000" w:themeColor="text1"/>
          <w:sz w:val="52"/>
          <w14:textFill>
            <w14:solidFill>
              <w14:schemeClr w14:val="tx1"/>
            </w14:solidFill>
          </w14:textFill>
        </w:rPr>
      </w:pPr>
    </w:p>
    <w:p>
      <w:pPr>
        <w:spacing w:after="60" w:line="360" w:lineRule="auto"/>
        <w:jc w:val="center"/>
        <w:rPr>
          <w:rFonts w:ascii="Times New Roman" w:hAnsi="Times New Roman"/>
          <w:b/>
          <w:color w:val="000000" w:themeColor="text1"/>
          <w:sz w:val="52"/>
          <w14:textFill>
            <w14:solidFill>
              <w14:schemeClr w14:val="tx1"/>
            </w14:solidFill>
          </w14:textFill>
        </w:rPr>
      </w:pPr>
      <w:r>
        <w:rPr>
          <w:rFonts w:ascii="Times New Roman" w:hAnsi="Times New Roman"/>
          <w:b/>
          <w:color w:val="000000" w:themeColor="text1"/>
          <w:sz w:val="30"/>
          <w:szCs w:val="32"/>
          <w14:textFill>
            <w14:solidFill>
              <w14:schemeClr w14:val="tx1"/>
            </w14:solidFill>
          </w14:textFill>
        </w:rPr>
        <w:t>年  月</w:t>
      </w:r>
      <w:bookmarkStart w:id="236" w:name="_Toc441844113"/>
      <w:r>
        <w:rPr>
          <w:rFonts w:hint="eastAsia" w:ascii="Times New Roman" w:hAnsi="Times New Roman"/>
          <w:b/>
          <w:color w:val="000000" w:themeColor="text1"/>
          <w:sz w:val="30"/>
          <w:szCs w:val="32"/>
          <w14:textFill>
            <w14:solidFill>
              <w14:schemeClr w14:val="tx1"/>
            </w14:solidFill>
          </w14:textFill>
        </w:rPr>
        <w:t xml:space="preserve"> </w:t>
      </w:r>
      <w:r>
        <w:rPr>
          <w:rFonts w:ascii="Times New Roman" w:hAnsi="Times New Roman"/>
          <w:b/>
          <w:color w:val="000000" w:themeColor="text1"/>
          <w:sz w:val="30"/>
          <w:szCs w:val="32"/>
          <w14:textFill>
            <w14:solidFill>
              <w14:schemeClr w14:val="tx1"/>
            </w14:solidFill>
          </w14:textFill>
        </w:rPr>
        <w:t xml:space="preserve"> </w:t>
      </w:r>
      <w:r>
        <w:rPr>
          <w:rFonts w:hint="eastAsia" w:ascii="Times New Roman" w:hAnsi="Times New Roman"/>
          <w:b/>
          <w:color w:val="000000" w:themeColor="text1"/>
          <w:sz w:val="30"/>
          <w:szCs w:val="32"/>
          <w14:textFill>
            <w14:solidFill>
              <w14:schemeClr w14:val="tx1"/>
            </w14:solidFill>
          </w14:textFill>
        </w:rPr>
        <w:t>日</w:t>
      </w:r>
    </w:p>
    <w:p>
      <w:pPr>
        <w:widowControl/>
        <w:jc w:val="left"/>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color w:val="000000" w:themeColor="text1"/>
          <w:sz w:val="22"/>
          <w:szCs w:val="22"/>
          <w14:textFill>
            <w14:solidFill>
              <w14:schemeClr w14:val="tx1"/>
            </w14:solidFill>
          </w14:textFill>
        </w:rPr>
      </w:pPr>
      <w:bookmarkStart w:id="237" w:name="_Toc27666"/>
      <w:bookmarkStart w:id="238" w:name="_Toc2248"/>
      <w:bookmarkStart w:id="239" w:name="_Toc5158"/>
      <w:bookmarkStart w:id="240" w:name="_Toc93505797"/>
      <w:r>
        <w:rPr>
          <w:rFonts w:ascii="宋体" w:hAnsi="宋体"/>
          <w:b/>
          <w:color w:val="000000" w:themeColor="text1"/>
          <w:sz w:val="22"/>
          <w:szCs w:val="22"/>
          <w14:textFill>
            <w14:solidFill>
              <w14:schemeClr w14:val="tx1"/>
            </w14:solidFill>
          </w14:textFill>
        </w:rPr>
        <w:t>1、投标报价一览表</w:t>
      </w:r>
      <w:bookmarkEnd w:id="237"/>
      <w:bookmarkEnd w:id="238"/>
      <w:bookmarkEnd w:id="239"/>
    </w:p>
    <w:p>
      <w:pPr>
        <w:pStyle w:val="26"/>
        <w:spacing w:line="360" w:lineRule="auto"/>
        <w:jc w:val="left"/>
        <w:rPr>
          <w:rFonts w:hAnsi="宋体" w:cs="Times New Roman"/>
          <w:color w:val="000000" w:themeColor="text1"/>
          <w:sz w:val="22"/>
          <w14:textFill>
            <w14:solidFill>
              <w14:schemeClr w14:val="tx1"/>
            </w14:solidFill>
          </w14:textFill>
        </w:rPr>
      </w:pPr>
    </w:p>
    <w:p>
      <w:pPr>
        <w:pStyle w:val="26"/>
        <w:spacing w:line="360" w:lineRule="auto"/>
        <w:jc w:val="left"/>
        <w:rPr>
          <w:rFonts w:hAnsi="宋体" w:cs="Times New Roman"/>
          <w:color w:val="000000" w:themeColor="text1"/>
          <w:sz w:val="22"/>
          <w14:textFill>
            <w14:solidFill>
              <w14:schemeClr w14:val="tx1"/>
            </w14:solidFill>
          </w14:textFill>
        </w:rPr>
      </w:pPr>
      <w:r>
        <w:rPr>
          <w:rFonts w:hint="eastAsia" w:hAnsi="宋体" w:cs="Times New Roman"/>
          <w:color w:val="000000" w:themeColor="text1"/>
          <w:sz w:val="22"/>
          <w14:textFill>
            <w14:solidFill>
              <w14:schemeClr w14:val="tx1"/>
            </w14:solidFill>
          </w14:textFill>
        </w:rPr>
        <w:t xml:space="preserve">项目名称： </w:t>
      </w:r>
      <w:r>
        <w:rPr>
          <w:rFonts w:hAnsi="宋体" w:cs="Times New Roman"/>
          <w:color w:val="000000" w:themeColor="text1"/>
          <w:sz w:val="22"/>
          <w14:textFill>
            <w14:solidFill>
              <w14:schemeClr w14:val="tx1"/>
            </w14:solidFill>
          </w14:textFill>
        </w:rPr>
        <w:t xml:space="preserve">                    </w:t>
      </w:r>
      <w:r>
        <w:rPr>
          <w:rFonts w:hint="eastAsia" w:hAnsi="宋体" w:cs="Times New Roman"/>
          <w:color w:val="000000" w:themeColor="text1"/>
          <w:sz w:val="22"/>
          <w14:textFill>
            <w14:solidFill>
              <w14:schemeClr w14:val="tx1"/>
            </w14:solidFill>
          </w14:textFill>
        </w:rPr>
        <w:t>项目</w:t>
      </w:r>
      <w:r>
        <w:rPr>
          <w:rFonts w:hAnsi="宋体" w:cs="Times New Roman"/>
          <w:color w:val="000000" w:themeColor="text1"/>
          <w:sz w:val="22"/>
          <w14:textFill>
            <w14:solidFill>
              <w14:schemeClr w14:val="tx1"/>
            </w14:solidFill>
          </w14:textFill>
        </w:rPr>
        <w:t xml:space="preserve">编号：                        </w:t>
      </w:r>
      <w:r>
        <w:rPr>
          <w:rFonts w:hint="eastAsia" w:hAnsi="宋体" w:cs="Times New Roman"/>
          <w:color w:val="000000" w:themeColor="text1"/>
          <w:sz w:val="22"/>
          <w14:textFill>
            <w14:solidFill>
              <w14:schemeClr w14:val="tx1"/>
            </w14:solidFill>
          </w14:textFill>
        </w:rPr>
        <w:t>包号：</w:t>
      </w:r>
      <w:r>
        <w:rPr>
          <w:rFonts w:hAnsi="宋体" w:cs="Times New Roman"/>
          <w:color w:val="000000" w:themeColor="text1"/>
          <w:sz w:val="22"/>
          <w14:textFill>
            <w14:solidFill>
              <w14:schemeClr w14:val="tx1"/>
            </w14:solidFill>
          </w14:textFill>
        </w:rPr>
        <w:t xml:space="preserve">                      </w:t>
      </w:r>
    </w:p>
    <w:p>
      <w:pPr>
        <w:pStyle w:val="26"/>
        <w:spacing w:line="360" w:lineRule="auto"/>
        <w:jc w:val="right"/>
        <w:rPr>
          <w:rFonts w:hAnsi="宋体" w:cs="Times New Roman"/>
          <w:color w:val="000000" w:themeColor="text1"/>
          <w:sz w:val="22"/>
          <w14:textFill>
            <w14:solidFill>
              <w14:schemeClr w14:val="tx1"/>
            </w14:solidFill>
          </w14:textFill>
        </w:rPr>
      </w:pPr>
      <w:r>
        <w:rPr>
          <w:rFonts w:hAnsi="宋体" w:cs="Times New Roman"/>
          <w:color w:val="000000" w:themeColor="text1"/>
          <w:sz w:val="22"/>
          <w14:textFill>
            <w14:solidFill>
              <w14:schemeClr w14:val="tx1"/>
            </w14:solidFill>
          </w14:textFill>
        </w:rPr>
        <w:t>[货币单位：人民币元]</w:t>
      </w:r>
    </w:p>
    <w:tbl>
      <w:tblPr>
        <w:tblStyle w:val="51"/>
        <w:tblW w:w="92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5"/>
        <w:gridCol w:w="2784"/>
        <w:gridCol w:w="1359"/>
        <w:gridCol w:w="3402"/>
        <w:gridCol w:w="9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lang w:val="zh-CN"/>
                <w14:textFill>
                  <w14:solidFill>
                    <w14:schemeClr w14:val="tx1"/>
                  </w14:solidFill>
                </w14:textFill>
              </w:rPr>
            </w:pPr>
            <w:r>
              <w:rPr>
                <w:rFonts w:hint="eastAsia" w:ascii="宋体" w:hAnsi="宋体"/>
                <w:b/>
                <w:color w:val="000000" w:themeColor="text1"/>
                <w:sz w:val="22"/>
                <w:szCs w:val="22"/>
                <w:lang w:val="zh-CN"/>
                <w14:textFill>
                  <w14:solidFill>
                    <w14:schemeClr w14:val="tx1"/>
                  </w14:solidFill>
                </w14:textFill>
              </w:rPr>
              <w:t>序号</w:t>
            </w:r>
          </w:p>
        </w:tc>
        <w:tc>
          <w:tcPr>
            <w:tcW w:w="2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lang w:val="zh-CN"/>
                <w14:textFill>
                  <w14:solidFill>
                    <w14:schemeClr w14:val="tx1"/>
                  </w14:solidFill>
                </w14:textFill>
              </w:rPr>
            </w:pPr>
            <w:r>
              <w:rPr>
                <w:rFonts w:hint="eastAsia" w:ascii="宋体" w:hAnsi="宋体"/>
                <w:b/>
                <w:color w:val="000000" w:themeColor="text1"/>
                <w:sz w:val="22"/>
                <w:szCs w:val="22"/>
                <w:lang w:val="zh-CN"/>
                <w14:textFill>
                  <w14:solidFill>
                    <w14:schemeClr w14:val="tx1"/>
                  </w14:solidFill>
                </w14:textFill>
              </w:rPr>
              <w:t>项目名称</w:t>
            </w: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投标总报价</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lang w:val="zh-CN"/>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服务期</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lang w:val="zh-CN"/>
                <w14:textFill>
                  <w14:solidFill>
                    <w14:schemeClr w14:val="tx1"/>
                  </w14:solidFill>
                </w14:textFill>
              </w:rPr>
            </w:pPr>
            <w:r>
              <w:rPr>
                <w:rFonts w:hint="eastAsia" w:ascii="宋体" w:hAnsi="宋体"/>
                <w:b/>
                <w:color w:val="000000" w:themeColor="text1"/>
                <w:sz w:val="22"/>
                <w:szCs w:val="22"/>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1</w:t>
            </w:r>
          </w:p>
        </w:tc>
        <w:tc>
          <w:tcPr>
            <w:tcW w:w="2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数据互联定级备案及网络安全符合性评测和安全风险评估服务项目</w:t>
            </w: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合同签订之日起至2022年12月31日</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2"/>
                <w:szCs w:val="22"/>
                <w:lang w:val="zh-CN"/>
                <w14:textFill>
                  <w14:solidFill>
                    <w14:schemeClr w14:val="tx1"/>
                  </w14:solidFill>
                </w14:textFill>
              </w:rPr>
            </w:pPr>
          </w:p>
        </w:tc>
      </w:tr>
    </w:tbl>
    <w:p>
      <w:pPr>
        <w:spacing w:line="360" w:lineRule="auto"/>
        <w:ind w:left="2" w:leftChars="1"/>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注：</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1.此表的投标总价是所有需采购人支付的本次采购标的金额总数即投标总报价。</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2.投标总价栏用文字和数字两种方式表示投标总价。</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3.投标总价的大小写不一致的，以大写为准。</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4.投标报价结果以人民币元为单位，保留到小数点后两位。</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5.投标总价必须准确唯一，以本报价表价格为准，修正其他表格。</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6.最终支付金额以实际结算为准。</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8.本项目预算金额为</w:t>
      </w:r>
      <w:r>
        <w:rPr>
          <w:rFonts w:hint="eastAsia" w:ascii="宋体" w:hAnsi="宋体"/>
          <w:b/>
          <w:bCs/>
          <w:color w:val="000000" w:themeColor="text1"/>
          <w:sz w:val="22"/>
          <w:szCs w:val="22"/>
          <w14:textFill>
            <w14:solidFill>
              <w14:schemeClr w14:val="tx1"/>
            </w14:solidFill>
          </w14:textFill>
        </w:rPr>
        <w:t>108,000</w:t>
      </w:r>
      <w:r>
        <w:rPr>
          <w:rFonts w:ascii="宋体" w:hAnsi="宋体"/>
          <w:b/>
          <w:bCs/>
          <w:color w:val="000000" w:themeColor="text1"/>
          <w:sz w:val="22"/>
          <w:szCs w:val="22"/>
          <w14:textFill>
            <w14:solidFill>
              <w14:schemeClr w14:val="tx1"/>
            </w14:solidFill>
          </w14:textFill>
        </w:rPr>
        <w:t>元</w:t>
      </w:r>
      <w:r>
        <w:rPr>
          <w:rFonts w:hint="eastAsia" w:ascii="宋体" w:hAnsi="宋体"/>
          <w:color w:val="000000" w:themeColor="text1"/>
          <w:sz w:val="22"/>
          <w:szCs w:val="22"/>
          <w14:textFill>
            <w14:solidFill>
              <w14:schemeClr w14:val="tx1"/>
            </w14:solidFill>
          </w14:textFill>
        </w:rPr>
        <w:t>，投标人报价不能超过预算金额要求，否则做废标处理。</w:t>
      </w:r>
    </w:p>
    <w:p>
      <w:pPr>
        <w:pStyle w:val="69"/>
        <w:spacing w:before="936" w:beforeLines="300"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p>
    <w:p>
      <w:pPr>
        <w:pStyle w:val="69"/>
        <w:spacing w:before="936" w:beforeLines="300" w:line="360" w:lineRule="auto"/>
        <w:ind w:firstLine="3360" w:firstLineChars="16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360" w:lineRule="auto"/>
        <w:ind w:firstLine="3381" w:firstLineChars="161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投标人法定代表人或被授权人（签名或盖私章）：</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w:t>
      </w:r>
    </w:p>
    <w:p>
      <w:pPr>
        <w:pStyle w:val="69"/>
        <w:spacing w:line="360" w:lineRule="auto"/>
        <w:ind w:firstLine="3381" w:firstLineChars="161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年</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月</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日</w:t>
      </w:r>
    </w:p>
    <w:bookmarkEnd w:id="236"/>
    <w:bookmarkEnd w:id="240"/>
    <w:p>
      <w:pPr>
        <w:widowControl/>
        <w:jc w:val="left"/>
        <w:rPr>
          <w:rFonts w:ascii="Times New Roman" w:hAnsi="Times New Roman"/>
          <w:color w:val="000000" w:themeColor="text1"/>
          <w:sz w:val="22"/>
          <w:szCs w:val="22"/>
          <w14:textFill>
            <w14:solidFill>
              <w14:schemeClr w14:val="tx1"/>
            </w14:solidFill>
          </w14:textFill>
        </w:rPr>
      </w:pPr>
    </w:p>
    <w:p>
      <w:pPr>
        <w:rPr>
          <w:color w:val="000000" w:themeColor="text1"/>
          <w14:textFill>
            <w14:solidFill>
              <w14:schemeClr w14:val="tx1"/>
            </w14:solidFill>
          </w14:textFill>
        </w:rPr>
      </w:pPr>
      <w:bookmarkStart w:id="241" w:name="_Toc441844115"/>
    </w:p>
    <w:p>
      <w:pPr>
        <w:widowControl/>
        <w:jc w:val="left"/>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after="60" w:line="360" w:lineRule="auto"/>
        <w:ind w:left="2349" w:hanging="2349" w:hangingChars="500"/>
        <w:jc w:val="center"/>
        <w:outlineLvl w:val="1"/>
        <w:rPr>
          <w:rFonts w:ascii="Times New Roman" w:hAnsi="Times New Roman"/>
          <w:b/>
          <w:bCs/>
          <w:color w:val="000000" w:themeColor="text1"/>
          <w:spacing w:val="-6"/>
          <w:sz w:val="48"/>
          <w:szCs w:val="48"/>
          <w14:textFill>
            <w14:solidFill>
              <w14:schemeClr w14:val="tx1"/>
            </w14:solidFill>
          </w14:textFill>
        </w:rPr>
      </w:pPr>
      <w:bookmarkStart w:id="242" w:name="_Toc29775"/>
      <w:bookmarkStart w:id="243" w:name="_Toc93505798"/>
      <w:r>
        <w:rPr>
          <w:rFonts w:ascii="Times New Roman" w:hAnsi="Times New Roman"/>
          <w:b/>
          <w:bCs/>
          <w:color w:val="000000" w:themeColor="text1"/>
          <w:spacing w:val="-6"/>
          <w:sz w:val="48"/>
          <w:szCs w:val="48"/>
          <w14:textFill>
            <w14:solidFill>
              <w14:schemeClr w14:val="tx1"/>
            </w14:solidFill>
          </w14:textFill>
        </w:rPr>
        <w:t>二、商务、技术部分文件</w:t>
      </w:r>
      <w:bookmarkEnd w:id="241"/>
      <w:bookmarkEnd w:id="242"/>
      <w:bookmarkEnd w:id="243"/>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rPr>
          <w:rFonts w:ascii="宋体" w:hAnsi="宋体"/>
          <w:b/>
          <w:color w:val="000000" w:themeColor="text1"/>
          <w:sz w:val="32"/>
          <w:szCs w:val="32"/>
          <w:u w:val="single"/>
          <w14:textFill>
            <w14:solidFill>
              <w14:schemeClr w14:val="tx1"/>
            </w14:solidFill>
          </w14:textFill>
        </w:rPr>
      </w:pPr>
      <w:r>
        <w:rPr>
          <w:rFonts w:ascii="宋体" w:hAnsi="宋体"/>
          <w:b/>
          <w:bCs/>
          <w:color w:val="000000" w:themeColor="text1"/>
          <w:spacing w:val="-6"/>
          <w:sz w:val="32"/>
          <w:szCs w:val="32"/>
          <w14:textFill>
            <w14:solidFill>
              <w14:schemeClr w14:val="tx1"/>
            </w14:solidFill>
          </w14:textFill>
        </w:rPr>
        <w:t>项目名称：</w:t>
      </w:r>
    </w:p>
    <w:p>
      <w:pPr>
        <w:spacing w:after="60" w:line="360" w:lineRule="auto"/>
        <w:rPr>
          <w:rFonts w:ascii="宋体" w:hAnsi="宋体"/>
          <w:b/>
          <w:bCs/>
          <w:color w:val="000000" w:themeColor="text1"/>
          <w:sz w:val="32"/>
          <w:szCs w:val="32"/>
          <w14:textFill>
            <w14:solidFill>
              <w14:schemeClr w14:val="tx1"/>
            </w14:solidFill>
          </w14:textFill>
        </w:rPr>
      </w:pPr>
    </w:p>
    <w:p>
      <w:pPr>
        <w:spacing w:after="60" w:line="360" w:lineRule="auto"/>
        <w:rPr>
          <w:rFonts w:ascii="宋体" w:hAnsi="宋体"/>
          <w:b/>
          <w:color w:val="000000" w:themeColor="text1"/>
          <w:sz w:val="32"/>
          <w:szCs w:val="32"/>
          <w:u w:val="single"/>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项目</w:t>
      </w:r>
      <w:r>
        <w:rPr>
          <w:rFonts w:ascii="宋体" w:hAnsi="宋体"/>
          <w:b/>
          <w:bCs/>
          <w:color w:val="000000" w:themeColor="text1"/>
          <w:sz w:val="32"/>
          <w:szCs w:val="32"/>
          <w14:textFill>
            <w14:solidFill>
              <w14:schemeClr w14:val="tx1"/>
            </w14:solidFill>
          </w14:textFill>
        </w:rPr>
        <w:t>编号：</w:t>
      </w:r>
      <w:r>
        <w:rPr>
          <w:rFonts w:hint="eastAsia" w:ascii="宋体" w:hAnsi="宋体"/>
          <w:b/>
          <w:bCs/>
          <w:color w:val="000000" w:themeColor="text1"/>
          <w:sz w:val="32"/>
          <w:szCs w:val="32"/>
          <w14:textFill>
            <w14:solidFill>
              <w14:schemeClr w14:val="tx1"/>
            </w14:solidFill>
          </w14:textFill>
        </w:rPr>
        <w:t xml:space="preserve">                      </w:t>
      </w:r>
      <w:bookmarkStart w:id="244" w:name="_Hlk4069527"/>
      <w:r>
        <w:rPr>
          <w:rFonts w:hint="eastAsia" w:ascii="宋体" w:hAnsi="宋体"/>
          <w:b/>
          <w:bCs/>
          <w:color w:val="000000" w:themeColor="text1"/>
          <w:sz w:val="32"/>
          <w:szCs w:val="32"/>
          <w14:textFill>
            <w14:solidFill>
              <w14:schemeClr w14:val="tx1"/>
            </w14:solidFill>
          </w14:textFill>
        </w:rPr>
        <w:t>包号：</w:t>
      </w:r>
      <w:bookmarkEnd w:id="244"/>
      <w:r>
        <w:rPr>
          <w:rFonts w:hint="eastAsia" w:ascii="宋体" w:hAnsi="宋体"/>
          <w:b/>
          <w:bCs/>
          <w:color w:val="000000" w:themeColor="text1"/>
          <w:sz w:val="32"/>
          <w:szCs w:val="32"/>
          <w14:textFill>
            <w14:solidFill>
              <w14:schemeClr w14:val="tx1"/>
            </w14:solidFill>
          </w14:textFill>
        </w:rPr>
        <w:t xml:space="preserve">  </w:t>
      </w:r>
    </w:p>
    <w:p>
      <w:pPr>
        <w:spacing w:after="60" w:line="360" w:lineRule="auto"/>
        <w:rPr>
          <w:rFonts w:ascii="宋体" w:hAnsi="宋体"/>
          <w:b/>
          <w:color w:val="000000" w:themeColor="text1"/>
          <w:sz w:val="32"/>
          <w:szCs w:val="32"/>
          <w:u w:val="single"/>
          <w14:textFill>
            <w14:solidFill>
              <w14:schemeClr w14:val="tx1"/>
            </w14:solidFill>
          </w14:textFill>
        </w:rPr>
      </w:pPr>
    </w:p>
    <w:p>
      <w:pPr>
        <w:tabs>
          <w:tab w:val="left" w:pos="1440"/>
          <w:tab w:val="left" w:pos="1620"/>
        </w:tabs>
        <w:spacing w:after="60" w:line="360" w:lineRule="auto"/>
        <w:rPr>
          <w:rFonts w:ascii="宋体" w:hAnsi="宋体"/>
          <w:color w:val="000000" w:themeColor="text1"/>
          <w:u w:val="single"/>
          <w14:textFill>
            <w14:solidFill>
              <w14:schemeClr w14:val="tx1"/>
            </w14:solidFill>
          </w14:textFill>
        </w:rPr>
      </w:pPr>
      <w:r>
        <w:rPr>
          <w:rFonts w:ascii="宋体" w:hAnsi="宋体"/>
          <w:b/>
          <w:color w:val="000000" w:themeColor="text1"/>
          <w:sz w:val="32"/>
          <w:szCs w:val="32"/>
          <w14:textFill>
            <w14:solidFill>
              <w14:schemeClr w14:val="tx1"/>
            </w14:solidFill>
          </w14:textFill>
        </w:rPr>
        <w:t>投 标 人（</w:t>
      </w:r>
      <w:r>
        <w:rPr>
          <w:rFonts w:hint="eastAsia" w:cs="宋体" w:asciiTheme="minorEastAsia" w:hAnsiTheme="minorEastAsia" w:eastAsiaTheme="minorEastAsia"/>
          <w:b/>
          <w:color w:val="000000" w:themeColor="text1"/>
          <w:sz w:val="32"/>
          <w:szCs w:val="32"/>
          <w14:textFill>
            <w14:solidFill>
              <w14:schemeClr w14:val="tx1"/>
            </w14:solidFill>
          </w14:textFill>
        </w:rPr>
        <w:t>加盖公章</w:t>
      </w:r>
      <w:r>
        <w:rPr>
          <w:rFonts w:ascii="宋体" w:hAnsi="宋体"/>
          <w:b/>
          <w:color w:val="000000" w:themeColor="text1"/>
          <w:sz w:val="32"/>
          <w:szCs w:val="32"/>
          <w14:textFill>
            <w14:solidFill>
              <w14:schemeClr w14:val="tx1"/>
            </w14:solidFill>
          </w14:textFill>
        </w:rPr>
        <w:t>）:</w:t>
      </w:r>
    </w:p>
    <w:p>
      <w:pPr>
        <w:spacing w:after="60" w:line="360" w:lineRule="auto"/>
        <w:rPr>
          <w:rFonts w:ascii="宋体" w:hAnsi="宋体"/>
          <w:b/>
          <w:color w:val="000000" w:themeColor="text1"/>
          <w:sz w:val="32"/>
          <w:szCs w:val="32"/>
          <w:u w:val="single"/>
          <w14:textFill>
            <w14:solidFill>
              <w14:schemeClr w14:val="tx1"/>
            </w14:solidFill>
          </w14:textFill>
        </w:rPr>
      </w:pPr>
    </w:p>
    <w:p>
      <w:pPr>
        <w:spacing w:line="560" w:lineRule="exact"/>
        <w:rPr>
          <w:rFonts w:ascii="宋体" w:hAnsi="宋体"/>
          <w:b/>
          <w:color w:val="000000" w:themeColor="text1"/>
          <w:sz w:val="32"/>
          <w:szCs w:val="32"/>
          <w14:textFill>
            <w14:solidFill>
              <w14:schemeClr w14:val="tx1"/>
            </w14:solidFill>
          </w14:textFill>
        </w:rPr>
      </w:pPr>
      <w:r>
        <w:rPr>
          <w:rFonts w:hint="eastAsia" w:cs="宋体" w:asciiTheme="minorEastAsia" w:hAnsiTheme="minorEastAsia" w:eastAsiaTheme="minorEastAsia"/>
          <w:b/>
          <w:color w:val="000000" w:themeColor="text1"/>
          <w:sz w:val="32"/>
          <w:szCs w:val="32"/>
          <w14:textFill>
            <w14:solidFill>
              <w14:schemeClr w14:val="tx1"/>
            </w14:solidFill>
          </w14:textFill>
        </w:rPr>
        <w:t>投标人法定代表人或被授权人（签名或盖私章）</w:t>
      </w:r>
      <w:r>
        <w:rPr>
          <w:rFonts w:ascii="宋体" w:hAnsi="宋体"/>
          <w:b/>
          <w:color w:val="000000" w:themeColor="text1"/>
          <w:sz w:val="32"/>
          <w:szCs w:val="32"/>
          <w14:textFill>
            <w14:solidFill>
              <w14:schemeClr w14:val="tx1"/>
            </w14:solidFill>
          </w14:textFill>
        </w:rPr>
        <w:t>：</w:t>
      </w:r>
    </w:p>
    <w:p>
      <w:pPr>
        <w:spacing w:after="60" w:line="360" w:lineRule="auto"/>
        <w:rPr>
          <w:rFonts w:ascii="宋体" w:hAnsi="宋体"/>
          <w:b/>
          <w:color w:val="000000" w:themeColor="text1"/>
          <w:sz w:val="52"/>
          <w14:textFill>
            <w14:solidFill>
              <w14:schemeClr w14:val="tx1"/>
            </w14:solidFill>
          </w14:textFill>
        </w:rPr>
      </w:pPr>
    </w:p>
    <w:p>
      <w:pPr>
        <w:spacing w:after="60" w:line="360" w:lineRule="auto"/>
        <w:jc w:val="center"/>
        <w:rPr>
          <w:rFonts w:ascii="宋体" w:hAnsi="宋体"/>
          <w:b/>
          <w:color w:val="000000" w:themeColor="text1"/>
          <w:sz w:val="30"/>
          <w:szCs w:val="32"/>
          <w14:textFill>
            <w14:solidFill>
              <w14:schemeClr w14:val="tx1"/>
            </w14:solidFill>
          </w14:textFill>
        </w:rPr>
      </w:pPr>
      <w:r>
        <w:rPr>
          <w:rFonts w:ascii="宋体" w:hAnsi="宋体"/>
          <w:b/>
          <w:color w:val="000000" w:themeColor="text1"/>
          <w:sz w:val="30"/>
          <w:szCs w:val="32"/>
          <w14:textFill>
            <w14:solidFill>
              <w14:schemeClr w14:val="tx1"/>
            </w14:solidFill>
          </w14:textFill>
        </w:rPr>
        <w:t>年  月</w:t>
      </w:r>
      <w:r>
        <w:rPr>
          <w:rFonts w:hint="eastAsia" w:ascii="宋体" w:hAnsi="宋体"/>
          <w:b/>
          <w:color w:val="000000" w:themeColor="text1"/>
          <w:sz w:val="30"/>
          <w:szCs w:val="32"/>
          <w14:textFill>
            <w14:solidFill>
              <w14:schemeClr w14:val="tx1"/>
            </w14:solidFill>
          </w14:textFill>
        </w:rPr>
        <w:t xml:space="preserve"> </w:t>
      </w:r>
      <w:r>
        <w:rPr>
          <w:rFonts w:ascii="宋体" w:hAnsi="宋体"/>
          <w:b/>
          <w:color w:val="000000" w:themeColor="text1"/>
          <w:sz w:val="30"/>
          <w:szCs w:val="32"/>
          <w14:textFill>
            <w14:solidFill>
              <w14:schemeClr w14:val="tx1"/>
            </w14:solidFill>
          </w14:textFill>
        </w:rPr>
        <w:t xml:space="preserve"> </w:t>
      </w:r>
      <w:r>
        <w:rPr>
          <w:rFonts w:hint="eastAsia" w:ascii="宋体" w:hAnsi="宋体"/>
          <w:b/>
          <w:color w:val="000000" w:themeColor="text1"/>
          <w:sz w:val="30"/>
          <w:szCs w:val="32"/>
          <w14:textFill>
            <w14:solidFill>
              <w14:schemeClr w14:val="tx1"/>
            </w14:solidFill>
          </w14:textFill>
        </w:rPr>
        <w:t>日</w:t>
      </w:r>
    </w:p>
    <w:p>
      <w:pPr>
        <w:widowControl/>
        <w:jc w:val="left"/>
        <w:rPr>
          <w:rFonts w:ascii="Times New Roman" w:hAnsi="Times New Roman"/>
          <w:b/>
          <w:color w:val="000000" w:themeColor="text1"/>
          <w:sz w:val="22"/>
          <w:szCs w:val="22"/>
          <w14:textFill>
            <w14:solidFill>
              <w14:schemeClr w14:val="tx1"/>
            </w14:solidFill>
          </w14:textFill>
        </w:rPr>
      </w:pPr>
      <w:r>
        <w:rPr>
          <w:rFonts w:ascii="Times New Roman" w:hAnsi="Times New Roman"/>
          <w:b/>
          <w:color w:val="000000" w:themeColor="text1"/>
          <w:sz w:val="22"/>
          <w:szCs w:val="22"/>
          <w14:textFill>
            <w14:solidFill>
              <w14:schemeClr w14:val="tx1"/>
            </w14:solidFill>
          </w14:textFill>
        </w:rPr>
        <w:br w:type="page"/>
      </w:r>
    </w:p>
    <w:p>
      <w:pPr>
        <w:pStyle w:val="5"/>
        <w:jc w:val="center"/>
        <w:rPr>
          <w:rFonts w:ascii="宋体" w:hAnsi="宋体"/>
          <w:color w:val="000000" w:themeColor="text1"/>
          <w:sz w:val="22"/>
          <w:szCs w:val="22"/>
          <w14:textFill>
            <w14:solidFill>
              <w14:schemeClr w14:val="tx1"/>
            </w14:solidFill>
          </w14:textFill>
        </w:rPr>
      </w:pPr>
      <w:bookmarkStart w:id="245" w:name="_Toc441844116"/>
      <w:bookmarkStart w:id="246" w:name="_Toc321994781"/>
      <w:bookmarkStart w:id="247" w:name="_Toc401738102"/>
      <w:bookmarkStart w:id="248" w:name="_Toc93505799"/>
      <w:bookmarkStart w:id="249" w:name="_Toc427232350"/>
      <w:bookmarkStart w:id="250" w:name="_Toc395863121"/>
      <w:bookmarkStart w:id="251" w:name="_Toc326689516"/>
      <w:bookmarkStart w:id="252" w:name="_Toc8809"/>
      <w:r>
        <w:rPr>
          <w:rFonts w:ascii="宋体" w:hAnsi="宋体"/>
          <w:color w:val="000000" w:themeColor="text1"/>
          <w:sz w:val="22"/>
          <w:szCs w:val="22"/>
          <w14:textFill>
            <w14:solidFill>
              <w14:schemeClr w14:val="tx1"/>
            </w14:solidFill>
          </w14:textFill>
        </w:rPr>
        <w:t>1、投标函</w:t>
      </w:r>
      <w:bookmarkEnd w:id="245"/>
      <w:bookmarkEnd w:id="246"/>
      <w:bookmarkEnd w:id="247"/>
      <w:bookmarkEnd w:id="248"/>
      <w:bookmarkEnd w:id="249"/>
      <w:bookmarkEnd w:id="250"/>
      <w:bookmarkEnd w:id="251"/>
      <w:bookmarkEnd w:id="252"/>
    </w:p>
    <w:p>
      <w:pPr>
        <w:pStyle w:val="85"/>
        <w:adjustRightInd w:val="0"/>
        <w:snapToGrid w:val="0"/>
        <w:spacing w:line="360" w:lineRule="auto"/>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致：</w:t>
      </w:r>
      <w:r>
        <w:rPr>
          <w:rFonts w:ascii="宋体" w:eastAsia="宋体"/>
          <w:color w:val="000000" w:themeColor="text1"/>
          <w:sz w:val="22"/>
          <w:szCs w:val="22"/>
          <w:u w:val="single"/>
          <w14:textFill>
            <w14:solidFill>
              <w14:schemeClr w14:val="tx1"/>
            </w14:solidFill>
          </w14:textFill>
        </w:rPr>
        <w:t>（</w:t>
      </w:r>
      <w:r>
        <w:rPr>
          <w:rFonts w:hint="eastAsia" w:ascii="宋体" w:eastAsia="宋体"/>
          <w:color w:val="000000" w:themeColor="text1"/>
          <w:sz w:val="22"/>
          <w:szCs w:val="22"/>
          <w:u w:val="single"/>
          <w14:textFill>
            <w14:solidFill>
              <w14:schemeClr w14:val="tx1"/>
            </w14:solidFill>
          </w14:textFill>
        </w:rPr>
        <w:t>招标人</w:t>
      </w:r>
      <w:r>
        <w:rPr>
          <w:rFonts w:ascii="宋体" w:eastAsia="宋体"/>
          <w:color w:val="000000" w:themeColor="text1"/>
          <w:sz w:val="22"/>
          <w:szCs w:val="22"/>
          <w:u w:val="single"/>
          <w14:textFill>
            <w14:solidFill>
              <w14:schemeClr w14:val="tx1"/>
            </w14:solidFill>
          </w14:textFill>
        </w:rPr>
        <w:t>名称）</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我方确认收到贵方提供的</w:t>
      </w:r>
      <w:r>
        <w:rPr>
          <w:rFonts w:ascii="宋体" w:eastAsia="宋体"/>
          <w:color w:val="000000" w:themeColor="text1"/>
          <w:sz w:val="22"/>
          <w:szCs w:val="22"/>
          <w:u w:val="single"/>
          <w14:textFill>
            <w14:solidFill>
              <w14:schemeClr w14:val="tx1"/>
            </w14:solidFill>
          </w14:textFill>
        </w:rPr>
        <w:t>　　　　　</w:t>
      </w:r>
      <w:r>
        <w:rPr>
          <w:rFonts w:ascii="宋体" w:eastAsia="宋体"/>
          <w:color w:val="000000" w:themeColor="text1"/>
          <w:sz w:val="22"/>
          <w:szCs w:val="22"/>
          <w14:textFill>
            <w14:solidFill>
              <w14:schemeClr w14:val="tx1"/>
            </w14:solidFill>
          </w14:textFill>
        </w:rPr>
        <w:t>等相关</w:t>
      </w:r>
      <w:r>
        <w:rPr>
          <w:rFonts w:hint="eastAsia" w:ascii="宋体" w:eastAsia="宋体"/>
          <w:color w:val="000000" w:themeColor="text1"/>
          <w:sz w:val="22"/>
          <w:szCs w:val="22"/>
          <w14:textFill>
            <w14:solidFill>
              <w14:schemeClr w14:val="tx1"/>
            </w14:solidFill>
          </w14:textFill>
        </w:rPr>
        <w:t>服务</w:t>
      </w:r>
      <w:r>
        <w:rPr>
          <w:rFonts w:ascii="宋体" w:eastAsia="宋体"/>
          <w:color w:val="000000" w:themeColor="text1"/>
          <w:sz w:val="22"/>
          <w:szCs w:val="22"/>
          <w14:textFill>
            <w14:solidFill>
              <w14:schemeClr w14:val="tx1"/>
            </w14:solidFill>
          </w14:textFill>
        </w:rPr>
        <w:t>的招标文件（</w:t>
      </w:r>
      <w:r>
        <w:rPr>
          <w:rFonts w:hint="eastAsia" w:ascii="宋体" w:eastAsia="宋体"/>
          <w:color w:val="000000" w:themeColor="text1"/>
          <w:sz w:val="22"/>
          <w:szCs w:val="22"/>
          <w14:textFill>
            <w14:solidFill>
              <w14:schemeClr w14:val="tx1"/>
            </w14:solidFill>
          </w14:textFill>
        </w:rPr>
        <w:t>项目</w:t>
      </w:r>
      <w:r>
        <w:rPr>
          <w:rFonts w:ascii="宋体" w:eastAsia="宋体"/>
          <w:color w:val="000000" w:themeColor="text1"/>
          <w:sz w:val="22"/>
          <w:szCs w:val="22"/>
          <w14:textFill>
            <w14:solidFill>
              <w14:schemeClr w14:val="tx1"/>
            </w14:solidFill>
          </w14:textFill>
        </w:rPr>
        <w:t>编号:</w:t>
      </w:r>
      <w:r>
        <w:rPr>
          <w:rFonts w:ascii="宋体" w:eastAsia="宋体"/>
          <w:color w:val="000000" w:themeColor="text1"/>
          <w:sz w:val="22"/>
          <w:szCs w:val="22"/>
          <w:u w:val="single"/>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包号：</w:t>
      </w:r>
      <w:r>
        <w:rPr>
          <w:rFonts w:hint="eastAsia"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）的全部内容，我方：</w:t>
      </w:r>
      <w:r>
        <w:rPr>
          <w:rFonts w:ascii="宋体" w:eastAsia="宋体"/>
          <w:color w:val="000000" w:themeColor="text1"/>
          <w:sz w:val="22"/>
          <w:szCs w:val="22"/>
          <w:u w:val="single"/>
          <w14:textFill>
            <w14:solidFill>
              <w14:schemeClr w14:val="tx1"/>
            </w14:solidFill>
          </w14:textFill>
        </w:rPr>
        <w:t>（投标人名称）</w:t>
      </w:r>
      <w:r>
        <w:rPr>
          <w:rFonts w:ascii="宋体" w:eastAsia="宋体"/>
          <w:color w:val="000000" w:themeColor="text1"/>
          <w:sz w:val="22"/>
          <w:szCs w:val="22"/>
          <w14:textFill>
            <w14:solidFill>
              <w14:schemeClr w14:val="tx1"/>
            </w14:solidFill>
          </w14:textFill>
        </w:rPr>
        <w:t>作为投标人正式委托</w:t>
      </w:r>
      <w:r>
        <w:rPr>
          <w:rFonts w:ascii="宋体" w:eastAsia="宋体"/>
          <w:color w:val="000000" w:themeColor="text1"/>
          <w:sz w:val="22"/>
          <w:szCs w:val="22"/>
          <w:u w:val="single"/>
          <w14:textFill>
            <w14:solidFill>
              <w14:schemeClr w14:val="tx1"/>
            </w14:solidFill>
          </w14:textFill>
        </w:rPr>
        <w:t>　   （受委托人全名，职务）</w:t>
      </w:r>
      <w:r>
        <w:rPr>
          <w:rFonts w:ascii="宋体" w:eastAsia="宋体"/>
          <w:color w:val="000000" w:themeColor="text1"/>
          <w:sz w:val="22"/>
          <w:szCs w:val="22"/>
          <w14:textFill>
            <w14:solidFill>
              <w14:schemeClr w14:val="tx1"/>
            </w14:solidFill>
          </w14:textFill>
        </w:rPr>
        <w:t>代表我方进行有关本投标的一切事宜。</w:t>
      </w:r>
    </w:p>
    <w:p>
      <w:pPr>
        <w:pStyle w:val="69"/>
        <w:adjustRightInd w:val="0"/>
        <w:snapToGrid w:val="0"/>
        <w:spacing w:line="360" w:lineRule="auto"/>
        <w:ind w:firstLine="440" w:firstLineChars="2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在此提交的投标文件，正本</w:t>
      </w:r>
      <w:r>
        <w:rPr>
          <w:rFonts w:ascii="宋体" w:eastAsia="宋体"/>
          <w:color w:val="000000" w:themeColor="text1"/>
          <w:sz w:val="22"/>
          <w:szCs w:val="22"/>
          <w:u w:val="single"/>
          <w14:textFill>
            <w14:solidFill>
              <w14:schemeClr w14:val="tx1"/>
            </w14:solidFill>
          </w14:textFill>
        </w:rPr>
        <w:t>1</w:t>
      </w:r>
      <w:r>
        <w:rPr>
          <w:rFonts w:ascii="宋体" w:eastAsia="宋体"/>
          <w:color w:val="000000" w:themeColor="text1"/>
          <w:sz w:val="22"/>
          <w:szCs w:val="22"/>
          <w14:textFill>
            <w14:solidFill>
              <w14:schemeClr w14:val="tx1"/>
            </w14:solidFill>
          </w14:textFill>
        </w:rPr>
        <w:t>套，副本</w:t>
      </w:r>
      <w:r>
        <w:rPr>
          <w:rFonts w:hint="eastAsia" w:ascii="宋体" w:eastAsia="宋体"/>
          <w:color w:val="000000" w:themeColor="text1"/>
          <w:sz w:val="22"/>
          <w:szCs w:val="22"/>
          <w:u w:val="single"/>
          <w:lang w:val="en-US" w:eastAsia="zh-CN"/>
          <w14:textFill>
            <w14:solidFill>
              <w14:schemeClr w14:val="tx1"/>
            </w14:solidFill>
          </w14:textFill>
        </w:rPr>
        <w:t>2</w:t>
      </w:r>
      <w:r>
        <w:rPr>
          <w:rFonts w:ascii="宋体" w:eastAsia="宋体"/>
          <w:color w:val="000000" w:themeColor="text1"/>
          <w:sz w:val="22"/>
          <w:szCs w:val="22"/>
          <w14:textFill>
            <w14:solidFill>
              <w14:schemeClr w14:val="tx1"/>
            </w14:solidFill>
          </w14:textFill>
        </w:rPr>
        <w:t>套，包括如下等内容：</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1．价格部分文件</w:t>
      </w:r>
      <w:r>
        <w:rPr>
          <w:rFonts w:hint="eastAsia" w:ascii="宋体" w:eastAsia="宋体"/>
          <w:color w:val="000000" w:themeColor="text1"/>
          <w:sz w:val="22"/>
          <w:szCs w:val="22"/>
          <w14:textFill>
            <w14:solidFill>
              <w14:schemeClr w14:val="tx1"/>
            </w14:solidFill>
          </w14:textFill>
        </w:rPr>
        <w:t>（内含电子版投标文件）</w:t>
      </w:r>
      <w:r>
        <w:rPr>
          <w:rFonts w:ascii="宋体" w:eastAsia="宋体"/>
          <w:color w:val="000000" w:themeColor="text1"/>
          <w:sz w:val="22"/>
          <w:szCs w:val="22"/>
          <w14:textFill>
            <w14:solidFill>
              <w14:schemeClr w14:val="tx1"/>
            </w14:solidFill>
          </w14:textFill>
        </w:rPr>
        <w:t>；</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2．商务</w:t>
      </w:r>
      <w:r>
        <w:rPr>
          <w:rFonts w:hint="eastAsia" w:ascii="宋体" w:eastAsia="宋体"/>
          <w:color w:val="000000" w:themeColor="text1"/>
          <w:sz w:val="22"/>
          <w:szCs w:val="22"/>
          <w14:textFill>
            <w14:solidFill>
              <w14:schemeClr w14:val="tx1"/>
            </w14:solidFill>
          </w14:textFill>
        </w:rPr>
        <w:t>、技术</w:t>
      </w:r>
      <w:r>
        <w:rPr>
          <w:rFonts w:ascii="宋体" w:eastAsia="宋体"/>
          <w:color w:val="000000" w:themeColor="text1"/>
          <w:sz w:val="22"/>
          <w:szCs w:val="22"/>
          <w14:textFill>
            <w14:solidFill>
              <w14:schemeClr w14:val="tx1"/>
            </w14:solidFill>
          </w14:textFill>
        </w:rPr>
        <w:t>部分文件；</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我方己完全明白招标文件的所有条款要求，并重申以下几点：</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（—）我方决定参加</w:t>
      </w:r>
      <w:r>
        <w:rPr>
          <w:rFonts w:hint="eastAsia" w:ascii="宋体" w:eastAsia="宋体"/>
          <w:color w:val="000000" w:themeColor="text1"/>
          <w:sz w:val="22"/>
          <w:szCs w:val="22"/>
          <w14:textFill>
            <w14:solidFill>
              <w14:schemeClr w14:val="tx1"/>
            </w14:solidFill>
          </w14:textFill>
        </w:rPr>
        <w:t>项目</w:t>
      </w:r>
      <w:r>
        <w:rPr>
          <w:rFonts w:ascii="宋体" w:eastAsia="宋体"/>
          <w:color w:val="000000" w:themeColor="text1"/>
          <w:sz w:val="22"/>
          <w:szCs w:val="22"/>
          <w14:textFill>
            <w14:solidFill>
              <w14:schemeClr w14:val="tx1"/>
            </w14:solidFill>
          </w14:textFill>
        </w:rPr>
        <w:t>编号为</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的投标；</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（二）</w:t>
      </w:r>
      <w:r>
        <w:rPr>
          <w:rFonts w:hint="eastAsia" w:ascii="宋体" w:eastAsia="宋体"/>
          <w:color w:val="000000" w:themeColor="text1"/>
          <w:sz w:val="22"/>
          <w:szCs w:val="22"/>
          <w14:textFill>
            <w14:solidFill>
              <w14:schemeClr w14:val="tx1"/>
            </w14:solidFill>
          </w14:textFill>
        </w:rPr>
        <w:t>全部有关服务的投标总价</w:t>
      </w:r>
      <w:r>
        <w:rPr>
          <w:rFonts w:ascii="宋体" w:eastAsia="宋体"/>
          <w:color w:val="000000" w:themeColor="text1"/>
          <w:sz w:val="22"/>
          <w:szCs w:val="22"/>
          <w14:textFill>
            <w14:solidFill>
              <w14:schemeClr w14:val="tx1"/>
            </w14:solidFill>
          </w14:textFill>
        </w:rPr>
        <w:t>（详见</w:t>
      </w:r>
      <w:r>
        <w:rPr>
          <w:rFonts w:hint="eastAsia" w:ascii="宋体" w:eastAsia="宋体"/>
          <w:color w:val="000000" w:themeColor="text1"/>
          <w:sz w:val="22"/>
          <w:szCs w:val="22"/>
          <w14:textFill>
            <w14:solidFill>
              <w14:schemeClr w14:val="tx1"/>
            </w14:solidFill>
          </w14:textFill>
        </w:rPr>
        <w:t>投标报价一览表</w:t>
      </w:r>
      <w:r>
        <w:rPr>
          <w:rFonts w:ascii="宋体" w:eastAsia="宋体"/>
          <w:color w:val="000000" w:themeColor="text1"/>
          <w:sz w:val="22"/>
          <w:szCs w:val="22"/>
          <w14:textFill>
            <w14:solidFill>
              <w14:schemeClr w14:val="tx1"/>
            </w14:solidFill>
          </w14:textFill>
        </w:rPr>
        <w:t>）；</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（三）本投标文件的有效期自投标截止日后</w:t>
      </w:r>
      <w:r>
        <w:rPr>
          <w:rFonts w:hint="eastAsia" w:ascii="宋体" w:eastAsia="宋体"/>
          <w:color w:val="000000" w:themeColor="text1"/>
          <w:sz w:val="22"/>
          <w:szCs w:val="22"/>
          <w14:textFill>
            <w14:solidFill>
              <w14:schemeClr w14:val="tx1"/>
            </w14:solidFill>
          </w14:textFill>
        </w:rPr>
        <w:t>120</w:t>
      </w:r>
      <w:r>
        <w:rPr>
          <w:rFonts w:ascii="宋体" w:eastAsia="宋体"/>
          <w:color w:val="000000" w:themeColor="text1"/>
          <w:sz w:val="22"/>
          <w:szCs w:val="22"/>
          <w14:textFill>
            <w14:solidFill>
              <w14:schemeClr w14:val="tx1"/>
            </w14:solidFill>
          </w14:textFill>
        </w:rPr>
        <w:t>天有效，如中标，有效期将延至合同终止日为止；</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（四）我方已详细研究了招标文件的所有内容包括相关资料及修正文（如果有），对本项目招标文件的所有内容已清楚，接受本招标文件的所有条款及要求；</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（五）我方明白并愿意在规定的开标时间和日期之后，投标有效期之内撤回投标，则投标保证金将被贵方没收；</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（六）我方同意按照贵方可能提出的要求而提供与投标有关的任何其它数据或信息；</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（七）我方理解贵方不一定接受最低标价或任何贵方可能收到的投标；</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（八）我方如果中标，将保证履行招标文件以及招标文件修改书（如果有的话）中的全部责任和义务，按质、按量、按期完成《合同书》中的全部任务；</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（九）所有与本投标有关的函件请发往下列地址：</w:t>
      </w:r>
    </w:p>
    <w:p>
      <w:pPr>
        <w:adjustRightInd w:val="0"/>
        <w:snapToGrid w:val="0"/>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地  　址：</w:t>
      </w:r>
      <w:r>
        <w:rPr>
          <w:rFonts w:ascii="宋体" w:hAnsi="宋体"/>
          <w:color w:val="000000" w:themeColor="text1"/>
          <w:sz w:val="22"/>
          <w:szCs w:val="22"/>
          <w:u w:val="single"/>
          <w14:textFill>
            <w14:solidFill>
              <w14:schemeClr w14:val="tx1"/>
            </w14:solidFill>
          </w14:textFill>
        </w:rPr>
        <w:t>　　　　　　　　　　</w:t>
      </w:r>
      <w:r>
        <w:rPr>
          <w:rFonts w:ascii="宋体" w:hAnsi="宋体"/>
          <w:color w:val="000000" w:themeColor="text1"/>
          <w:sz w:val="22"/>
          <w:szCs w:val="22"/>
          <w14:textFill>
            <w14:solidFill>
              <w14:schemeClr w14:val="tx1"/>
            </w14:solidFill>
          </w14:textFill>
        </w:rPr>
        <w:t>　 邮政编码：　　　　　</w:t>
      </w:r>
    </w:p>
    <w:p>
      <w:pPr>
        <w:adjustRightInd w:val="0"/>
        <w:snapToGrid w:val="0"/>
        <w:spacing w:line="360" w:lineRule="auto"/>
        <w:rPr>
          <w:rFonts w:ascii="宋体" w:hAnsi="宋体"/>
          <w:color w:val="000000" w:themeColor="text1"/>
          <w:sz w:val="22"/>
          <w:szCs w:val="22"/>
          <w:u w:val="single"/>
          <w14:textFill>
            <w14:solidFill>
              <w14:schemeClr w14:val="tx1"/>
            </w14:solidFill>
          </w14:textFill>
        </w:rPr>
      </w:pPr>
      <w:r>
        <w:rPr>
          <w:rFonts w:ascii="宋体" w:hAnsi="宋体"/>
          <w:color w:val="000000" w:themeColor="text1"/>
          <w:sz w:val="22"/>
          <w:szCs w:val="22"/>
          <w14:textFill>
            <w14:solidFill>
              <w14:schemeClr w14:val="tx1"/>
            </w14:solidFill>
          </w14:textFill>
        </w:rPr>
        <w:t>联系人：</w:t>
      </w:r>
    </w:p>
    <w:p>
      <w:pPr>
        <w:adjustRightInd w:val="0"/>
        <w:snapToGrid w:val="0"/>
        <w:spacing w:line="360" w:lineRule="auto"/>
        <w:rPr>
          <w:rFonts w:ascii="宋体" w:hAnsi="宋体"/>
          <w:color w:val="000000" w:themeColor="text1"/>
          <w:sz w:val="22"/>
          <w:szCs w:val="22"/>
          <w:u w:val="single"/>
          <w14:textFill>
            <w14:solidFill>
              <w14:schemeClr w14:val="tx1"/>
            </w14:solidFill>
          </w14:textFill>
        </w:rPr>
      </w:pPr>
      <w:r>
        <w:rPr>
          <w:rFonts w:ascii="宋体" w:hAnsi="宋体"/>
          <w:color w:val="000000" w:themeColor="text1"/>
          <w:sz w:val="22"/>
          <w:szCs w:val="22"/>
          <w14:textFill>
            <w14:solidFill>
              <w14:schemeClr w14:val="tx1"/>
            </w14:solidFill>
          </w14:textFill>
        </w:rPr>
        <w:t>联系电话：</w:t>
      </w:r>
      <w:r>
        <w:rPr>
          <w:rFonts w:ascii="宋体" w:hAnsi="宋体"/>
          <w:color w:val="000000" w:themeColor="text1"/>
          <w:sz w:val="22"/>
          <w:szCs w:val="22"/>
          <w:u w:val="single"/>
          <w14:textFill>
            <w14:solidFill>
              <w14:schemeClr w14:val="tx1"/>
            </w14:solidFill>
          </w14:textFill>
        </w:rPr>
        <w:t>　　　　　　　　　　</w:t>
      </w:r>
      <w:r>
        <w:rPr>
          <w:rFonts w:ascii="宋体" w:hAnsi="宋体"/>
          <w:color w:val="000000" w:themeColor="text1"/>
          <w:sz w:val="22"/>
          <w:szCs w:val="22"/>
          <w14:textFill>
            <w14:solidFill>
              <w14:schemeClr w14:val="tx1"/>
            </w14:solidFill>
          </w14:textFill>
        </w:rPr>
        <w:t xml:space="preserve">   传　　真：</w:t>
      </w:r>
      <w:r>
        <w:rPr>
          <w:rFonts w:ascii="宋体" w:hAnsi="宋体"/>
          <w:color w:val="000000" w:themeColor="text1"/>
          <w:sz w:val="22"/>
          <w:szCs w:val="22"/>
          <w:u w:val="single"/>
          <w14:textFill>
            <w14:solidFill>
              <w14:schemeClr w14:val="tx1"/>
            </w14:solidFill>
          </w14:textFill>
        </w:rPr>
        <w:t xml:space="preserve">　　　　　　   </w:t>
      </w:r>
    </w:p>
    <w:p>
      <w:pPr>
        <w:pStyle w:val="69"/>
        <w:adjustRightInd w:val="0"/>
        <w:snapToGrid w:val="0"/>
        <w:spacing w:line="360" w:lineRule="auto"/>
        <w:ind w:firstLine="3520" w:firstLineChars="1600"/>
        <w:rPr>
          <w:rFonts w:ascii="Times New Roman" w:hAnsi="Times New Roman" w:eastAsia="宋体"/>
          <w:color w:val="000000" w:themeColor="text1"/>
          <w:sz w:val="22"/>
          <w:szCs w:val="22"/>
          <w14:textFill>
            <w14:solidFill>
              <w14:schemeClr w14:val="tx1"/>
            </w14:solidFill>
          </w14:textFill>
        </w:rPr>
      </w:pPr>
      <w:r>
        <w:rPr>
          <w:rFonts w:ascii="Times New Roman" w:hAnsi="Times New Roman" w:eastAsia="宋体"/>
          <w:color w:val="000000" w:themeColor="text1"/>
          <w:sz w:val="22"/>
          <w:szCs w:val="22"/>
          <w14:textFill>
            <w14:solidFill>
              <w14:schemeClr w14:val="tx1"/>
            </w14:solidFill>
          </w14:textFill>
        </w:rPr>
        <w:t>投标人名称（</w:t>
      </w:r>
      <w:r>
        <w:rPr>
          <w:rFonts w:hint="eastAsia" w:ascii="Times New Roman" w:hAnsi="Times New Roman" w:eastAsia="宋体"/>
          <w:color w:val="000000" w:themeColor="text1"/>
          <w:sz w:val="22"/>
          <w:szCs w:val="22"/>
          <w14:textFill>
            <w14:solidFill>
              <w14:schemeClr w14:val="tx1"/>
            </w14:solidFill>
          </w14:textFill>
        </w:rPr>
        <w:t>加盖</w:t>
      </w:r>
      <w:r>
        <w:rPr>
          <w:rFonts w:ascii="Times New Roman" w:hAnsi="Times New Roman" w:eastAsia="宋体"/>
          <w:color w:val="000000" w:themeColor="text1"/>
          <w:sz w:val="22"/>
          <w:szCs w:val="22"/>
          <w14:textFill>
            <w14:solidFill>
              <w14:schemeClr w14:val="tx1"/>
            </w14:solidFill>
          </w14:textFill>
        </w:rPr>
        <w:t>公章）：</w:t>
      </w:r>
      <w:r>
        <w:rPr>
          <w:rFonts w:ascii="Times New Roman" w:hAnsi="Times New Roman" w:eastAsia="宋体"/>
          <w:color w:val="000000" w:themeColor="text1"/>
          <w:sz w:val="22"/>
          <w:szCs w:val="22"/>
          <w:u w:val="single"/>
          <w14:textFill>
            <w14:solidFill>
              <w14:schemeClr w14:val="tx1"/>
            </w14:solidFill>
          </w14:textFill>
        </w:rPr>
        <w:t xml:space="preserve">                         </w:t>
      </w:r>
    </w:p>
    <w:p>
      <w:pPr>
        <w:pStyle w:val="69"/>
        <w:adjustRightInd w:val="0"/>
        <w:snapToGrid w:val="0"/>
        <w:spacing w:line="360" w:lineRule="auto"/>
        <w:ind w:firstLine="3520" w:firstLineChars="1600"/>
        <w:rPr>
          <w:rFonts w:ascii="Times New Roman" w:hAnsi="Times New Roman" w:eastAsia="宋体"/>
          <w:color w:val="000000" w:themeColor="text1"/>
          <w:sz w:val="22"/>
          <w:szCs w:val="22"/>
          <w14:textFill>
            <w14:solidFill>
              <w14:schemeClr w14:val="tx1"/>
            </w14:solidFill>
          </w14:textFill>
        </w:rPr>
      </w:pPr>
      <w:r>
        <w:rPr>
          <w:rFonts w:ascii="Times New Roman" w:hAnsi="Times New Roman" w:eastAsia="宋体"/>
          <w:color w:val="000000" w:themeColor="text1"/>
          <w:sz w:val="22"/>
          <w:szCs w:val="22"/>
          <w14:textFill>
            <w14:solidFill>
              <w14:schemeClr w14:val="tx1"/>
            </w14:solidFill>
          </w14:textFill>
        </w:rPr>
        <w:t>投标人地址：</w:t>
      </w:r>
      <w:r>
        <w:rPr>
          <w:rFonts w:ascii="Times New Roman" w:hAnsi="Times New Roman" w:eastAsia="宋体"/>
          <w:color w:val="000000" w:themeColor="text1"/>
          <w:sz w:val="22"/>
          <w:szCs w:val="22"/>
          <w:u w:val="single"/>
          <w14:textFill>
            <w14:solidFill>
              <w14:schemeClr w14:val="tx1"/>
            </w14:solidFill>
          </w14:textFill>
        </w:rPr>
        <w:t xml:space="preserve">                         </w:t>
      </w:r>
    </w:p>
    <w:p>
      <w:pPr>
        <w:pStyle w:val="69"/>
        <w:adjustRightInd w:val="0"/>
        <w:snapToGrid w:val="0"/>
        <w:spacing w:line="360" w:lineRule="auto"/>
        <w:ind w:firstLine="3520" w:firstLineChars="1600"/>
        <w:rPr>
          <w:rFonts w:ascii="Times New Roman" w:hAnsi="Times New Roman" w:eastAsia="宋体"/>
          <w:color w:val="000000" w:themeColor="text1"/>
          <w:sz w:val="22"/>
          <w:szCs w:val="22"/>
          <w14:textFill>
            <w14:solidFill>
              <w14:schemeClr w14:val="tx1"/>
            </w14:solidFill>
          </w14:textFill>
        </w:rPr>
      </w:pPr>
      <w:r>
        <w:rPr>
          <w:rFonts w:hint="eastAsia" w:ascii="Times New Roman" w:hAnsi="Times New Roman" w:eastAsia="宋体"/>
          <w:color w:val="000000" w:themeColor="text1"/>
          <w:sz w:val="22"/>
          <w:szCs w:val="22"/>
          <w14:textFill>
            <w14:solidFill>
              <w14:schemeClr w14:val="tx1"/>
            </w14:solidFill>
          </w14:textFill>
        </w:rPr>
        <w:t>投标人法定代表人或被授权人（签名或盖私章）</w:t>
      </w:r>
      <w:r>
        <w:rPr>
          <w:rFonts w:ascii="Times New Roman" w:hAnsi="Times New Roman" w:eastAsia="宋体"/>
          <w:color w:val="000000" w:themeColor="text1"/>
          <w:sz w:val="22"/>
          <w:szCs w:val="22"/>
          <w14:textFill>
            <w14:solidFill>
              <w14:schemeClr w14:val="tx1"/>
            </w14:solidFill>
          </w14:textFill>
        </w:rPr>
        <w:t>：</w:t>
      </w:r>
    </w:p>
    <w:p>
      <w:pPr>
        <w:pStyle w:val="69"/>
        <w:adjustRightInd w:val="0"/>
        <w:snapToGrid w:val="0"/>
        <w:spacing w:line="360" w:lineRule="auto"/>
        <w:ind w:firstLine="3520" w:firstLineChars="1600"/>
        <w:rPr>
          <w:rFonts w:ascii="宋体" w:eastAsia="宋体"/>
          <w:color w:val="000000" w:themeColor="text1"/>
          <w:sz w:val="22"/>
          <w:szCs w:val="22"/>
          <w14:textFill>
            <w14:solidFill>
              <w14:schemeClr w14:val="tx1"/>
            </w14:solidFill>
          </w14:textFill>
        </w:rPr>
      </w:pPr>
      <w:r>
        <w:rPr>
          <w:rFonts w:ascii="Times New Roman" w:hAnsi="Times New Roman" w:eastAsia="宋体"/>
          <w:color w:val="000000" w:themeColor="text1"/>
          <w:sz w:val="22"/>
          <w:szCs w:val="22"/>
          <w14:textFill>
            <w14:solidFill>
              <w14:schemeClr w14:val="tx1"/>
            </w14:solidFill>
          </w14:textFill>
        </w:rPr>
        <w:t>日　　　期：</w:t>
      </w:r>
      <w:r>
        <w:rPr>
          <w:rFonts w:ascii="宋体" w:eastAsia="宋体"/>
          <w:color w:val="000000" w:themeColor="text1"/>
          <w:sz w:val="22"/>
          <w:szCs w:val="22"/>
          <w14:textFill>
            <w14:solidFill>
              <w14:schemeClr w14:val="tx1"/>
            </w14:solidFill>
          </w14:textFill>
        </w:rPr>
        <w:t>　年　　月　　日</w:t>
      </w:r>
    </w:p>
    <w:p>
      <w:pPr>
        <w:pStyle w:val="69"/>
        <w:adjustRightInd w:val="0"/>
        <w:snapToGrid w:val="0"/>
        <w:spacing w:line="360" w:lineRule="auto"/>
        <w:ind w:firstLine="3520" w:firstLineChars="1600"/>
        <w:rPr>
          <w:rFonts w:ascii="Times New Roman" w:hAnsi="Times New Roman" w:eastAsia="宋体"/>
          <w:color w:val="000000" w:themeColor="text1"/>
          <w:sz w:val="22"/>
          <w:szCs w:val="22"/>
          <w14:textFill>
            <w14:solidFill>
              <w14:schemeClr w14:val="tx1"/>
            </w14:solidFill>
          </w14:textFill>
        </w:rPr>
      </w:pPr>
    </w:p>
    <w:p>
      <w:pPr>
        <w:pStyle w:val="85"/>
        <w:adjustRightInd w:val="0"/>
        <w:snapToGrid w:val="0"/>
        <w:spacing w:line="360" w:lineRule="auto"/>
        <w:rPr>
          <w:rFonts w:ascii="Times New Roman" w:hAnsi="Times New Roman" w:eastAsia="宋体"/>
          <w:color w:val="000000" w:themeColor="text1"/>
          <w:sz w:val="21"/>
          <w:szCs w:val="21"/>
          <w14:textFill>
            <w14:solidFill>
              <w14:schemeClr w14:val="tx1"/>
            </w14:solidFill>
          </w14:textFill>
        </w:rPr>
      </w:pPr>
    </w:p>
    <w:p>
      <w:pPr>
        <w:pStyle w:val="5"/>
        <w:adjustRightInd w:val="0"/>
        <w:snapToGrid w:val="0"/>
        <w:spacing w:line="360" w:lineRule="auto"/>
        <w:jc w:val="center"/>
        <w:rPr>
          <w:rFonts w:ascii="宋体" w:hAnsi="宋体"/>
          <w:color w:val="000000" w:themeColor="text1"/>
          <w:sz w:val="22"/>
          <w:szCs w:val="22"/>
          <w14:textFill>
            <w14:solidFill>
              <w14:schemeClr w14:val="tx1"/>
            </w14:solidFill>
          </w14:textFill>
        </w:rPr>
      </w:pPr>
      <w:bookmarkStart w:id="253" w:name="_Toc93505800"/>
      <w:bookmarkStart w:id="254" w:name="_Toc441844117"/>
      <w:bookmarkStart w:id="255" w:name="_Toc3143"/>
      <w:r>
        <w:rPr>
          <w:rFonts w:ascii="宋体" w:hAnsi="宋体"/>
          <w:color w:val="000000" w:themeColor="text1"/>
          <w:sz w:val="22"/>
          <w:szCs w:val="22"/>
          <w14:textFill>
            <w14:solidFill>
              <w14:schemeClr w14:val="tx1"/>
            </w14:solidFill>
          </w14:textFill>
        </w:rPr>
        <w:t>2、承诺书</w:t>
      </w:r>
      <w:bookmarkEnd w:id="253"/>
      <w:bookmarkEnd w:id="254"/>
      <w:r>
        <w:rPr>
          <w:rFonts w:ascii="宋体" w:hAnsi="宋体"/>
          <w:color w:val="000000" w:themeColor="text1"/>
          <w:sz w:val="22"/>
          <w:szCs w:val="22"/>
          <w14:textFill>
            <w14:solidFill>
              <w14:schemeClr w14:val="tx1"/>
            </w14:solidFill>
          </w14:textFill>
        </w:rPr>
        <w:cr/>
      </w:r>
      <w:bookmarkEnd w:id="255"/>
    </w:p>
    <w:p>
      <w:pPr>
        <w:adjustRightInd w:val="0"/>
        <w:snapToGrid w:val="0"/>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致：</w:t>
      </w:r>
      <w:r>
        <w:rPr>
          <w:rFonts w:ascii="宋体" w:hAnsi="宋体"/>
          <w:color w:val="000000" w:themeColor="text1"/>
          <w:sz w:val="22"/>
          <w:szCs w:val="22"/>
          <w:u w:val="single"/>
          <w14:textFill>
            <w14:solidFill>
              <w14:schemeClr w14:val="tx1"/>
            </w14:solidFill>
          </w14:textFill>
        </w:rPr>
        <w:t>（</w:t>
      </w:r>
      <w:r>
        <w:rPr>
          <w:rFonts w:hint="eastAsia" w:ascii="宋体" w:hAnsi="宋体"/>
          <w:color w:val="000000" w:themeColor="text1"/>
          <w:sz w:val="22"/>
          <w:szCs w:val="22"/>
          <w:u w:val="single"/>
          <w14:textFill>
            <w14:solidFill>
              <w14:schemeClr w14:val="tx1"/>
            </w14:solidFill>
          </w14:textFill>
        </w:rPr>
        <w:t>招标人</w:t>
      </w:r>
      <w:r>
        <w:rPr>
          <w:rFonts w:ascii="宋体" w:hAnsi="宋体"/>
          <w:color w:val="000000" w:themeColor="text1"/>
          <w:sz w:val="22"/>
          <w:szCs w:val="22"/>
          <w:u w:val="single"/>
          <w14:textFill>
            <w14:solidFill>
              <w14:schemeClr w14:val="tx1"/>
            </w14:solidFill>
          </w14:textFill>
        </w:rPr>
        <w:t>名称）</w:t>
      </w:r>
    </w:p>
    <w:p>
      <w:pPr>
        <w:adjustRightInd w:val="0"/>
        <w:snapToGrid w:val="0"/>
        <w:spacing w:line="360" w:lineRule="auto"/>
        <w:ind w:firstLine="42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我方已完整阅读了</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项目（</w:t>
      </w:r>
      <w:r>
        <w:rPr>
          <w:rFonts w:hint="eastAsia" w:ascii="宋体" w:hAnsi="宋体"/>
          <w:color w:val="000000" w:themeColor="text1"/>
          <w:sz w:val="22"/>
          <w:szCs w:val="22"/>
          <w14:textFill>
            <w14:solidFill>
              <w14:schemeClr w14:val="tx1"/>
            </w14:solidFill>
          </w14:textFill>
        </w:rPr>
        <w:t>项目</w:t>
      </w:r>
      <w:r>
        <w:rPr>
          <w:rFonts w:ascii="宋体" w:hAnsi="宋体"/>
          <w:color w:val="000000" w:themeColor="text1"/>
          <w:sz w:val="22"/>
          <w:szCs w:val="22"/>
          <w14:textFill>
            <w14:solidFill>
              <w14:schemeClr w14:val="tx1"/>
            </w14:solidFill>
          </w14:textFill>
        </w:rPr>
        <w:t>编号：</w:t>
      </w:r>
      <w:r>
        <w:rPr>
          <w:rFonts w:ascii="宋体" w:hAnsi="宋体"/>
          <w:color w:val="000000" w:themeColor="text1"/>
          <w:sz w:val="22"/>
          <w:szCs w:val="22"/>
          <w:u w:val="single"/>
          <w14:textFill>
            <w14:solidFill>
              <w14:schemeClr w14:val="tx1"/>
            </w14:solidFill>
          </w14:textFill>
        </w:rPr>
        <w:t xml:space="preserve">         </w:t>
      </w:r>
      <w:r>
        <w:rPr>
          <w:rFonts w:hint="eastAsia" w:ascii="宋体"/>
          <w:color w:val="000000" w:themeColor="text1"/>
          <w:sz w:val="22"/>
          <w:szCs w:val="22"/>
          <w14:textFill>
            <w14:solidFill>
              <w14:schemeClr w14:val="tx1"/>
            </w14:solidFill>
          </w14:textFill>
        </w:rPr>
        <w:t>包号：</w:t>
      </w:r>
      <w:r>
        <w:rPr>
          <w:rFonts w:hint="eastAsia" w:ascii="宋体"/>
          <w:color w:val="000000" w:themeColor="text1"/>
          <w:sz w:val="22"/>
          <w:szCs w:val="22"/>
          <w:u w:val="single"/>
          <w14:textFill>
            <w14:solidFill>
              <w14:schemeClr w14:val="tx1"/>
            </w14:solidFill>
          </w14:textFill>
        </w:rPr>
        <w:t xml:space="preserve"> </w:t>
      </w:r>
      <w:r>
        <w:rPr>
          <w:rFonts w:asci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color w:val="000000" w:themeColor="text1"/>
          <w:sz w:val="22"/>
          <w:szCs w:val="22"/>
          <w14:textFill>
            <w14:solidFill>
              <w14:schemeClr w14:val="tx1"/>
            </w14:solidFill>
          </w14:textFill>
        </w:rPr>
        <w:cr/>
      </w:r>
    </w:p>
    <w:p>
      <w:pPr>
        <w:adjustRightInd w:val="0"/>
        <w:snapToGrid w:val="0"/>
        <w:spacing w:line="360" w:lineRule="auto"/>
        <w:ind w:firstLine="420"/>
        <w:rPr>
          <w:rFonts w:ascii="宋体" w:hAnsi="宋体"/>
          <w:color w:val="000000" w:themeColor="text1"/>
          <w:sz w:val="22"/>
          <w:szCs w:val="22"/>
          <w14:textFill>
            <w14:solidFill>
              <w14:schemeClr w14:val="tx1"/>
            </w14:solidFill>
          </w14:textFill>
        </w:rPr>
      </w:pPr>
    </w:p>
    <w:p>
      <w:pPr>
        <w:adjustRightInd w:val="0"/>
        <w:snapToGrid w:val="0"/>
        <w:spacing w:line="360" w:lineRule="auto"/>
        <w:ind w:firstLine="420"/>
        <w:rPr>
          <w:rFonts w:ascii="宋体" w:hAnsi="宋体"/>
          <w:color w:val="000000" w:themeColor="text1"/>
          <w:sz w:val="22"/>
          <w:szCs w:val="22"/>
          <w14:textFill>
            <w14:solidFill>
              <w14:schemeClr w14:val="tx1"/>
            </w14:solidFill>
          </w14:textFill>
        </w:rPr>
      </w:pPr>
    </w:p>
    <w:p>
      <w:pPr>
        <w:adjustRightInd w:val="0"/>
        <w:snapToGrid w:val="0"/>
        <w:spacing w:line="360" w:lineRule="auto"/>
        <w:ind w:firstLine="420"/>
        <w:rPr>
          <w:rFonts w:ascii="宋体" w:hAnsi="宋体"/>
          <w:color w:val="000000" w:themeColor="text1"/>
          <w:sz w:val="22"/>
          <w:szCs w:val="22"/>
          <w14:textFill>
            <w14:solidFill>
              <w14:schemeClr w14:val="tx1"/>
            </w14:solidFill>
          </w14:textFill>
        </w:rPr>
      </w:pPr>
    </w:p>
    <w:p>
      <w:pPr>
        <w:pStyle w:val="69"/>
        <w:adjustRightInd w:val="0"/>
        <w:snapToGrid w:val="0"/>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投标人名称（</w:t>
      </w:r>
      <w:r>
        <w:rPr>
          <w:rFonts w:hint="eastAsia" w:ascii="宋体" w:eastAsia="宋体"/>
          <w:color w:val="000000" w:themeColor="text1"/>
          <w:sz w:val="22"/>
          <w:szCs w:val="22"/>
          <w14:textFill>
            <w14:solidFill>
              <w14:schemeClr w14:val="tx1"/>
            </w14:solidFill>
          </w14:textFill>
        </w:rPr>
        <w:t>加盖</w:t>
      </w:r>
      <w:r>
        <w:rPr>
          <w:rFonts w:ascii="宋体" w:eastAsia="宋体"/>
          <w:color w:val="000000" w:themeColor="text1"/>
          <w:sz w:val="22"/>
          <w:szCs w:val="22"/>
          <w14:textFill>
            <w14:solidFill>
              <w14:schemeClr w14:val="tx1"/>
            </w14:solidFill>
          </w14:textFill>
        </w:rPr>
        <w:t>公章）：</w:t>
      </w:r>
    </w:p>
    <w:p>
      <w:pPr>
        <w:pStyle w:val="69"/>
        <w:adjustRightInd w:val="0"/>
        <w:snapToGrid w:val="0"/>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投标人法定代表人或</w:t>
      </w:r>
      <w:r>
        <w:rPr>
          <w:rFonts w:hint="eastAsia" w:ascii="宋体" w:eastAsia="宋体"/>
          <w:color w:val="000000" w:themeColor="text1"/>
          <w:sz w:val="22"/>
          <w:szCs w:val="22"/>
          <w14:textFill>
            <w14:solidFill>
              <w14:schemeClr w14:val="tx1"/>
            </w14:solidFill>
          </w14:textFill>
        </w:rPr>
        <w:t>被授权人</w:t>
      </w:r>
      <w:r>
        <w:rPr>
          <w:rFonts w:ascii="宋体" w:eastAsia="宋体"/>
          <w:color w:val="000000" w:themeColor="text1"/>
          <w:sz w:val="22"/>
          <w:szCs w:val="22"/>
          <w14:textFill>
            <w14:solidFill>
              <w14:schemeClr w14:val="tx1"/>
            </w14:solidFill>
          </w14:textFill>
        </w:rPr>
        <w:t>（</w:t>
      </w:r>
      <w:r>
        <w:rPr>
          <w:rFonts w:hint="eastAsia" w:ascii="宋体" w:eastAsia="宋体"/>
          <w:color w:val="000000" w:themeColor="text1"/>
          <w:sz w:val="22"/>
          <w:szCs w:val="22"/>
          <w14:textFill>
            <w14:solidFill>
              <w14:schemeClr w14:val="tx1"/>
            </w14:solidFill>
          </w14:textFill>
        </w:rPr>
        <w:t>签名或盖章</w:t>
      </w:r>
      <w:r>
        <w:rPr>
          <w:rFonts w:ascii="宋体" w:eastAsia="宋体"/>
          <w:color w:val="000000" w:themeColor="text1"/>
          <w:sz w:val="22"/>
          <w:szCs w:val="22"/>
          <w14:textFill>
            <w14:solidFill>
              <w14:schemeClr w14:val="tx1"/>
            </w14:solidFill>
          </w14:textFill>
        </w:rPr>
        <w:t>）：</w:t>
      </w:r>
    </w:p>
    <w:p>
      <w:pPr>
        <w:pStyle w:val="69"/>
        <w:adjustRightInd w:val="0"/>
        <w:snapToGrid w:val="0"/>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日期：　　年　　月　　日</w:t>
      </w:r>
    </w:p>
    <w:p>
      <w:pPr>
        <w:adjustRightInd w:val="0"/>
        <w:snapToGrid w:val="0"/>
        <w:spacing w:line="360" w:lineRule="auto"/>
        <w:rPr>
          <w:rFonts w:ascii="宋体" w:hAnsi="宋体"/>
          <w:color w:val="000000" w:themeColor="text1"/>
          <w:sz w:val="22"/>
          <w:szCs w:val="22"/>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widowControl/>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spacing w:line="360" w:lineRule="auto"/>
        <w:rPr>
          <w:rFonts w:ascii="Times New Roman" w:hAnsi="Times New Roman"/>
          <w:color w:val="000000" w:themeColor="text1"/>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bookmarkStart w:id="256" w:name="_Toc4703"/>
      <w:bookmarkStart w:id="257" w:name="_Toc441844118"/>
      <w:bookmarkStart w:id="258" w:name="_Toc93505801"/>
      <w:r>
        <w:rPr>
          <w:rFonts w:ascii="宋体" w:hAnsi="宋体"/>
          <w:color w:val="000000" w:themeColor="text1"/>
          <w:sz w:val="22"/>
          <w:szCs w:val="22"/>
          <w14:textFill>
            <w14:solidFill>
              <w14:schemeClr w14:val="tx1"/>
            </w14:solidFill>
          </w14:textFill>
        </w:rPr>
        <w:t>3、</w:t>
      </w:r>
      <w:bookmarkStart w:id="259" w:name="_Toc427232351"/>
      <w:bookmarkStart w:id="260" w:name="_Toc401738103"/>
      <w:bookmarkStart w:id="261" w:name="_Toc395863122"/>
      <w:bookmarkStart w:id="262" w:name="_Toc321994782"/>
      <w:bookmarkStart w:id="263" w:name="_Toc326689517"/>
      <w:r>
        <w:rPr>
          <w:rFonts w:ascii="宋体" w:hAnsi="宋体"/>
          <w:color w:val="000000" w:themeColor="text1"/>
          <w:sz w:val="22"/>
          <w:szCs w:val="22"/>
          <w14:textFill>
            <w14:solidFill>
              <w14:schemeClr w14:val="tx1"/>
            </w14:solidFill>
          </w14:textFill>
        </w:rPr>
        <w:t>法定代表人身份证明书</w:t>
      </w:r>
      <w:bookmarkEnd w:id="256"/>
      <w:bookmarkEnd w:id="257"/>
      <w:bookmarkEnd w:id="258"/>
      <w:bookmarkEnd w:id="259"/>
      <w:bookmarkEnd w:id="260"/>
      <w:bookmarkEnd w:id="261"/>
      <w:bookmarkEnd w:id="262"/>
      <w:bookmarkEnd w:id="263"/>
    </w:p>
    <w:p>
      <w:pPr>
        <w:spacing w:line="560" w:lineRule="exact"/>
        <w:jc w:val="center"/>
        <w:rPr>
          <w:rFonts w:ascii="宋体" w:hAnsi="宋体"/>
          <w:b/>
          <w:color w:val="000000" w:themeColor="text1"/>
          <w:sz w:val="22"/>
          <w:szCs w:val="22"/>
          <w14:textFill>
            <w14:solidFill>
              <w14:schemeClr w14:val="tx1"/>
            </w14:solidFill>
          </w14:textFill>
        </w:rPr>
      </w:pPr>
    </w:p>
    <w:p>
      <w:pPr>
        <w:spacing w:line="5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致：</w:t>
      </w:r>
      <w:r>
        <w:rPr>
          <w:rFonts w:ascii="宋体" w:hAnsi="宋体"/>
          <w:color w:val="000000" w:themeColor="text1"/>
          <w:sz w:val="22"/>
          <w:szCs w:val="22"/>
          <w:u w:val="single"/>
          <w14:textFill>
            <w14:solidFill>
              <w14:schemeClr w14:val="tx1"/>
            </w14:solidFill>
          </w14:textFill>
        </w:rPr>
        <w:t>（</w:t>
      </w:r>
      <w:r>
        <w:rPr>
          <w:rFonts w:hint="eastAsia" w:ascii="宋体" w:hAnsi="宋体"/>
          <w:color w:val="000000" w:themeColor="text1"/>
          <w:sz w:val="22"/>
          <w:szCs w:val="22"/>
          <w:u w:val="single"/>
          <w14:textFill>
            <w14:solidFill>
              <w14:schemeClr w14:val="tx1"/>
            </w14:solidFill>
          </w14:textFill>
        </w:rPr>
        <w:t>招标人</w:t>
      </w:r>
      <w:r>
        <w:rPr>
          <w:rFonts w:ascii="宋体" w:hAnsi="宋体"/>
          <w:color w:val="000000" w:themeColor="text1"/>
          <w:sz w:val="22"/>
          <w:szCs w:val="22"/>
          <w:u w:val="single"/>
          <w14:textFill>
            <w14:solidFill>
              <w14:schemeClr w14:val="tx1"/>
            </w14:solidFill>
          </w14:textFill>
        </w:rPr>
        <w:t>名称）</w:t>
      </w:r>
    </w:p>
    <w:p>
      <w:pPr>
        <w:pStyle w:val="69"/>
        <w:spacing w:line="560" w:lineRule="exact"/>
        <w:ind w:firstLine="563" w:firstLineChars="256"/>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本证明书声明：注册于（国家名称）的</w:t>
      </w:r>
      <w:r>
        <w:rPr>
          <w:rFonts w:ascii="宋体" w:eastAsia="宋体"/>
          <w:color w:val="000000" w:themeColor="text1"/>
          <w:sz w:val="22"/>
          <w:szCs w:val="22"/>
          <w:u w:val="single"/>
          <w14:textFill>
            <w14:solidFill>
              <w14:schemeClr w14:val="tx1"/>
            </w14:solidFill>
          </w14:textFill>
        </w:rPr>
        <w:t xml:space="preserve">　      （投标人名称）   　   </w:t>
      </w:r>
      <w:r>
        <w:rPr>
          <w:rFonts w:ascii="宋体" w:eastAsia="宋体"/>
          <w:color w:val="000000" w:themeColor="text1"/>
          <w:sz w:val="22"/>
          <w:szCs w:val="22"/>
          <w14:textFill>
            <w14:solidFill>
              <w14:schemeClr w14:val="tx1"/>
            </w14:solidFill>
          </w14:textFill>
        </w:rPr>
        <w:t>在下面签字的</w:t>
      </w:r>
      <w:r>
        <w:rPr>
          <w:rFonts w:ascii="宋体" w:eastAsia="宋体"/>
          <w:color w:val="000000" w:themeColor="text1"/>
          <w:sz w:val="22"/>
          <w:szCs w:val="22"/>
          <w:u w:val="single"/>
          <w14:textFill>
            <w14:solidFill>
              <w14:schemeClr w14:val="tx1"/>
            </w14:solidFill>
          </w14:textFill>
        </w:rPr>
        <w:t xml:space="preserve">　（法定代表人姓名、职务）  </w:t>
      </w:r>
      <w:r>
        <w:rPr>
          <w:rFonts w:ascii="宋体" w:eastAsia="宋体"/>
          <w:color w:val="000000" w:themeColor="text1"/>
          <w:sz w:val="22"/>
          <w:szCs w:val="22"/>
          <w14:textFill>
            <w14:solidFill>
              <w14:schemeClr w14:val="tx1"/>
            </w14:solidFill>
          </w14:textFill>
        </w:rPr>
        <w:t>为本公司的合法代表人（</w:t>
      </w:r>
      <w:r>
        <w:rPr>
          <w:rFonts w:ascii="宋体" w:eastAsia="宋体"/>
          <w:b/>
          <w:color w:val="000000" w:themeColor="text1"/>
          <w:sz w:val="22"/>
          <w:szCs w:val="22"/>
          <w14:textFill>
            <w14:solidFill>
              <w14:schemeClr w14:val="tx1"/>
            </w14:solidFill>
          </w14:textFill>
        </w:rPr>
        <w:t>相关身份证复印件须附后</w:t>
      </w:r>
      <w:r>
        <w:rPr>
          <w:rFonts w:ascii="宋体" w:eastAsia="宋体"/>
          <w:color w:val="000000" w:themeColor="text1"/>
          <w:sz w:val="22"/>
          <w:szCs w:val="22"/>
          <w14:textFill>
            <w14:solidFill>
              <w14:schemeClr w14:val="tx1"/>
            </w14:solidFill>
          </w14:textFill>
        </w:rPr>
        <w:t>）。</w:t>
      </w:r>
    </w:p>
    <w:p>
      <w:pPr>
        <w:spacing w:line="560" w:lineRule="exact"/>
        <w:ind w:firstLine="440" w:firstLineChars="2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特此证明</w:t>
      </w:r>
    </w:p>
    <w:p>
      <w:pPr>
        <w:spacing w:line="560" w:lineRule="exact"/>
        <w:ind w:firstLine="440" w:firstLineChars="200"/>
        <w:rPr>
          <w:rFonts w:ascii="宋体" w:hAnsi="宋体"/>
          <w:color w:val="000000" w:themeColor="text1"/>
          <w:sz w:val="22"/>
          <w:szCs w:val="22"/>
          <w14:textFill>
            <w14:solidFill>
              <w14:schemeClr w14:val="tx1"/>
            </w14:solidFill>
          </w14:textFill>
        </w:rPr>
      </w:pPr>
    </w:p>
    <w:p>
      <w:pPr>
        <w:spacing w:line="560" w:lineRule="exact"/>
        <w:ind w:firstLine="440" w:firstLineChars="200"/>
        <w:rPr>
          <w:rFonts w:ascii="宋体" w:hAnsi="宋体"/>
          <w:color w:val="000000" w:themeColor="text1"/>
          <w:sz w:val="22"/>
          <w:szCs w:val="22"/>
          <w14:textFill>
            <w14:solidFill>
              <w14:schemeClr w14:val="tx1"/>
            </w14:solidFill>
          </w14:textFill>
        </w:rPr>
      </w:pPr>
    </w:p>
    <w:p>
      <w:pPr>
        <w:pStyle w:val="69"/>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投标人名称（</w:t>
      </w:r>
      <w:r>
        <w:rPr>
          <w:rFonts w:hint="eastAsia" w:ascii="宋体" w:eastAsia="宋体"/>
          <w:color w:val="000000" w:themeColor="text1"/>
          <w:sz w:val="22"/>
          <w:szCs w:val="22"/>
          <w14:textFill>
            <w14:solidFill>
              <w14:schemeClr w14:val="tx1"/>
            </w14:solidFill>
          </w14:textFill>
        </w:rPr>
        <w:t>加</w:t>
      </w:r>
      <w:r>
        <w:rPr>
          <w:rFonts w:ascii="宋体" w:eastAsia="宋体"/>
          <w:color w:val="000000" w:themeColor="text1"/>
          <w:sz w:val="22"/>
          <w:szCs w:val="22"/>
          <w14:textFill>
            <w14:solidFill>
              <w14:schemeClr w14:val="tx1"/>
            </w14:solidFill>
          </w14:textFill>
        </w:rPr>
        <w:t>公章）：</w:t>
      </w:r>
    </w:p>
    <w:p>
      <w:pPr>
        <w:pStyle w:val="69"/>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投标人地址：</w:t>
      </w:r>
    </w:p>
    <w:p>
      <w:pPr>
        <w:pStyle w:val="69"/>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法定代表人（</w:t>
      </w:r>
      <w:r>
        <w:rPr>
          <w:rFonts w:hint="eastAsia" w:ascii="宋体" w:eastAsia="宋体"/>
          <w:color w:val="000000" w:themeColor="text1"/>
          <w:sz w:val="22"/>
          <w:szCs w:val="22"/>
          <w14:textFill>
            <w14:solidFill>
              <w14:schemeClr w14:val="tx1"/>
            </w14:solidFill>
          </w14:textFill>
        </w:rPr>
        <w:t>签名或盖章</w:t>
      </w:r>
      <w:r>
        <w:rPr>
          <w:rFonts w:ascii="宋体" w:eastAsia="宋体"/>
          <w:color w:val="000000" w:themeColor="text1"/>
          <w:sz w:val="22"/>
          <w:szCs w:val="22"/>
          <w14:textFill>
            <w14:solidFill>
              <w14:schemeClr w14:val="tx1"/>
            </w14:solidFill>
          </w14:textFill>
        </w:rPr>
        <w:t>）：</w:t>
      </w:r>
    </w:p>
    <w:p>
      <w:pPr>
        <w:pStyle w:val="69"/>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职　　　务：</w:t>
      </w:r>
    </w:p>
    <w:p>
      <w:pPr>
        <w:spacing w:line="560" w:lineRule="exact"/>
        <w:ind w:left="4320" w:leftChars="2057"/>
        <w:rPr>
          <w:rFonts w:ascii="Times New Roman" w:hAnsi="Times New Roman"/>
          <w:color w:val="000000" w:themeColor="text1"/>
          <w:szCs w:val="21"/>
          <w14:textFill>
            <w14:solidFill>
              <w14:schemeClr w14:val="tx1"/>
            </w14:solidFill>
          </w14:textFill>
        </w:rPr>
      </w:pPr>
      <w:bookmarkStart w:id="264" w:name="_Toc230422786"/>
      <w:bookmarkStart w:id="265" w:name="_Toc210188797"/>
      <w:bookmarkStart w:id="266" w:name="_Toc88985368"/>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pStyle w:val="5"/>
        <w:jc w:val="center"/>
        <w:rPr>
          <w:rFonts w:ascii="Times New Roman" w:hAnsi="Times New Roman"/>
          <w:color w:val="000000" w:themeColor="text1"/>
          <w:sz w:val="24"/>
          <w14:textFill>
            <w14:solidFill>
              <w14:schemeClr w14:val="tx1"/>
            </w14:solidFill>
          </w14:textFill>
        </w:rPr>
      </w:pPr>
      <w:bookmarkStart w:id="267" w:name="_Toc321994783"/>
      <w:bookmarkStart w:id="268" w:name="_Toc326689518"/>
      <w:bookmarkStart w:id="269" w:name="_Toc441844119"/>
      <w:bookmarkStart w:id="270" w:name="_Toc5235"/>
      <w:bookmarkStart w:id="271" w:name="_Toc401738104"/>
      <w:bookmarkStart w:id="272" w:name="_Toc395863123"/>
      <w:bookmarkStart w:id="273" w:name="_Toc93505802"/>
      <w:bookmarkStart w:id="274" w:name="_Toc427232352"/>
      <w:r>
        <w:rPr>
          <w:rFonts w:ascii="Times New Roman" w:hAnsi="Times New Roman"/>
          <w:color w:val="000000" w:themeColor="text1"/>
          <w:sz w:val="24"/>
          <w14:textFill>
            <w14:solidFill>
              <w14:schemeClr w14:val="tx1"/>
            </w14:solidFill>
          </w14:textFill>
        </w:rPr>
        <w:t>4、法</w:t>
      </w:r>
      <w:r>
        <w:rPr>
          <w:rFonts w:hint="eastAsia" w:ascii="Times New Roman" w:hAnsi="Times New Roman"/>
          <w:color w:val="000000" w:themeColor="text1"/>
          <w:sz w:val="24"/>
          <w14:textFill>
            <w14:solidFill>
              <w14:schemeClr w14:val="tx1"/>
            </w14:solidFill>
          </w14:textFill>
        </w:rPr>
        <w:t>定代表</w:t>
      </w:r>
      <w:r>
        <w:rPr>
          <w:rFonts w:ascii="Times New Roman" w:hAnsi="Times New Roman"/>
          <w:color w:val="000000" w:themeColor="text1"/>
          <w:sz w:val="24"/>
          <w14:textFill>
            <w14:solidFill>
              <w14:schemeClr w14:val="tx1"/>
            </w14:solidFill>
          </w14:textFill>
        </w:rPr>
        <w:t>人授权委托书</w:t>
      </w:r>
      <w:bookmarkEnd w:id="264"/>
      <w:bookmarkEnd w:id="265"/>
      <w:bookmarkEnd w:id="266"/>
      <w:bookmarkEnd w:id="267"/>
      <w:bookmarkEnd w:id="268"/>
      <w:bookmarkEnd w:id="269"/>
      <w:bookmarkEnd w:id="270"/>
      <w:bookmarkEnd w:id="271"/>
      <w:bookmarkEnd w:id="272"/>
      <w:bookmarkEnd w:id="273"/>
      <w:bookmarkEnd w:id="274"/>
    </w:p>
    <w:p>
      <w:pPr>
        <w:spacing w:line="560" w:lineRule="exact"/>
        <w:jc w:val="center"/>
        <w:rPr>
          <w:rFonts w:ascii="Times New Roman" w:hAnsi="Times New Roman"/>
          <w:b/>
          <w:color w:val="000000" w:themeColor="text1"/>
          <w:sz w:val="24"/>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致：</w:t>
      </w:r>
      <w:r>
        <w:rPr>
          <w:rFonts w:ascii="宋体" w:hAnsi="宋体"/>
          <w:color w:val="000000" w:themeColor="text1"/>
          <w:sz w:val="22"/>
          <w:szCs w:val="22"/>
          <w:u w:val="single"/>
          <w14:textFill>
            <w14:solidFill>
              <w14:schemeClr w14:val="tx1"/>
            </w14:solidFill>
          </w14:textFill>
        </w:rPr>
        <w:t>（</w:t>
      </w:r>
      <w:r>
        <w:rPr>
          <w:rFonts w:hint="eastAsia" w:ascii="宋体" w:hAnsi="宋体"/>
          <w:color w:val="000000" w:themeColor="text1"/>
          <w:sz w:val="22"/>
          <w:szCs w:val="22"/>
          <w:u w:val="single"/>
          <w14:textFill>
            <w14:solidFill>
              <w14:schemeClr w14:val="tx1"/>
            </w14:solidFill>
          </w14:textFill>
        </w:rPr>
        <w:t>招标人</w:t>
      </w:r>
      <w:r>
        <w:rPr>
          <w:rFonts w:ascii="宋体" w:hAnsi="宋体"/>
          <w:color w:val="000000" w:themeColor="text1"/>
          <w:sz w:val="22"/>
          <w:szCs w:val="22"/>
          <w:u w:val="single"/>
          <w14:textFill>
            <w14:solidFill>
              <w14:schemeClr w14:val="tx1"/>
            </w14:solidFill>
          </w14:textFill>
        </w:rPr>
        <w:t>名称）</w:t>
      </w:r>
    </w:p>
    <w:p>
      <w:pPr>
        <w:pStyle w:val="69"/>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本委托书声明：在下面签字的（法定代表人姓名、职务）代表（投标人名称）委托在下面签字的（受委托人的姓名、职务）为本公司的合法代表人，就</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项目（</w:t>
      </w:r>
      <w:r>
        <w:rPr>
          <w:rFonts w:hint="eastAsia" w:ascii="宋体" w:eastAsia="宋体"/>
          <w:color w:val="000000" w:themeColor="text1"/>
          <w:sz w:val="22"/>
          <w:szCs w:val="22"/>
          <w14:textFill>
            <w14:solidFill>
              <w14:schemeClr w14:val="tx1"/>
            </w14:solidFill>
          </w14:textFill>
        </w:rPr>
        <w:t>项目</w:t>
      </w:r>
      <w:r>
        <w:rPr>
          <w:rFonts w:ascii="宋体" w:eastAsia="宋体"/>
          <w:color w:val="000000" w:themeColor="text1"/>
          <w:sz w:val="22"/>
          <w:szCs w:val="22"/>
          <w14:textFill>
            <w14:solidFill>
              <w14:schemeClr w14:val="tx1"/>
            </w14:solidFill>
          </w14:textFill>
        </w:rPr>
        <w:t>编号：</w:t>
      </w:r>
      <w:r>
        <w:rPr>
          <w:rFonts w:ascii="宋体" w:eastAsia="宋体"/>
          <w:color w:val="000000" w:themeColor="text1"/>
          <w:sz w:val="22"/>
          <w:szCs w:val="22"/>
          <w:u w:val="single"/>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包号：</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）的投标及合同的执行，以我方的名义处理一切与之有关的事宜（</w:t>
      </w:r>
      <w:r>
        <w:rPr>
          <w:rFonts w:ascii="宋体" w:eastAsia="宋体"/>
          <w:b/>
          <w:color w:val="000000" w:themeColor="text1"/>
          <w:sz w:val="22"/>
          <w:szCs w:val="22"/>
          <w14:textFill>
            <w14:solidFill>
              <w14:schemeClr w14:val="tx1"/>
            </w14:solidFill>
          </w14:textFill>
        </w:rPr>
        <w:t>相关身份证复印件须附后</w:t>
      </w:r>
      <w:r>
        <w:rPr>
          <w:rFonts w:ascii="宋体" w:eastAsia="宋体"/>
          <w:color w:val="000000" w:themeColor="text1"/>
          <w:sz w:val="22"/>
          <w:szCs w:val="22"/>
          <w14:textFill>
            <w14:solidFill>
              <w14:schemeClr w14:val="tx1"/>
            </w14:solidFill>
          </w14:textFill>
        </w:rPr>
        <w:t>）。</w:t>
      </w:r>
    </w:p>
    <w:p>
      <w:pPr>
        <w:pStyle w:val="69"/>
        <w:spacing w:line="360" w:lineRule="auto"/>
        <w:ind w:firstLine="453"/>
        <w:rPr>
          <w:rFonts w:ascii="宋体" w:eastAsia="宋体"/>
          <w:color w:val="000000" w:themeColor="text1"/>
          <w:sz w:val="22"/>
          <w:szCs w:val="22"/>
          <w14:textFill>
            <w14:solidFill>
              <w14:schemeClr w14:val="tx1"/>
            </w14:solidFill>
          </w14:textFill>
        </w:rPr>
      </w:pPr>
    </w:p>
    <w:p>
      <w:pPr>
        <w:pStyle w:val="69"/>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本委托书于</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年</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月</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日签字生效。</w:t>
      </w:r>
    </w:p>
    <w:p>
      <w:pPr>
        <w:pStyle w:val="69"/>
        <w:spacing w:line="360" w:lineRule="auto"/>
        <w:ind w:firstLine="453"/>
        <w:rPr>
          <w:rFonts w:ascii="宋体" w:eastAsia="宋体"/>
          <w:color w:val="000000" w:themeColor="text1"/>
          <w:sz w:val="22"/>
          <w:szCs w:val="22"/>
          <w14:textFill>
            <w14:solidFill>
              <w14:schemeClr w14:val="tx1"/>
            </w14:solidFill>
          </w14:textFill>
        </w:rPr>
      </w:pP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投标人名称（</w:t>
      </w:r>
      <w:r>
        <w:rPr>
          <w:rFonts w:hint="eastAsia" w:ascii="宋体" w:eastAsia="宋体"/>
          <w:color w:val="000000" w:themeColor="text1"/>
          <w:sz w:val="22"/>
          <w:szCs w:val="22"/>
          <w14:textFill>
            <w14:solidFill>
              <w14:schemeClr w14:val="tx1"/>
            </w14:solidFill>
          </w14:textFill>
        </w:rPr>
        <w:t>加盖</w:t>
      </w:r>
      <w:r>
        <w:rPr>
          <w:rFonts w:ascii="宋体" w:eastAsia="宋体"/>
          <w:color w:val="000000" w:themeColor="text1"/>
          <w:sz w:val="22"/>
          <w:szCs w:val="22"/>
          <w14:textFill>
            <w14:solidFill>
              <w14:schemeClr w14:val="tx1"/>
            </w14:solidFill>
          </w14:textFill>
        </w:rPr>
        <w:t>公章）：</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投标人地址：</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法定代表人（</w:t>
      </w:r>
      <w:r>
        <w:rPr>
          <w:rFonts w:hint="eastAsia" w:ascii="宋体" w:eastAsia="宋体"/>
          <w:color w:val="000000" w:themeColor="text1"/>
          <w:sz w:val="22"/>
          <w:szCs w:val="22"/>
          <w14:textFill>
            <w14:solidFill>
              <w14:schemeClr w14:val="tx1"/>
            </w14:solidFill>
          </w14:textFill>
        </w:rPr>
        <w:t>签名或盖章</w:t>
      </w:r>
      <w:r>
        <w:rPr>
          <w:rFonts w:ascii="宋体" w:eastAsia="宋体"/>
          <w:color w:val="000000" w:themeColor="text1"/>
          <w:sz w:val="22"/>
          <w:szCs w:val="22"/>
          <w14:textFill>
            <w14:solidFill>
              <w14:schemeClr w14:val="tx1"/>
            </w14:solidFill>
          </w14:textFill>
        </w:rPr>
        <w:t>）：</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职　　　务：</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被授权</w:t>
      </w:r>
      <w:r>
        <w:rPr>
          <w:rFonts w:ascii="宋体" w:eastAsia="宋体"/>
          <w:color w:val="000000" w:themeColor="text1"/>
          <w:sz w:val="22"/>
          <w:szCs w:val="22"/>
          <w14:textFill>
            <w14:solidFill>
              <w14:schemeClr w14:val="tx1"/>
            </w14:solidFill>
          </w14:textFill>
        </w:rPr>
        <w:t>人（</w:t>
      </w:r>
      <w:r>
        <w:rPr>
          <w:rFonts w:hint="eastAsia" w:ascii="宋体" w:eastAsia="宋体"/>
          <w:color w:val="000000" w:themeColor="text1"/>
          <w:sz w:val="22"/>
          <w:szCs w:val="22"/>
          <w14:textFill>
            <w14:solidFill>
              <w14:schemeClr w14:val="tx1"/>
            </w14:solidFill>
          </w14:textFill>
        </w:rPr>
        <w:t>签名或盖章</w:t>
      </w:r>
      <w:r>
        <w:rPr>
          <w:rFonts w:ascii="宋体" w:eastAsia="宋体"/>
          <w:color w:val="000000" w:themeColor="text1"/>
          <w:sz w:val="22"/>
          <w:szCs w:val="22"/>
          <w14:textFill>
            <w14:solidFill>
              <w14:schemeClr w14:val="tx1"/>
            </w14:solidFill>
          </w14:textFill>
        </w:rPr>
        <w:t>）：</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职　　　务：</w:t>
      </w:r>
    </w:p>
    <w:p>
      <w:pPr>
        <w:pStyle w:val="69"/>
        <w:spacing w:line="360" w:lineRule="auto"/>
        <w:ind w:firstLine="453"/>
        <w:rPr>
          <w:rFonts w:ascii="宋体" w:eastAsia="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w:t>
      </w:r>
    </w:p>
    <w:p>
      <w:pPr>
        <w:spacing w:line="360" w:lineRule="auto"/>
        <w:rPr>
          <w:rFonts w:ascii="宋体" w:hAnsi="宋体"/>
          <w:b/>
          <w:color w:val="000000" w:themeColor="text1"/>
          <w:sz w:val="22"/>
          <w:szCs w:val="22"/>
          <w14:textFill>
            <w14:solidFill>
              <w14:schemeClr w14:val="tx1"/>
            </w14:solidFill>
          </w14:textFill>
        </w:rPr>
      </w:pPr>
      <w:bookmarkStart w:id="275" w:name="_Toc210188799"/>
      <w:bookmarkStart w:id="276" w:name="_Toc88985370"/>
      <w:r>
        <w:rPr>
          <w:rFonts w:ascii="宋体" w:hAnsi="宋体"/>
          <w:b/>
          <w:color w:val="000000" w:themeColor="text1"/>
          <w:sz w:val="22"/>
          <w:szCs w:val="22"/>
          <w14:textFill>
            <w14:solidFill>
              <w14:schemeClr w14:val="tx1"/>
            </w14:solidFill>
          </w14:textFill>
        </w:rPr>
        <w:t>注：如法定代表人投标不需附</w:t>
      </w:r>
      <w:r>
        <w:rPr>
          <w:rFonts w:hint="eastAsia" w:asciiTheme="minorEastAsia" w:hAnsiTheme="minorEastAsia" w:eastAsiaTheme="minorEastAsia"/>
          <w:b/>
          <w:color w:val="000000" w:themeColor="text1"/>
          <w:szCs w:val="21"/>
          <w14:textFill>
            <w14:solidFill>
              <w14:schemeClr w14:val="tx1"/>
            </w14:solidFill>
          </w14:textFill>
        </w:rPr>
        <w:t>此委托书</w:t>
      </w:r>
      <w:r>
        <w:rPr>
          <w:rFonts w:ascii="宋体" w:hAnsi="宋体"/>
          <w:b/>
          <w:color w:val="000000" w:themeColor="text1"/>
          <w:sz w:val="22"/>
          <w:szCs w:val="22"/>
          <w14:textFill>
            <w14:solidFill>
              <w14:schemeClr w14:val="tx1"/>
            </w14:solidFill>
          </w14:textFill>
        </w:rPr>
        <w:t>。</w:t>
      </w:r>
    </w:p>
    <w:p>
      <w:pPr>
        <w:spacing w:line="360" w:lineRule="auto"/>
        <w:rPr>
          <w:rFonts w:ascii="宋体" w:hAnsi="宋体"/>
          <w:b/>
          <w:color w:val="000000" w:themeColor="text1"/>
          <w:sz w:val="22"/>
          <w:szCs w:val="22"/>
          <w14:textFill>
            <w14:solidFill>
              <w14:schemeClr w14:val="tx1"/>
            </w14:solidFill>
          </w14:textFill>
        </w:rPr>
      </w:pPr>
    </w:p>
    <w:p>
      <w:pPr>
        <w:widowControl/>
        <w:jc w:val="left"/>
        <w:rPr>
          <w:rFonts w:ascii="宋体" w:hAnsi="宋体"/>
          <w:b/>
          <w:bCs/>
          <w:color w:val="000000" w:themeColor="text1"/>
          <w:sz w:val="22"/>
          <w:szCs w:val="22"/>
          <w14:textFill>
            <w14:solidFill>
              <w14:schemeClr w14:val="tx1"/>
            </w14:solidFill>
          </w14:textFill>
        </w:rPr>
      </w:pPr>
      <w:bookmarkStart w:id="277" w:name="_Toc441844120"/>
      <w:r>
        <w:rPr>
          <w:rFonts w:ascii="宋体" w:hAnsi="宋体"/>
          <w:color w:val="000000" w:themeColor="text1"/>
          <w:sz w:val="22"/>
          <w:szCs w:val="22"/>
          <w14:textFill>
            <w14:solidFill>
              <w14:schemeClr w14:val="tx1"/>
            </w14:solidFill>
          </w14:textFill>
        </w:rPr>
        <w:br w:type="page"/>
      </w:r>
    </w:p>
    <w:p>
      <w:pPr>
        <w:pStyle w:val="5"/>
        <w:spacing w:line="360" w:lineRule="auto"/>
        <w:jc w:val="center"/>
        <w:rPr>
          <w:rFonts w:ascii="宋体" w:hAnsi="宋体"/>
          <w:color w:val="000000" w:themeColor="text1"/>
          <w:sz w:val="22"/>
          <w:szCs w:val="22"/>
          <w14:textFill>
            <w14:solidFill>
              <w14:schemeClr w14:val="tx1"/>
            </w14:solidFill>
          </w14:textFill>
        </w:rPr>
      </w:pPr>
      <w:bookmarkStart w:id="278" w:name="_Toc29393"/>
      <w:bookmarkStart w:id="279" w:name="_Toc93505803"/>
      <w:r>
        <w:rPr>
          <w:rFonts w:ascii="宋体" w:hAnsi="宋体"/>
          <w:color w:val="000000" w:themeColor="text1"/>
          <w:sz w:val="22"/>
          <w:szCs w:val="22"/>
          <w14:textFill>
            <w14:solidFill>
              <w14:schemeClr w14:val="tx1"/>
            </w14:solidFill>
          </w14:textFill>
        </w:rPr>
        <w:t>5、资格文件声明函</w:t>
      </w:r>
      <w:bookmarkEnd w:id="277"/>
      <w:bookmarkEnd w:id="278"/>
      <w:bookmarkEnd w:id="279"/>
    </w:p>
    <w:p>
      <w:pPr>
        <w:pStyle w:val="26"/>
        <w:spacing w:line="360" w:lineRule="auto"/>
        <w:jc w:val="center"/>
        <w:rPr>
          <w:rFonts w:hAnsi="宋体" w:cs="Times New Roman"/>
          <w:color w:val="000000" w:themeColor="text1"/>
          <w:sz w:val="22"/>
          <w14:textFill>
            <w14:solidFill>
              <w14:schemeClr w14:val="tx1"/>
            </w14:solidFill>
          </w14:textFill>
        </w:rPr>
      </w:pPr>
    </w:p>
    <w:p>
      <w:pPr>
        <w:pStyle w:val="26"/>
        <w:spacing w:line="360" w:lineRule="auto"/>
        <w:rPr>
          <w:rFonts w:hAnsi="宋体" w:cs="Times New Roman"/>
          <w:color w:val="000000" w:themeColor="text1"/>
          <w:sz w:val="22"/>
          <w14:textFill>
            <w14:solidFill>
              <w14:schemeClr w14:val="tx1"/>
            </w14:solidFill>
          </w14:textFill>
        </w:rPr>
      </w:pPr>
      <w:r>
        <w:rPr>
          <w:rFonts w:hAnsi="宋体" w:cs="Times New Roman"/>
          <w:color w:val="000000" w:themeColor="text1"/>
          <w:sz w:val="22"/>
          <w14:textFill>
            <w14:solidFill>
              <w14:schemeClr w14:val="tx1"/>
            </w14:solidFill>
          </w14:textFill>
        </w:rPr>
        <w:t>致:</w:t>
      </w:r>
      <w:r>
        <w:rPr>
          <w:rFonts w:hAnsi="宋体" w:cs="Times New Roman"/>
          <w:color w:val="000000" w:themeColor="text1"/>
          <w:sz w:val="22"/>
          <w:u w:val="single"/>
          <w14:textFill>
            <w14:solidFill>
              <w14:schemeClr w14:val="tx1"/>
            </w14:solidFill>
          </w14:textFill>
        </w:rPr>
        <w:t>（</w:t>
      </w:r>
      <w:r>
        <w:rPr>
          <w:rFonts w:hint="eastAsia" w:hAnsi="宋体" w:cs="Times New Roman"/>
          <w:color w:val="000000" w:themeColor="text1"/>
          <w:sz w:val="22"/>
          <w:u w:val="single"/>
          <w14:textFill>
            <w14:solidFill>
              <w14:schemeClr w14:val="tx1"/>
            </w14:solidFill>
          </w14:textFill>
        </w:rPr>
        <w:t>招标人</w:t>
      </w:r>
      <w:r>
        <w:rPr>
          <w:rFonts w:hAnsi="宋体" w:cs="Times New Roman"/>
          <w:color w:val="000000" w:themeColor="text1"/>
          <w:sz w:val="22"/>
          <w:u w:val="single"/>
          <w14:textFill>
            <w14:solidFill>
              <w14:schemeClr w14:val="tx1"/>
            </w14:solidFill>
          </w14:textFill>
        </w:rPr>
        <w:t>名称）</w:t>
      </w:r>
    </w:p>
    <w:p>
      <w:pPr>
        <w:pStyle w:val="26"/>
        <w:spacing w:line="360" w:lineRule="auto"/>
        <w:rPr>
          <w:rFonts w:hAnsi="宋体" w:cs="Times New Roman"/>
          <w:color w:val="000000" w:themeColor="text1"/>
          <w:sz w:val="22"/>
          <w14:textFill>
            <w14:solidFill>
              <w14:schemeClr w14:val="tx1"/>
            </w14:solidFill>
          </w14:textFill>
        </w:rPr>
      </w:pPr>
    </w:p>
    <w:p>
      <w:pPr>
        <w:spacing w:line="360" w:lineRule="auto"/>
        <w:ind w:firstLine="6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关于贵方</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年</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日</w:t>
      </w:r>
      <w:r>
        <w:rPr>
          <w:rFonts w:ascii="宋体"/>
          <w:color w:val="000000" w:themeColor="text1"/>
          <w:sz w:val="22"/>
          <w:szCs w:val="22"/>
          <w:u w:val="single"/>
          <w14:textFill>
            <w14:solidFill>
              <w14:schemeClr w14:val="tx1"/>
            </w14:solidFill>
          </w14:textFill>
        </w:rPr>
        <w:t xml:space="preserve">      </w:t>
      </w:r>
      <w:r>
        <w:rPr>
          <w:rFonts w:hint="eastAsia" w:ascii="宋体"/>
          <w:color w:val="000000" w:themeColor="text1"/>
          <w:sz w:val="22"/>
          <w:szCs w:val="22"/>
          <w:u w:val="single"/>
          <w14:textFill>
            <w14:solidFill>
              <w14:schemeClr w14:val="tx1"/>
            </w14:solidFill>
          </w14:textFill>
        </w:rPr>
        <w:t>项目</w:t>
      </w:r>
      <w:r>
        <w:rPr>
          <w:rFonts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14:textFill>
            <w14:solidFill>
              <w14:schemeClr w14:val="tx1"/>
            </w14:solidFill>
          </w14:textFill>
        </w:rPr>
        <w:t>项目</w:t>
      </w:r>
      <w:r>
        <w:rPr>
          <w:rFonts w:ascii="宋体" w:hAnsi="宋体"/>
          <w:color w:val="000000" w:themeColor="text1"/>
          <w:sz w:val="22"/>
          <w:szCs w:val="22"/>
          <w14:textFill>
            <w14:solidFill>
              <w14:schemeClr w14:val="tx1"/>
            </w14:solidFill>
          </w14:textFill>
        </w:rPr>
        <w:t>编号：</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包号：</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）的招标邀请，本签字人</w:t>
      </w:r>
      <w:r>
        <w:rPr>
          <w:rFonts w:ascii="宋体" w:hAnsi="宋体"/>
          <w:color w:val="000000" w:themeColor="text1"/>
          <w:sz w:val="22"/>
          <w:szCs w:val="22"/>
          <w:u w:val="single"/>
          <w14:textFill>
            <w14:solidFill>
              <w14:schemeClr w14:val="tx1"/>
            </w14:solidFill>
          </w14:textFill>
        </w:rPr>
        <w:t>(法定代表人)</w:t>
      </w:r>
      <w:r>
        <w:rPr>
          <w:rFonts w:ascii="宋体" w:hAnsi="宋体"/>
          <w:color w:val="000000" w:themeColor="text1"/>
          <w:sz w:val="22"/>
          <w:szCs w:val="22"/>
          <w14:textFill>
            <w14:solidFill>
              <w14:schemeClr w14:val="tx1"/>
            </w14:solidFill>
          </w14:textFill>
        </w:rPr>
        <w:t>愿意参加投标,提供招标</w:t>
      </w:r>
      <w:r>
        <w:rPr>
          <w:rFonts w:hint="eastAsia" w:ascii="宋体" w:hAnsi="宋体"/>
          <w:color w:val="000000" w:themeColor="text1"/>
          <w:sz w:val="22"/>
          <w:szCs w:val="22"/>
          <w14:textFill>
            <w14:solidFill>
              <w14:schemeClr w14:val="tx1"/>
            </w14:solidFill>
          </w14:textFill>
        </w:rPr>
        <w:t>文件</w:t>
      </w:r>
      <w:r>
        <w:rPr>
          <w:rFonts w:ascii="宋体" w:hAnsi="宋体"/>
          <w:color w:val="000000" w:themeColor="text1"/>
          <w:sz w:val="22"/>
          <w:szCs w:val="22"/>
          <w14:textFill>
            <w14:solidFill>
              <w14:schemeClr w14:val="tx1"/>
            </w14:solidFill>
          </w14:textFill>
        </w:rPr>
        <w:t>中规定的</w:t>
      </w:r>
      <w:r>
        <w:rPr>
          <w:rFonts w:hint="eastAsia" w:ascii="宋体" w:hAnsi="宋体"/>
          <w:color w:val="000000" w:themeColor="text1"/>
          <w:sz w:val="22"/>
          <w:szCs w:val="22"/>
          <w14:textFill>
            <w14:solidFill>
              <w14:schemeClr w14:val="tx1"/>
            </w14:solidFill>
          </w14:textFill>
        </w:rPr>
        <w:t>货物或服务</w:t>
      </w:r>
      <w:r>
        <w:rPr>
          <w:rFonts w:ascii="宋体" w:hAnsi="宋体"/>
          <w:color w:val="000000" w:themeColor="text1"/>
          <w:sz w:val="22"/>
          <w:szCs w:val="22"/>
          <w14:textFill>
            <w14:solidFill>
              <w14:schemeClr w14:val="tx1"/>
            </w14:solidFill>
          </w14:textFill>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    特此声明！</w:t>
      </w:r>
    </w:p>
    <w:p>
      <w:pPr>
        <w:pStyle w:val="26"/>
        <w:spacing w:line="360" w:lineRule="auto"/>
        <w:rPr>
          <w:rFonts w:hAnsi="宋体" w:cs="Times New Roman"/>
          <w:color w:val="000000" w:themeColor="text1"/>
          <w:sz w:val="22"/>
          <w14:textFill>
            <w14:solidFill>
              <w14:schemeClr w14:val="tx1"/>
            </w14:solidFill>
          </w14:textFill>
        </w:rPr>
      </w:pPr>
    </w:p>
    <w:p>
      <w:pPr>
        <w:pStyle w:val="26"/>
        <w:spacing w:line="360" w:lineRule="auto"/>
        <w:rPr>
          <w:rFonts w:hAnsi="宋体" w:cs="Times New Roman"/>
          <w:color w:val="000000" w:themeColor="text1"/>
          <w:sz w:val="22"/>
          <w14:textFill>
            <w14:solidFill>
              <w14:schemeClr w14:val="tx1"/>
            </w14:solidFill>
          </w14:textFill>
        </w:rPr>
      </w:pPr>
    </w:p>
    <w:p>
      <w:pPr>
        <w:pStyle w:val="26"/>
        <w:spacing w:line="360" w:lineRule="auto"/>
        <w:rPr>
          <w:rFonts w:hAnsi="宋体" w:cs="Times New Roman"/>
          <w:color w:val="000000" w:themeColor="text1"/>
          <w:sz w:val="22"/>
          <w14:textFill>
            <w14:solidFill>
              <w14:schemeClr w14:val="tx1"/>
            </w14:solidFill>
          </w14:textFill>
        </w:rPr>
      </w:pPr>
    </w:p>
    <w:p>
      <w:pPr>
        <w:pStyle w:val="26"/>
        <w:spacing w:line="360" w:lineRule="auto"/>
        <w:rPr>
          <w:rFonts w:hAnsi="宋体" w:cs="Times New Roman"/>
          <w:color w:val="000000" w:themeColor="text1"/>
          <w:sz w:val="22"/>
          <w14:textFill>
            <w14:solidFill>
              <w14:schemeClr w14:val="tx1"/>
            </w14:solidFill>
          </w14:textFill>
        </w:rPr>
      </w:pPr>
    </w:p>
    <w:p>
      <w:pPr>
        <w:pStyle w:val="26"/>
        <w:spacing w:line="360" w:lineRule="auto"/>
        <w:rPr>
          <w:rFonts w:hAnsi="宋体" w:cs="Times New Roman"/>
          <w:color w:val="000000" w:themeColor="text1"/>
          <w:sz w:val="22"/>
          <w14:textFill>
            <w14:solidFill>
              <w14:schemeClr w14:val="tx1"/>
            </w14:solidFill>
          </w14:textFill>
        </w:rPr>
      </w:pPr>
    </w:p>
    <w:p>
      <w:pPr>
        <w:pStyle w:val="69"/>
        <w:spacing w:before="1404" w:beforeLines="450" w:line="360" w:lineRule="auto"/>
        <w:ind w:firstLine="3784" w:firstLineChars="1802"/>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360" w:lineRule="auto"/>
        <w:ind w:firstLine="3784" w:firstLineChars="1802"/>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投标人法定代表人或被授权人（签名或盖私章）：</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w:t>
      </w:r>
    </w:p>
    <w:p>
      <w:pPr>
        <w:pStyle w:val="69"/>
        <w:spacing w:line="360" w:lineRule="auto"/>
        <w:ind w:firstLine="3784" w:firstLineChars="1802"/>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spacing w:line="360" w:lineRule="auto"/>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widowControl/>
        <w:jc w:val="left"/>
        <w:rPr>
          <w:rFonts w:ascii="Times New Roman" w:hAnsi="Times New Roman"/>
          <w:b/>
          <w:bCs/>
          <w:color w:val="000000" w:themeColor="text1"/>
          <w:sz w:val="24"/>
          <w:szCs w:val="32"/>
          <w14:textFill>
            <w14:solidFill>
              <w14:schemeClr w14:val="tx1"/>
            </w14:solidFill>
          </w14:textFill>
        </w:rPr>
      </w:pPr>
      <w:bookmarkStart w:id="280" w:name="_Toc415"/>
      <w:bookmarkStart w:id="281" w:name="_Toc256783361"/>
      <w:bookmarkStart w:id="282" w:name="_Toc441844121"/>
      <w:bookmarkStart w:id="283" w:name="_Toc252176852"/>
      <w:bookmarkStart w:id="284" w:name="_Toc251236136"/>
      <w:bookmarkStart w:id="285" w:name="_Toc234656243"/>
      <w:bookmarkStart w:id="286" w:name="_Toc50691042"/>
      <w:bookmarkStart w:id="287" w:name="_Toc50737300"/>
      <w:bookmarkStart w:id="288" w:name="_Toc50736480"/>
      <w:bookmarkStart w:id="289" w:name="_Toc52165084"/>
      <w:bookmarkStart w:id="290" w:name="_Toc50737332"/>
    </w:p>
    <w:p>
      <w:pPr>
        <w:widowControl/>
        <w:jc w:val="left"/>
        <w:rPr>
          <w:rFonts w:ascii="Times New Roman" w:hAnsi="Times New Roman"/>
          <w:b/>
          <w:bCs/>
          <w:color w:val="000000" w:themeColor="text1"/>
          <w:sz w:val="24"/>
          <w:szCs w:val="32"/>
          <w14:textFill>
            <w14:solidFill>
              <w14:schemeClr w14:val="tx1"/>
            </w14:solidFill>
          </w14:textFill>
        </w:rPr>
      </w:pPr>
      <w:r>
        <w:rPr>
          <w:rFonts w:ascii="Times New Roman" w:hAnsi="Times New Roman"/>
          <w:b/>
          <w:bCs/>
          <w:color w:val="000000" w:themeColor="text1"/>
          <w:sz w:val="24"/>
          <w:szCs w:val="32"/>
          <w14:textFill>
            <w14:solidFill>
              <w14:schemeClr w14:val="tx1"/>
            </w14:solidFill>
          </w14:textFill>
        </w:rPr>
        <w:br w:type="page"/>
      </w:r>
    </w:p>
    <w:p>
      <w:pPr>
        <w:pStyle w:val="5"/>
        <w:spacing w:line="360" w:lineRule="auto"/>
        <w:jc w:val="center"/>
        <w:rPr>
          <w:rFonts w:ascii="宋体" w:hAnsi="宋体"/>
          <w:color w:val="000000" w:themeColor="text1"/>
          <w:sz w:val="22"/>
          <w:szCs w:val="22"/>
          <w14:textFill>
            <w14:solidFill>
              <w14:schemeClr w14:val="tx1"/>
            </w14:solidFill>
          </w14:textFill>
        </w:rPr>
      </w:pPr>
      <w:bookmarkStart w:id="291" w:name="_Toc93505804"/>
      <w:bookmarkStart w:id="292" w:name="_Toc1241"/>
      <w:r>
        <w:rPr>
          <w:rFonts w:ascii="宋体" w:hAnsi="宋体"/>
          <w:color w:val="000000" w:themeColor="text1"/>
          <w:sz w:val="22"/>
          <w:szCs w:val="22"/>
          <w14:textFill>
            <w14:solidFill>
              <w14:schemeClr w14:val="tx1"/>
            </w14:solidFill>
          </w14:textFill>
        </w:rPr>
        <w:t>6、投标单位基本情况</w:t>
      </w:r>
      <w:bookmarkEnd w:id="280"/>
      <w:bookmarkEnd w:id="281"/>
      <w:bookmarkEnd w:id="282"/>
      <w:bookmarkEnd w:id="283"/>
      <w:bookmarkEnd w:id="284"/>
      <w:bookmarkEnd w:id="285"/>
      <w:r>
        <w:rPr>
          <w:rFonts w:hint="eastAsia" w:ascii="宋体" w:hAnsi="宋体"/>
          <w:color w:val="000000" w:themeColor="text1"/>
          <w:sz w:val="22"/>
          <w:szCs w:val="22"/>
          <w14:textFill>
            <w14:solidFill>
              <w14:schemeClr w14:val="tx1"/>
            </w14:solidFill>
          </w14:textFill>
        </w:rPr>
        <w:t>、简介</w:t>
      </w:r>
      <w:bookmarkEnd w:id="291"/>
      <w:bookmarkEnd w:id="292"/>
    </w:p>
    <w:tbl>
      <w:tblPr>
        <w:tblStyle w:val="51"/>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794"/>
        <w:gridCol w:w="860"/>
        <w:gridCol w:w="934"/>
        <w:gridCol w:w="1329"/>
        <w:gridCol w:w="46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投标人全称</w:t>
            </w:r>
          </w:p>
        </w:tc>
        <w:tc>
          <w:tcPr>
            <w:tcW w:w="1472" w:type="pct"/>
            <w:gridSpan w:val="2"/>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企业性质</w:t>
            </w:r>
          </w:p>
        </w:tc>
        <w:tc>
          <w:tcPr>
            <w:tcW w:w="1255" w:type="pct"/>
            <w:gridSpan w:val="2"/>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地址</w:t>
            </w:r>
          </w:p>
        </w:tc>
        <w:tc>
          <w:tcPr>
            <w:tcW w:w="1472" w:type="pct"/>
            <w:gridSpan w:val="2"/>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电话</w:t>
            </w:r>
            <w:r>
              <w:rPr>
                <w:rFonts w:asciiTheme="minorEastAsia" w:hAnsiTheme="minorEastAsia" w:eastAsiaTheme="minorEastAsia"/>
                <w:snapToGrid w:val="0"/>
                <w:color w:val="000000" w:themeColor="text1"/>
                <w:szCs w:val="21"/>
                <w14:textFill>
                  <w14:solidFill>
                    <w14:schemeClr w14:val="tx1"/>
                  </w14:solidFill>
                </w14:textFill>
              </w:rPr>
              <w:t>/</w:t>
            </w:r>
            <w:r>
              <w:rPr>
                <w:rFonts w:hint="eastAsia" w:asciiTheme="minorEastAsia" w:hAnsiTheme="minorEastAsia" w:eastAsiaTheme="minorEastAsia"/>
                <w:snapToGrid w:val="0"/>
                <w:color w:val="000000" w:themeColor="text1"/>
                <w:szCs w:val="21"/>
                <w14:textFill>
                  <w14:solidFill>
                    <w14:schemeClr w14:val="tx1"/>
                  </w14:solidFill>
                </w14:textFill>
              </w:rPr>
              <w:t>传真</w:t>
            </w:r>
          </w:p>
        </w:tc>
        <w:tc>
          <w:tcPr>
            <w:tcW w:w="1255" w:type="pct"/>
            <w:gridSpan w:val="2"/>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成立年月</w:t>
            </w:r>
          </w:p>
        </w:tc>
        <w:tc>
          <w:tcPr>
            <w:tcW w:w="1472" w:type="pct"/>
            <w:gridSpan w:val="2"/>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Merge w:val="restart"/>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经营范围</w:t>
            </w:r>
          </w:p>
        </w:tc>
        <w:tc>
          <w:tcPr>
            <w:tcW w:w="1255" w:type="pct"/>
            <w:gridSpan w:val="2"/>
            <w:vMerge w:val="restart"/>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营业执照号码</w:t>
            </w:r>
          </w:p>
        </w:tc>
        <w:tc>
          <w:tcPr>
            <w:tcW w:w="1472" w:type="pct"/>
            <w:gridSpan w:val="2"/>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Merge w:val="continue"/>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Merge w:val="continue"/>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注册资金</w:t>
            </w:r>
          </w:p>
        </w:tc>
        <w:tc>
          <w:tcPr>
            <w:tcW w:w="1472" w:type="pct"/>
            <w:gridSpan w:val="2"/>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Align w:val="bottom"/>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职工人数</w:t>
            </w:r>
          </w:p>
        </w:tc>
        <w:tc>
          <w:tcPr>
            <w:tcW w:w="1255" w:type="pct"/>
            <w:gridSpan w:val="2"/>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restart"/>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公司所获证书</w:t>
            </w:r>
          </w:p>
        </w:tc>
        <w:tc>
          <w:tcPr>
            <w:tcW w:w="995" w:type="pct"/>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证书名称</w:t>
            </w:r>
          </w:p>
        </w:tc>
        <w:tc>
          <w:tcPr>
            <w:tcW w:w="995" w:type="pct"/>
            <w:gridSpan w:val="2"/>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发证单位</w:t>
            </w:r>
          </w:p>
        </w:tc>
        <w:tc>
          <w:tcPr>
            <w:tcW w:w="995" w:type="pct"/>
            <w:gridSpan w:val="2"/>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证书等级</w:t>
            </w:r>
          </w:p>
        </w:tc>
        <w:tc>
          <w:tcPr>
            <w:tcW w:w="997" w:type="pct"/>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7" w:type="pct"/>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7" w:type="pct"/>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018" w:type="pct"/>
            <w:vMerge w:val="restart"/>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公司财务状况</w:t>
            </w:r>
          </w:p>
        </w:tc>
        <w:tc>
          <w:tcPr>
            <w:tcW w:w="995" w:type="pct"/>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年  度</w:t>
            </w:r>
          </w:p>
        </w:tc>
        <w:tc>
          <w:tcPr>
            <w:tcW w:w="995" w:type="pct"/>
            <w:gridSpan w:val="2"/>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总资产（元）</w:t>
            </w:r>
          </w:p>
        </w:tc>
        <w:tc>
          <w:tcPr>
            <w:tcW w:w="995" w:type="pct"/>
            <w:gridSpan w:val="2"/>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年营业额（元）</w:t>
            </w:r>
          </w:p>
        </w:tc>
        <w:tc>
          <w:tcPr>
            <w:tcW w:w="997" w:type="pct"/>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年净利润（元）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018" w:type="pct"/>
            <w:vMerge w:val="continue"/>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7" w:type="pct"/>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018" w:type="pct"/>
            <w:vMerge w:val="continue"/>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7" w:type="pct"/>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atLeast"/>
        </w:trPr>
        <w:tc>
          <w:tcPr>
            <w:tcW w:w="1018" w:type="pct"/>
            <w:vAlign w:val="center"/>
          </w:tcPr>
          <w:p>
            <w:pPr>
              <w:pStyle w:val="26"/>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企业简介</w:t>
            </w:r>
          </w:p>
        </w:tc>
        <w:tc>
          <w:tcPr>
            <w:tcW w:w="3982" w:type="pct"/>
            <w:gridSpan w:val="6"/>
            <w:vAlign w:val="center"/>
          </w:tcPr>
          <w:p>
            <w:pPr>
              <w:spacing w:line="360" w:lineRule="auto"/>
              <w:rPr>
                <w:rFonts w:asciiTheme="minorEastAsia" w:hAnsiTheme="minorEastAsia" w:eastAsiaTheme="minorEastAsia"/>
                <w:color w:val="000000" w:themeColor="text1"/>
                <w:szCs w:val="21"/>
                <w14:textFill>
                  <w14:solidFill>
                    <w14:schemeClr w14:val="tx1"/>
                  </w14:solidFill>
                </w14:textFill>
              </w:rPr>
            </w:pPr>
          </w:p>
        </w:tc>
      </w:tr>
    </w:tbl>
    <w:p>
      <w:pPr>
        <w:spacing w:line="360" w:lineRule="auto"/>
        <w:rPr>
          <w:rFonts w:ascii="宋体" w:hAnsi="宋体"/>
          <w:color w:val="000000" w:themeColor="text1"/>
          <w:sz w:val="22"/>
          <w:szCs w:val="22"/>
          <w14:textFill>
            <w14:solidFill>
              <w14:schemeClr w14:val="tx1"/>
            </w14:solidFill>
          </w14:textFill>
        </w:rPr>
      </w:pPr>
    </w:p>
    <w:p>
      <w:pPr>
        <w:pStyle w:val="69"/>
        <w:spacing w:before="624" w:beforeLines="200" w:line="480" w:lineRule="auto"/>
        <w:ind w:firstLine="0" w:firstLineChars="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0" w:firstLineChars="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bookmarkEnd w:id="286"/>
    <w:bookmarkEnd w:id="287"/>
    <w:bookmarkEnd w:id="288"/>
    <w:bookmarkEnd w:id="289"/>
    <w:bookmarkEnd w:id="290"/>
    <w:p>
      <w:pPr>
        <w:spacing w:line="360" w:lineRule="auto"/>
        <w:rPr>
          <w:rFonts w:ascii="宋体" w:hAnsi="宋体"/>
          <w:color w:val="000000" w:themeColor="text1"/>
          <w:sz w:val="22"/>
          <w:szCs w:val="22"/>
          <w14:textFill>
            <w14:solidFill>
              <w14:schemeClr w14:val="tx1"/>
            </w14:solidFill>
          </w14:textFill>
        </w:rPr>
      </w:pPr>
    </w:p>
    <w:p>
      <w:pPr>
        <w:pStyle w:val="5"/>
        <w:spacing w:line="360" w:lineRule="auto"/>
        <w:jc w:val="center"/>
        <w:rPr>
          <w:rFonts w:ascii="宋体" w:hAnsi="宋体"/>
          <w:color w:val="000000" w:themeColor="text1"/>
          <w:sz w:val="22"/>
          <w:szCs w:val="22"/>
          <w14:textFill>
            <w14:solidFill>
              <w14:schemeClr w14:val="tx1"/>
            </w14:solidFill>
          </w14:textFill>
        </w:rPr>
      </w:pPr>
      <w:bookmarkStart w:id="293" w:name="_Toc401738105"/>
      <w:bookmarkStart w:id="294" w:name="_Toc326689519"/>
      <w:bookmarkStart w:id="295" w:name="_Toc441844122"/>
      <w:bookmarkStart w:id="296" w:name="_Toc427232353"/>
      <w:bookmarkStart w:id="297" w:name="_Toc30346"/>
      <w:bookmarkStart w:id="298" w:name="_Toc93505805"/>
      <w:bookmarkStart w:id="299" w:name="_Toc321994784"/>
      <w:bookmarkStart w:id="300" w:name="_Toc395863124"/>
      <w:r>
        <w:rPr>
          <w:rFonts w:ascii="宋体" w:hAnsi="宋体"/>
          <w:color w:val="000000" w:themeColor="text1"/>
          <w:sz w:val="22"/>
          <w:szCs w:val="22"/>
          <w14:textFill>
            <w14:solidFill>
              <w14:schemeClr w14:val="tx1"/>
            </w14:solidFill>
          </w14:textFill>
        </w:rPr>
        <w:t>7、投标人资格证明文件</w:t>
      </w:r>
      <w:bookmarkEnd w:id="275"/>
      <w:bookmarkEnd w:id="276"/>
      <w:bookmarkEnd w:id="293"/>
      <w:bookmarkEnd w:id="294"/>
      <w:bookmarkEnd w:id="295"/>
      <w:bookmarkEnd w:id="296"/>
      <w:bookmarkEnd w:id="297"/>
      <w:bookmarkEnd w:id="298"/>
      <w:bookmarkEnd w:id="299"/>
      <w:bookmarkEnd w:id="300"/>
    </w:p>
    <w:p>
      <w:pPr>
        <w:spacing w:line="360" w:lineRule="auto"/>
        <w:jc w:val="center"/>
        <w:rPr>
          <w:rFonts w:ascii="宋体" w:hAnsi="宋体"/>
          <w:b/>
          <w:color w:val="000000" w:themeColor="text1"/>
          <w:sz w:val="22"/>
          <w:szCs w:val="22"/>
          <w14:textFill>
            <w14:solidFill>
              <w14:schemeClr w14:val="tx1"/>
            </w14:solidFill>
          </w14:textFill>
        </w:rPr>
      </w:pPr>
    </w:p>
    <w:p>
      <w:pPr>
        <w:pStyle w:val="26"/>
        <w:spacing w:line="360" w:lineRule="auto"/>
        <w:ind w:firstLine="442" w:firstLineChars="200"/>
        <w:rPr>
          <w:rFonts w:hAnsi="宋体" w:cs="Times New Roman"/>
          <w:b/>
          <w:color w:val="000000" w:themeColor="text1"/>
          <w:sz w:val="22"/>
          <w14:textFill>
            <w14:solidFill>
              <w14:schemeClr w14:val="tx1"/>
            </w14:solidFill>
          </w14:textFill>
        </w:rPr>
      </w:pPr>
      <w:r>
        <w:rPr>
          <w:rFonts w:hint="eastAsia" w:hAnsi="宋体" w:cs="Times New Roman"/>
          <w:b/>
          <w:color w:val="000000" w:themeColor="text1"/>
          <w:sz w:val="22"/>
          <w14:textFill>
            <w14:solidFill>
              <w14:schemeClr w14:val="tx1"/>
            </w14:solidFill>
          </w14:textFill>
        </w:rPr>
        <w:t>投标人资格证明文件请按招标文件投标须知1</w:t>
      </w:r>
      <w:r>
        <w:rPr>
          <w:rFonts w:hAnsi="宋体" w:cs="Times New Roman"/>
          <w:b/>
          <w:color w:val="000000" w:themeColor="text1"/>
          <w:sz w:val="22"/>
          <w14:textFill>
            <w14:solidFill>
              <w14:schemeClr w14:val="tx1"/>
            </w14:solidFill>
          </w14:textFill>
        </w:rPr>
        <w:t>1.</w:t>
      </w:r>
      <w:r>
        <w:rPr>
          <w:rFonts w:hint="eastAsia" w:hAnsi="宋体" w:cs="Times New Roman"/>
          <w:b/>
          <w:color w:val="000000" w:themeColor="text1"/>
          <w:sz w:val="22"/>
          <w14:textFill>
            <w14:solidFill>
              <w14:schemeClr w14:val="tx1"/>
            </w14:solidFill>
          </w14:textFill>
        </w:rPr>
        <w:t>投标文件构成所要求文件提供。</w:t>
      </w:r>
    </w:p>
    <w:p>
      <w:pPr>
        <w:pStyle w:val="26"/>
        <w:spacing w:line="360" w:lineRule="auto"/>
        <w:ind w:firstLine="440" w:firstLineChars="200"/>
        <w:rPr>
          <w:rFonts w:hAnsi="宋体" w:cs="Times New Roman"/>
          <w:color w:val="000000" w:themeColor="text1"/>
          <w:sz w:val="22"/>
          <w14:textFill>
            <w14:solidFill>
              <w14:schemeClr w14:val="tx1"/>
            </w14:solidFill>
          </w14:textFill>
        </w:rPr>
      </w:pPr>
      <w:r>
        <w:rPr>
          <w:rFonts w:hint="eastAsia" w:hAnsi="宋体" w:cs="Times New Roman"/>
          <w:color w:val="000000" w:themeColor="text1"/>
          <w:sz w:val="22"/>
          <w14:textFill>
            <w14:solidFill>
              <w14:schemeClr w14:val="tx1"/>
            </w14:solidFill>
          </w14:textFill>
        </w:rPr>
        <w:t>注：</w:t>
      </w:r>
      <w:r>
        <w:rPr>
          <w:rFonts w:hAnsi="宋体" w:cs="Times New Roman"/>
          <w:color w:val="000000" w:themeColor="text1"/>
          <w:sz w:val="22"/>
          <w14:textFill>
            <w14:solidFill>
              <w14:schemeClr w14:val="tx1"/>
            </w14:solidFill>
          </w14:textFill>
        </w:rPr>
        <w:t>若投标人提供虚假信息的，将按省市及</w:t>
      </w:r>
      <w:r>
        <w:rPr>
          <w:rFonts w:hint="eastAsia" w:hAnsi="宋体" w:cs="Times New Roman"/>
          <w:color w:val="000000" w:themeColor="text1"/>
          <w:sz w:val="22"/>
          <w14:textFill>
            <w14:solidFill>
              <w14:schemeClr w14:val="tx1"/>
            </w14:solidFill>
          </w14:textFill>
        </w:rPr>
        <w:t>东莞市数据互联有限公司</w:t>
      </w:r>
      <w:r>
        <w:rPr>
          <w:rFonts w:hAnsi="宋体" w:cs="Times New Roman"/>
          <w:color w:val="000000" w:themeColor="text1"/>
          <w:sz w:val="22"/>
          <w14:textFill>
            <w14:solidFill>
              <w14:schemeClr w14:val="tx1"/>
            </w14:solidFill>
          </w14:textFill>
        </w:rPr>
        <w:t>采购管理办法相关规定严肃处理。</w:t>
      </w:r>
    </w:p>
    <w:p>
      <w:pPr>
        <w:pStyle w:val="26"/>
        <w:spacing w:line="360" w:lineRule="auto"/>
        <w:ind w:firstLine="442" w:firstLineChars="200"/>
        <w:rPr>
          <w:rFonts w:hAnsi="宋体" w:cs="Times New Roman"/>
          <w:b/>
          <w:bCs/>
          <w:color w:val="000000" w:themeColor="text1"/>
          <w:sz w:val="22"/>
          <w14:textFill>
            <w14:solidFill>
              <w14:schemeClr w14:val="tx1"/>
            </w14:solidFill>
          </w14:textFill>
        </w:rPr>
      </w:pPr>
    </w:p>
    <w:p>
      <w:pPr>
        <w:pStyle w:val="26"/>
        <w:spacing w:line="360" w:lineRule="auto"/>
        <w:jc w:val="center"/>
        <w:rPr>
          <w:rFonts w:hAnsi="宋体" w:cs="Times New Roman"/>
          <w:b/>
          <w:bCs/>
          <w:color w:val="000000" w:themeColor="text1"/>
          <w:sz w:val="22"/>
          <w14:textFill>
            <w14:solidFill>
              <w14:schemeClr w14:val="tx1"/>
            </w14:solidFill>
          </w14:textFill>
        </w:rPr>
      </w:pPr>
    </w:p>
    <w:p>
      <w:pPr>
        <w:pStyle w:val="26"/>
        <w:spacing w:line="360" w:lineRule="auto"/>
        <w:jc w:val="center"/>
        <w:rPr>
          <w:rFonts w:hAnsi="宋体" w:cs="Times New Roman"/>
          <w:b/>
          <w:bCs/>
          <w:color w:val="000000" w:themeColor="text1"/>
          <w:sz w:val="22"/>
          <w14:textFill>
            <w14:solidFill>
              <w14:schemeClr w14:val="tx1"/>
            </w14:solidFill>
          </w14:textFill>
        </w:rPr>
      </w:pPr>
    </w:p>
    <w:p>
      <w:pPr>
        <w:spacing w:line="560" w:lineRule="exact"/>
        <w:rPr>
          <w:rFonts w:ascii="Times New Roman" w:hAnsi="Times New Roman"/>
          <w:b/>
          <w:color w:val="000000" w:themeColor="text1"/>
          <w:sz w:val="24"/>
          <w14:textFill>
            <w14:solidFill>
              <w14:schemeClr w14:val="tx1"/>
            </w14:solidFill>
          </w14:textFill>
        </w:rPr>
      </w:pPr>
    </w:p>
    <w:p>
      <w:pPr>
        <w:spacing w:line="560" w:lineRule="exact"/>
        <w:jc w:val="center"/>
        <w:rPr>
          <w:rFonts w:ascii="Times New Roman" w:hAnsi="Times New Roman"/>
          <w:b/>
          <w:color w:val="000000" w:themeColor="text1"/>
          <w:sz w:val="24"/>
          <w14:textFill>
            <w14:solidFill>
              <w14:schemeClr w14:val="tx1"/>
            </w14:solidFill>
          </w14:textFill>
        </w:rPr>
      </w:pPr>
    </w:p>
    <w:p>
      <w:pPr>
        <w:widowControl/>
        <w:jc w:val="left"/>
        <w:rPr>
          <w:rFonts w:ascii="Times New Roman" w:hAnsi="Times New Roman"/>
          <w:b/>
          <w:bCs/>
          <w:color w:val="000000" w:themeColor="text1"/>
          <w:sz w:val="24"/>
          <w:szCs w:val="32"/>
          <w14:textFill>
            <w14:solidFill>
              <w14:schemeClr w14:val="tx1"/>
            </w14:solidFill>
          </w14:textFill>
        </w:rPr>
      </w:pPr>
      <w:bookmarkStart w:id="301" w:name="_Toc441844123"/>
      <w:r>
        <w:rPr>
          <w:rFonts w:ascii="Times New Roman" w:hAnsi="Times New Roman"/>
          <w:color w:val="000000" w:themeColor="text1"/>
          <w:sz w:val="24"/>
          <w14:textFill>
            <w14:solidFill>
              <w14:schemeClr w14:val="tx1"/>
            </w14:solidFill>
          </w14:textFill>
        </w:rPr>
        <w:br w:type="page"/>
      </w:r>
    </w:p>
    <w:p>
      <w:pPr>
        <w:pStyle w:val="5"/>
        <w:spacing w:line="360" w:lineRule="auto"/>
        <w:jc w:val="center"/>
        <w:rPr>
          <w:rFonts w:ascii="宋体" w:hAnsi="宋体"/>
          <w:color w:val="000000" w:themeColor="text1"/>
          <w:sz w:val="22"/>
          <w:szCs w:val="22"/>
          <w14:textFill>
            <w14:solidFill>
              <w14:schemeClr w14:val="tx1"/>
            </w14:solidFill>
          </w14:textFill>
        </w:rPr>
      </w:pPr>
      <w:bookmarkStart w:id="302" w:name="_Toc93505806"/>
      <w:bookmarkStart w:id="303" w:name="_Toc23690"/>
      <w:r>
        <w:rPr>
          <w:rFonts w:ascii="宋体" w:hAnsi="宋体"/>
          <w:color w:val="000000" w:themeColor="text1"/>
          <w:sz w:val="22"/>
          <w:szCs w:val="22"/>
          <w14:textFill>
            <w14:solidFill>
              <w14:schemeClr w14:val="tx1"/>
            </w14:solidFill>
          </w14:textFill>
        </w:rPr>
        <w:t>8、</w:t>
      </w:r>
      <w:bookmarkEnd w:id="301"/>
      <w:r>
        <w:rPr>
          <w:rFonts w:hint="eastAsia" w:ascii="宋体" w:hAnsi="宋体"/>
          <w:color w:val="000000" w:themeColor="text1"/>
          <w:sz w:val="22"/>
          <w:szCs w:val="22"/>
          <w14:textFill>
            <w14:solidFill>
              <w14:schemeClr w14:val="tx1"/>
            </w14:solidFill>
          </w14:textFill>
        </w:rPr>
        <w:t>投标人承诺</w:t>
      </w:r>
      <w:bookmarkEnd w:id="302"/>
      <w:bookmarkEnd w:id="303"/>
    </w:p>
    <w:tbl>
      <w:tblPr>
        <w:tblStyle w:val="51"/>
        <w:tblW w:w="48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1017"/>
        <w:gridCol w:w="203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 xml:space="preserve">        事项</w:t>
            </w:r>
            <w:r>
              <w:rPr>
                <w:rFonts w:hint="eastAsia" w:ascii="宋体" w:hAnsi="宋体"/>
                <w:color w:val="000000" w:themeColor="text1"/>
                <w:sz w:val="22"/>
                <w:szCs w:val="22"/>
                <w:shd w:val="clear" w:color="auto" w:fill="FFFFFF"/>
                <w14:textFill>
                  <w14:solidFill>
                    <w14:schemeClr w14:val="tx1"/>
                  </w14:solidFill>
                </w14:textFill>
              </w:rPr>
              <w:t>名称</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认定时间</w:t>
            </w:r>
          </w:p>
        </w:tc>
        <w:tc>
          <w:tcPr>
            <w:tcW w:w="1131" w:type="pct"/>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处罚期届满</w:t>
            </w:r>
            <w:r>
              <w:rPr>
                <w:rFonts w:ascii="宋体" w:hAnsi="宋体"/>
                <w:color w:val="000000" w:themeColor="text1"/>
                <w:sz w:val="22"/>
                <w:szCs w:val="22"/>
                <w:shd w:val="clear" w:color="auto" w:fill="FFFFFF"/>
                <w14:textFill>
                  <w14:solidFill>
                    <w14:schemeClr w14:val="tx1"/>
                  </w14:solidFill>
                </w14:textFill>
              </w:rPr>
              <w:t>/异常名录信息失效时间</w:t>
            </w: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w:t>
            </w:r>
            <w:r>
              <w:rPr>
                <w:rFonts w:ascii="宋体" w:hAnsi="宋体"/>
                <w:color w:val="000000" w:themeColor="text1"/>
                <w:sz w:val="22"/>
                <w:szCs w:val="22"/>
                <w:shd w:val="clear" w:color="auto" w:fill="FFFFFF"/>
                <w14:textFill>
                  <w14:solidFill>
                    <w14:schemeClr w14:val="tx1"/>
                  </w14:solidFill>
                </w14:textFill>
              </w:rPr>
              <w:t>列入“</w:t>
            </w:r>
            <w:r>
              <w:rPr>
                <w:rFonts w:hint="eastAsia" w:ascii="宋体" w:hAnsi="宋体"/>
                <w:color w:val="000000" w:themeColor="text1"/>
                <w:sz w:val="22"/>
                <w:szCs w:val="22"/>
                <w:shd w:val="clear" w:color="auto" w:fill="FFFFFF"/>
                <w14:textFill>
                  <w14:solidFill>
                    <w14:schemeClr w14:val="tx1"/>
                  </w14:solidFill>
                </w14:textFill>
              </w:rPr>
              <w:t>中国</w:t>
            </w:r>
            <w:r>
              <w:rPr>
                <w:rFonts w:ascii="宋体" w:hAnsi="宋体"/>
                <w:color w:val="000000" w:themeColor="text1"/>
                <w:sz w:val="22"/>
                <w:szCs w:val="22"/>
                <w:shd w:val="clear" w:color="auto" w:fill="FFFFFF"/>
                <w14:textFill>
                  <w14:solidFill>
                    <w14:schemeClr w14:val="tx1"/>
                  </w14:solidFill>
                </w14:textFill>
              </w:rPr>
              <w:t>执行信息公开网”</w:t>
            </w:r>
            <w:r>
              <w:rPr>
                <w:rFonts w:hint="eastAsia" w:ascii="宋体" w:hAnsi="宋体"/>
                <w:color w:val="000000" w:themeColor="text1"/>
                <w:sz w:val="22"/>
                <w:szCs w:val="22"/>
                <w:shd w:val="clear" w:color="auto" w:fill="FFFFFF"/>
                <w14:textFill>
                  <w14:solidFill>
                    <w14:schemeClr w14:val="tx1"/>
                  </w14:solidFill>
                </w14:textFill>
              </w:rPr>
              <w:t>被认定为失信被执行人</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是否被认定为重大税收违法案件当事人名单</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是否被认定为严重违法失信行为记录名单</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有无受各级管理部门的处罚</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是否存在大额诉讼或多宗诉讼或其他违法、违约等影响本次招标项目正常履行的情况</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w:t>
            </w:r>
            <w:r>
              <w:rPr>
                <w:rFonts w:ascii="宋体" w:hAnsi="宋体"/>
                <w:color w:val="000000" w:themeColor="text1"/>
                <w:sz w:val="22"/>
                <w:szCs w:val="22"/>
                <w:shd w:val="clear" w:color="auto" w:fill="FFFFFF"/>
                <w14:textFill>
                  <w14:solidFill>
                    <w14:schemeClr w14:val="tx1"/>
                  </w14:solidFill>
                </w14:textFill>
              </w:rPr>
              <w:t>存在</w:t>
            </w:r>
            <w:r>
              <w:rPr>
                <w:rFonts w:hint="eastAsia" w:ascii="宋体" w:hAnsi="宋体"/>
                <w:color w:val="000000" w:themeColor="text1"/>
                <w:sz w:val="22"/>
                <w:szCs w:val="22"/>
                <w:shd w:val="clear" w:color="auto" w:fill="FFFFFF"/>
                <w14:textFill>
                  <w14:solidFill>
                    <w14:schemeClr w14:val="tx1"/>
                  </w14:solidFill>
                </w14:textFill>
              </w:rPr>
              <w:t>与东莞市数据互联有限公司及其下属企业在签订合同的履约过程中，因投标人或其关联公司严重违约而致使合同变更、中止、解除的</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是否正在与东莞市数据互联有限公司及其下属企业发生诉讼</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是否存在法院判决或仲裁裁决认定投标人或其关联公司在与东莞市数据互联有限公司及其下属企业履约过程中存在违约责任或过失责任</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bl>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注：</w:t>
      </w:r>
    </w:p>
    <w:p>
      <w:pPr>
        <w:spacing w:line="360" w:lineRule="auto"/>
        <w:ind w:left="284" w:hanging="283" w:hangingChars="129"/>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1.</w:t>
      </w:r>
      <w:r>
        <w:rPr>
          <w:rFonts w:hint="eastAsia" w:ascii="宋体" w:hAnsi="宋体"/>
          <w:color w:val="000000" w:themeColor="text1"/>
          <w:sz w:val="22"/>
          <w:szCs w:val="22"/>
          <w:shd w:val="clear" w:color="auto" w:fill="FFFFFF"/>
          <w14:textFill>
            <w14:solidFill>
              <w14:schemeClr w14:val="tx1"/>
            </w14:solidFill>
          </w14:textFill>
        </w:rPr>
        <w:t>根据投标人及其不具有独立法人资格的分支机构的实际情况自行编写，无相关事项的，在</w:t>
      </w:r>
      <w:r>
        <w:rPr>
          <w:rFonts w:ascii="宋体" w:hAnsi="宋体"/>
          <w:color w:val="000000" w:themeColor="text1"/>
          <w:sz w:val="22"/>
          <w:szCs w:val="22"/>
          <w:shd w:val="clear" w:color="auto" w:fill="FFFFFF"/>
          <w14:textFill>
            <w14:solidFill>
              <w14:schemeClr w14:val="tx1"/>
            </w14:solidFill>
          </w14:textFill>
        </w:rPr>
        <w:t xml:space="preserve"> </w:t>
      </w:r>
      <w:r>
        <w:rPr>
          <w:rFonts w:hint="eastAsia" w:ascii="宋体" w:hAnsi="宋体"/>
          <w:color w:val="000000" w:themeColor="text1"/>
          <w:sz w:val="22"/>
          <w:szCs w:val="22"/>
          <w:shd w:val="clear" w:color="auto" w:fill="FFFFFF"/>
          <w14:textFill>
            <w14:solidFill>
              <w14:schemeClr w14:val="tx1"/>
            </w14:solidFill>
          </w14:textFill>
        </w:rPr>
        <w:t>“认定时间”列填“无”；</w:t>
      </w:r>
    </w:p>
    <w:p>
      <w:pPr>
        <w:spacing w:line="360" w:lineRule="auto"/>
        <w:ind w:left="284" w:hanging="283" w:hangingChars="129"/>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2.</w:t>
      </w:r>
      <w:r>
        <w:rPr>
          <w:rFonts w:hint="eastAsia" w:ascii="宋体" w:hAnsi="宋体"/>
          <w:color w:val="000000" w:themeColor="text1"/>
          <w:sz w:val="22"/>
          <w:szCs w:val="22"/>
          <w:shd w:val="clear" w:color="auto" w:fill="FFFFFF"/>
          <w14:textFill>
            <w14:solidFill>
              <w14:schemeClr w14:val="tx1"/>
            </w14:solidFill>
          </w14:textFill>
        </w:rPr>
        <w:t>若受到相关处罚的应附处罚相关材料复印件，发生经济诉讼或纠纷的应附法院判决书、仲裁决议等相关材料复印件（未完结</w:t>
      </w:r>
      <w:r>
        <w:rPr>
          <w:rFonts w:ascii="宋体" w:hAnsi="宋体"/>
          <w:color w:val="000000" w:themeColor="text1"/>
          <w:sz w:val="22"/>
          <w:szCs w:val="22"/>
          <w:shd w:val="clear" w:color="auto" w:fill="FFFFFF"/>
          <w14:textFill>
            <w14:solidFill>
              <w14:schemeClr w14:val="tx1"/>
            </w14:solidFill>
          </w14:textFill>
        </w:rPr>
        <w:t>的诉讼或纠纷除外</w:t>
      </w:r>
      <w:r>
        <w:rPr>
          <w:rFonts w:hint="eastAsia" w:ascii="宋体" w:hAnsi="宋体"/>
          <w:color w:val="000000" w:themeColor="text1"/>
          <w:sz w:val="22"/>
          <w:szCs w:val="22"/>
          <w:shd w:val="clear" w:color="auto" w:fill="FFFFFF"/>
          <w14:textFill>
            <w14:solidFill>
              <w14:schemeClr w14:val="tx1"/>
            </w14:solidFill>
          </w14:textFill>
        </w:rPr>
        <w:t>）；</w:t>
      </w:r>
    </w:p>
    <w:p>
      <w:pPr>
        <w:spacing w:line="360" w:lineRule="auto"/>
        <w:ind w:left="284" w:hanging="283" w:hangingChars="129"/>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3.</w:t>
      </w:r>
      <w:r>
        <w:rPr>
          <w:rFonts w:hint="eastAsia" w:ascii="宋体" w:hAnsi="宋体"/>
          <w:color w:val="000000" w:themeColor="text1"/>
          <w:sz w:val="22"/>
          <w:szCs w:val="22"/>
          <w:shd w:val="clear" w:color="auto" w:fill="FFFFFF"/>
          <w14:textFill>
            <w14:solidFill>
              <w14:schemeClr w14:val="tx1"/>
            </w14:solidFill>
          </w14:textFill>
        </w:rPr>
        <w:t>如相关异常名录信息已失效，投标人需提供相关证明资料；</w:t>
      </w:r>
    </w:p>
    <w:p>
      <w:pPr>
        <w:spacing w:line="360" w:lineRule="auto"/>
        <w:ind w:left="284" w:hanging="283" w:hangingChars="129"/>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4.投标人须按</w:t>
      </w:r>
      <w:r>
        <w:rPr>
          <w:rFonts w:hint="eastAsia" w:ascii="宋体" w:hAnsi="宋体"/>
          <w:color w:val="000000" w:themeColor="text1"/>
          <w:sz w:val="22"/>
          <w:szCs w:val="22"/>
          <w:shd w:val="clear" w:color="auto" w:fill="FFFFFF"/>
          <w14:textFill>
            <w14:solidFill>
              <w14:schemeClr w14:val="tx1"/>
            </w14:solidFill>
          </w14:textFill>
        </w:rPr>
        <w:t>其</w:t>
      </w:r>
      <w:r>
        <w:rPr>
          <w:rFonts w:ascii="宋体" w:hAnsi="宋体"/>
          <w:color w:val="000000" w:themeColor="text1"/>
          <w:sz w:val="22"/>
          <w:szCs w:val="22"/>
          <w:shd w:val="clear" w:color="auto" w:fill="FFFFFF"/>
          <w14:textFill>
            <w14:solidFill>
              <w14:schemeClr w14:val="tx1"/>
            </w14:solidFill>
          </w14:textFill>
        </w:rPr>
        <w:t>实际情况如实填写上述承诺事宜，招标人有权在开标</w:t>
      </w:r>
      <w:r>
        <w:rPr>
          <w:rFonts w:hint="eastAsia" w:ascii="宋体" w:hAnsi="宋体"/>
          <w:color w:val="000000" w:themeColor="text1"/>
          <w:sz w:val="22"/>
          <w:szCs w:val="22"/>
          <w:shd w:val="clear" w:color="auto" w:fill="FFFFFF"/>
          <w14:textFill>
            <w14:solidFill>
              <w14:schemeClr w14:val="tx1"/>
            </w14:solidFill>
          </w14:textFill>
        </w:rPr>
        <w:t>后</w:t>
      </w:r>
      <w:r>
        <w:rPr>
          <w:rFonts w:ascii="宋体" w:hAnsi="宋体"/>
          <w:color w:val="000000" w:themeColor="text1"/>
          <w:sz w:val="22"/>
          <w:szCs w:val="22"/>
          <w:shd w:val="clear" w:color="auto" w:fill="FFFFFF"/>
          <w14:textFill>
            <w14:solidFill>
              <w14:schemeClr w14:val="tx1"/>
            </w14:solidFill>
          </w14:textFill>
        </w:rPr>
        <w:t>对投标人的上述承诺进行逐一核实，如发现投标人存在</w:t>
      </w:r>
      <w:r>
        <w:rPr>
          <w:rFonts w:hint="eastAsia" w:ascii="宋体" w:hAnsi="宋体"/>
          <w:color w:val="000000" w:themeColor="text1"/>
          <w:sz w:val="22"/>
          <w:szCs w:val="22"/>
          <w:shd w:val="clear" w:color="auto" w:fill="FFFFFF"/>
          <w14:textFill>
            <w14:solidFill>
              <w14:schemeClr w14:val="tx1"/>
            </w14:solidFill>
          </w14:textFill>
        </w:rPr>
        <w:t>虚报</w:t>
      </w:r>
      <w:r>
        <w:rPr>
          <w:rFonts w:ascii="宋体" w:hAnsi="宋体"/>
          <w:color w:val="000000" w:themeColor="text1"/>
          <w:sz w:val="22"/>
          <w:szCs w:val="22"/>
          <w:shd w:val="clear" w:color="auto" w:fill="FFFFFF"/>
          <w14:textFill>
            <w14:solidFill>
              <w14:schemeClr w14:val="tx1"/>
            </w14:solidFill>
          </w14:textFill>
        </w:rPr>
        <w:t>、瞒报等情况，将取消</w:t>
      </w:r>
      <w:r>
        <w:rPr>
          <w:rFonts w:hint="eastAsia" w:ascii="宋体" w:hAnsi="宋体"/>
          <w:color w:val="000000" w:themeColor="text1"/>
          <w:sz w:val="22"/>
          <w:szCs w:val="22"/>
          <w:shd w:val="clear" w:color="auto" w:fill="FFFFFF"/>
          <w14:textFill>
            <w14:solidFill>
              <w14:schemeClr w14:val="tx1"/>
            </w14:solidFill>
          </w14:textFill>
        </w:rPr>
        <w:t>其</w:t>
      </w:r>
      <w:r>
        <w:rPr>
          <w:rFonts w:ascii="宋体" w:hAnsi="宋体"/>
          <w:color w:val="000000" w:themeColor="text1"/>
          <w:sz w:val="22"/>
          <w:szCs w:val="22"/>
          <w:shd w:val="clear" w:color="auto" w:fill="FFFFFF"/>
          <w14:textFill>
            <w14:solidFill>
              <w14:schemeClr w14:val="tx1"/>
            </w14:solidFill>
          </w14:textFill>
        </w:rPr>
        <w:t>中标资格。</w:t>
      </w:r>
    </w:p>
    <w:p>
      <w:pPr>
        <w:pStyle w:val="69"/>
        <w:spacing w:before="624" w:beforeLines="200" w:line="480" w:lineRule="auto"/>
        <w:ind w:firstLine="4515" w:firstLineChars="215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4515" w:firstLineChars="215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widowControl/>
        <w:jc w:val="left"/>
        <w:rPr>
          <w:rFonts w:asciiTheme="minorEastAsia" w:hAnsiTheme="minorEastAsia" w:eastAsiaTheme="minorEastAsia"/>
          <w:color w:val="000000" w:themeColor="text1"/>
          <w:szCs w:val="21"/>
          <w:u w:val="single"/>
          <w14:textFill>
            <w14:solidFill>
              <w14:schemeClr w14:val="tx1"/>
            </w14:solidFill>
          </w14:textFill>
        </w:rPr>
      </w:pPr>
    </w:p>
    <w:p>
      <w:pPr>
        <w:widowControl/>
        <w:jc w:val="left"/>
        <w:rPr>
          <w:rFonts w:ascii="宋体" w:hAnsi="宋体"/>
          <w:b/>
          <w:bCs/>
          <w:color w:val="000000" w:themeColor="text1"/>
          <w:sz w:val="22"/>
          <w:szCs w:val="22"/>
          <w:lang w:val="zh-CN"/>
          <w14:textFill>
            <w14:solidFill>
              <w14:schemeClr w14:val="tx1"/>
            </w14:solidFill>
          </w14:textFill>
        </w:rPr>
      </w:pPr>
      <w:r>
        <w:rPr>
          <w:rFonts w:ascii="宋体" w:hAnsi="宋体"/>
          <w:b/>
          <w:bCs/>
          <w:color w:val="000000" w:themeColor="text1"/>
          <w:sz w:val="22"/>
          <w:szCs w:val="22"/>
          <w:lang w:val="zh-CN"/>
          <w14:textFill>
            <w14:solidFill>
              <w14:schemeClr w14:val="tx1"/>
            </w14:solidFill>
          </w14:textFill>
        </w:rPr>
        <w:br w:type="page"/>
      </w:r>
    </w:p>
    <w:p>
      <w:pPr>
        <w:widowControl/>
        <w:jc w:val="left"/>
        <w:rPr>
          <w:rFonts w:ascii="Times New Roman" w:hAnsi="Times New Roman"/>
          <w:b/>
          <w:bCs/>
          <w:color w:val="000000" w:themeColor="text1"/>
          <w:sz w:val="22"/>
          <w:szCs w:val="22"/>
          <w14:textFill>
            <w14:solidFill>
              <w14:schemeClr w14:val="tx1"/>
            </w14:solidFill>
          </w14:textFill>
        </w:rPr>
      </w:pPr>
    </w:p>
    <w:p>
      <w:pPr>
        <w:pStyle w:val="5"/>
        <w:spacing w:line="360" w:lineRule="auto"/>
        <w:jc w:val="center"/>
        <w:rPr>
          <w:rFonts w:ascii="宋体" w:hAnsi="宋体"/>
          <w:color w:val="000000" w:themeColor="text1"/>
          <w:sz w:val="22"/>
          <w:szCs w:val="22"/>
          <w14:textFill>
            <w14:solidFill>
              <w14:schemeClr w14:val="tx1"/>
            </w14:solidFill>
          </w14:textFill>
        </w:rPr>
      </w:pPr>
      <w:bookmarkStart w:id="304" w:name="_Toc2461"/>
      <w:bookmarkStart w:id="305" w:name="_Toc11396"/>
      <w:bookmarkStart w:id="306" w:name="_Toc23885"/>
      <w:bookmarkStart w:id="307" w:name="_Toc32310"/>
      <w:bookmarkStart w:id="308" w:name="_Toc22389"/>
      <w:bookmarkStart w:id="309" w:name="_Toc93505807"/>
      <w:bookmarkStart w:id="310" w:name="_Toc441844124"/>
      <w:bookmarkStart w:id="311" w:name="_Toc8707"/>
      <w:r>
        <w:rPr>
          <w:rFonts w:ascii="宋体" w:hAnsi="宋体"/>
          <w:color w:val="000000" w:themeColor="text1"/>
          <w:sz w:val="22"/>
          <w:szCs w:val="22"/>
          <w14:textFill>
            <w14:solidFill>
              <w14:schemeClr w14:val="tx1"/>
            </w14:solidFill>
          </w14:textFill>
        </w:rPr>
        <w:t>9</w:t>
      </w:r>
      <w:bookmarkEnd w:id="304"/>
      <w:bookmarkEnd w:id="305"/>
      <w:bookmarkEnd w:id="306"/>
      <w:bookmarkEnd w:id="307"/>
      <w:bookmarkEnd w:id="308"/>
      <w:r>
        <w:rPr>
          <w:rFonts w:ascii="宋体" w:hAnsi="宋体"/>
          <w:color w:val="000000" w:themeColor="text1"/>
          <w:sz w:val="22"/>
          <w:szCs w:val="22"/>
          <w14:textFill>
            <w14:solidFill>
              <w14:schemeClr w14:val="tx1"/>
            </w14:solidFill>
          </w14:textFill>
        </w:rPr>
        <w:t>、业绩情况一览表</w:t>
      </w:r>
      <w:bookmarkEnd w:id="309"/>
      <w:bookmarkEnd w:id="310"/>
      <w:bookmarkEnd w:id="311"/>
    </w:p>
    <w:p>
      <w:pPr>
        <w:spacing w:line="360" w:lineRule="auto"/>
        <w:rPr>
          <w:rFonts w:ascii="Times New Roman" w:hAnsi="Times New Roman"/>
          <w:color w:val="000000" w:themeColor="text1"/>
          <w:szCs w:val="21"/>
          <w:u w:val="single"/>
          <w14:textFill>
            <w14:solidFill>
              <w14:schemeClr w14:val="tx1"/>
            </w14:solidFill>
          </w14:textFill>
        </w:rPr>
      </w:pPr>
      <w:r>
        <w:rPr>
          <w:rFonts w:hint="eastAsia" w:ascii="Times New Roman" w:hAnsi="宋体"/>
          <w:color w:val="000000" w:themeColor="text1"/>
          <w:szCs w:val="21"/>
          <w14:textFill>
            <w14:solidFill>
              <w14:schemeClr w14:val="tx1"/>
            </w14:solidFill>
          </w14:textFill>
        </w:rPr>
        <w:t>项目</w:t>
      </w:r>
      <w:r>
        <w:rPr>
          <w:rFonts w:ascii="Times New Roman" w:hAnsi="宋体"/>
          <w:color w:val="000000" w:themeColor="text1"/>
          <w:szCs w:val="21"/>
          <w14:textFill>
            <w14:solidFill>
              <w14:schemeClr w14:val="tx1"/>
            </w14:solidFill>
          </w14:textFill>
        </w:rPr>
        <w:t>名称：</w:t>
      </w:r>
      <w:r>
        <w:rPr>
          <w:rFonts w:ascii="Times New Roman" w:hAnsi="Times New Roman"/>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项目编号：</w:t>
      </w:r>
      <w:r>
        <w:rPr>
          <w:rFonts w:hint="eastAsia" w:ascii="Times New Roman" w:hAnsi="宋体"/>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 xml:space="preserve">               </w:t>
      </w:r>
      <w:r>
        <w:rPr>
          <w:rFonts w:hint="eastAsia" w:ascii="Times New Roman" w:hAnsi="宋体"/>
          <w:color w:val="000000" w:themeColor="text1"/>
          <w:szCs w:val="21"/>
          <w14:textFill>
            <w14:solidFill>
              <w14:schemeClr w14:val="tx1"/>
            </w14:solidFill>
          </w14:textFill>
        </w:rPr>
        <w:t>包号：</w:t>
      </w:r>
    </w:p>
    <w:tbl>
      <w:tblPr>
        <w:tblStyle w:val="51"/>
        <w:tblW w:w="94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8"/>
        <w:gridCol w:w="1497"/>
        <w:gridCol w:w="1559"/>
        <w:gridCol w:w="1276"/>
        <w:gridCol w:w="850"/>
        <w:gridCol w:w="993"/>
        <w:gridCol w:w="1417"/>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序号</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 xml:space="preserve">项目名称 </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主要服务内容</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rFonts w:hint="eastAsia" w:ascii="Times New Roman"/>
                <w:color w:val="000000" w:themeColor="text1"/>
                <w:szCs w:val="21"/>
                <w14:textFill>
                  <w14:solidFill>
                    <w14:schemeClr w14:val="tx1"/>
                  </w14:solidFill>
                </w14:textFill>
              </w:rPr>
              <w:t>项目负责人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合同</w:t>
            </w:r>
          </w:p>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金额</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rFonts w:hint="eastAsia"/>
                <w:color w:val="000000" w:themeColor="text1"/>
                <w:szCs w:val="21"/>
                <w:lang w:val="zh-CN"/>
                <w14:textFill>
                  <w14:solidFill>
                    <w14:schemeClr w14:val="tx1"/>
                  </w14:solidFill>
                </w14:textFill>
              </w:rPr>
              <w:t>签约</w:t>
            </w:r>
          </w:p>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日期</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委托单位电话及联系人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1</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2</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3</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14:textFill>
                  <w14:solidFill>
                    <w14:schemeClr w14:val="tx1"/>
                  </w14:solidFill>
                </w14:textFill>
              </w:rPr>
            </w:pPr>
            <w:r>
              <w:rPr>
                <w:rFonts w:ascii="Courier New" w:hAnsi="Courier New" w:cs="Courier New"/>
                <w:color w:val="000000" w:themeColor="text1"/>
                <w14:textFill>
                  <w14:solidFill>
                    <w14:schemeClr w14:val="tx1"/>
                  </w14:solidFill>
                </w14:textFill>
              </w:rPr>
              <w:t>…</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bl>
    <w:p>
      <w:pPr>
        <w:rPr>
          <w:rFonts w:ascii="宋体" w:hAnsi="宋体"/>
          <w:color w:val="000000" w:themeColor="text1"/>
          <w:szCs w:val="21"/>
          <w14:textFill>
            <w14:solidFill>
              <w14:schemeClr w14:val="tx1"/>
            </w14:solidFill>
          </w14:textFill>
        </w:rPr>
      </w:pPr>
    </w:p>
    <w:p>
      <w:pPr>
        <w:spacing w:line="360" w:lineRule="auto"/>
        <w:ind w:left="735" w:hanging="735" w:hangingChars="3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注：</w:t>
      </w:r>
      <w:r>
        <w:rPr>
          <w:rFonts w:hint="eastAsia" w:hAnsi="宋体"/>
          <w:color w:val="000000" w:themeColor="text1"/>
          <w:szCs w:val="21"/>
          <w:lang w:val="zh-CN"/>
          <w14:textFill>
            <w14:solidFill>
              <w14:schemeClr w14:val="tx1"/>
            </w14:solidFill>
          </w14:textFill>
        </w:rPr>
        <w:t>1）</w:t>
      </w:r>
      <w:r>
        <w:rPr>
          <w:rFonts w:hint="eastAsia" w:hAnsi="宋体"/>
          <w:color w:val="000000" w:themeColor="text1"/>
          <w:szCs w:val="21"/>
          <w14:textFill>
            <w14:solidFill>
              <w14:schemeClr w14:val="tx1"/>
            </w14:solidFill>
          </w14:textFill>
        </w:rPr>
        <w:t>所提供的业绩资料须按评分标准中所列要求提供证明资料，若未按上述要求提供证明材料的业绩，或所附材料无法证明符合评分要求的业绩，在评标时将不予考虑。</w:t>
      </w:r>
    </w:p>
    <w:p>
      <w:pPr>
        <w:spacing w:line="360" w:lineRule="auto"/>
        <w:ind w:left="685" w:leftChars="226" w:hanging="210" w:hanging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zh-CN"/>
          <w14:textFill>
            <w14:solidFill>
              <w14:schemeClr w14:val="tx1"/>
            </w14:solidFill>
          </w14:textFill>
        </w:rPr>
        <w:t>如被发现虚假将取消中标资格。</w:t>
      </w:r>
    </w:p>
    <w:p>
      <w:pPr>
        <w:spacing w:line="360" w:lineRule="auto"/>
        <w:rPr>
          <w:rFonts w:ascii="宋体" w:hAnsi="宋体"/>
          <w:color w:val="000000" w:themeColor="text1"/>
          <w:sz w:val="22"/>
          <w:szCs w:val="22"/>
          <w14:textFill>
            <w14:solidFill>
              <w14:schemeClr w14:val="tx1"/>
            </w14:solidFill>
          </w14:textFill>
        </w:rPr>
      </w:pPr>
    </w:p>
    <w:p>
      <w:pPr>
        <w:pStyle w:val="69"/>
        <w:spacing w:before="624" w:beforeLines="200" w:line="480" w:lineRule="auto"/>
        <w:ind w:firstLine="4620" w:firstLineChars="22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4620" w:firstLineChars="22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ab/>
      </w:r>
    </w:p>
    <w:p>
      <w:pPr>
        <w:widowControl/>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br w:type="page"/>
      </w:r>
    </w:p>
    <w:p>
      <w:pPr>
        <w:pStyle w:val="5"/>
        <w:spacing w:line="360" w:lineRule="auto"/>
        <w:jc w:val="center"/>
        <w:rPr>
          <w:rFonts w:ascii="宋体" w:hAnsi="宋体"/>
          <w:color w:val="000000" w:themeColor="text1"/>
          <w:sz w:val="22"/>
          <w:szCs w:val="22"/>
          <w14:textFill>
            <w14:solidFill>
              <w14:schemeClr w14:val="tx1"/>
            </w14:solidFill>
          </w14:textFill>
        </w:rPr>
      </w:pPr>
      <w:bookmarkStart w:id="312" w:name="_Toc12572"/>
      <w:bookmarkStart w:id="313" w:name="_Toc93505808"/>
      <w:r>
        <w:rPr>
          <w:rFonts w:hint="eastAsia" w:ascii="宋体" w:hAnsi="宋体"/>
          <w:color w:val="000000" w:themeColor="text1"/>
          <w:sz w:val="22"/>
          <w:szCs w:val="22"/>
          <w14:textFill>
            <w14:solidFill>
              <w14:schemeClr w14:val="tx1"/>
            </w14:solidFill>
          </w14:textFill>
        </w:rPr>
        <w:t>1</w:t>
      </w:r>
      <w:r>
        <w:rPr>
          <w:rFonts w:ascii="宋体" w:hAnsi="宋体"/>
          <w:color w:val="000000" w:themeColor="text1"/>
          <w:sz w:val="22"/>
          <w:szCs w:val="22"/>
          <w14:textFill>
            <w14:solidFill>
              <w14:schemeClr w14:val="tx1"/>
            </w14:solidFill>
          </w14:textFill>
        </w:rPr>
        <w:t>0</w:t>
      </w:r>
      <w:r>
        <w:rPr>
          <w:rFonts w:hint="eastAsia" w:ascii="宋体" w:hAnsi="宋体"/>
          <w:color w:val="000000" w:themeColor="text1"/>
          <w:sz w:val="22"/>
          <w:szCs w:val="22"/>
          <w14:textFill>
            <w14:solidFill>
              <w14:schemeClr w14:val="tx1"/>
            </w14:solidFill>
          </w14:textFill>
        </w:rPr>
        <w:t>、拟投入本项目的服务团队人员情况表格式</w:t>
      </w:r>
      <w:bookmarkEnd w:id="312"/>
      <w:bookmarkEnd w:id="313"/>
    </w:p>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10-1 拟投入本项目管理人员情况表</w:t>
      </w:r>
    </w:p>
    <w:p>
      <w:pPr>
        <w:spacing w:line="360" w:lineRule="auto"/>
        <w:rPr>
          <w:rFonts w:ascii="Times New Roman" w:hAnsi="Times New Roman"/>
          <w:color w:val="000000" w:themeColor="text1"/>
          <w:szCs w:val="21"/>
          <w:u w:val="single"/>
          <w14:textFill>
            <w14:solidFill>
              <w14:schemeClr w14:val="tx1"/>
            </w14:solidFill>
          </w14:textFill>
        </w:rPr>
      </w:pPr>
      <w:r>
        <w:rPr>
          <w:rFonts w:hint="eastAsia" w:ascii="Times New Roman" w:hAnsi="宋体"/>
          <w:color w:val="000000" w:themeColor="text1"/>
          <w:szCs w:val="21"/>
          <w14:textFill>
            <w14:solidFill>
              <w14:schemeClr w14:val="tx1"/>
            </w14:solidFill>
          </w14:textFill>
        </w:rPr>
        <w:t>项目</w:t>
      </w:r>
      <w:r>
        <w:rPr>
          <w:rFonts w:ascii="Times New Roman" w:hAnsi="宋体"/>
          <w:color w:val="000000" w:themeColor="text1"/>
          <w:szCs w:val="21"/>
          <w14:textFill>
            <w14:solidFill>
              <w14:schemeClr w14:val="tx1"/>
            </w14:solidFill>
          </w14:textFill>
        </w:rPr>
        <w:t>名称：</w:t>
      </w:r>
      <w:r>
        <w:rPr>
          <w:rFonts w:ascii="Times New Roman" w:hAnsi="Times New Roman"/>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项目编号：</w:t>
      </w:r>
      <w:r>
        <w:rPr>
          <w:rFonts w:hint="eastAsia" w:ascii="Times New Roman" w:hAnsi="宋体"/>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 xml:space="preserve">          </w:t>
      </w:r>
      <w:r>
        <w:rPr>
          <w:rFonts w:hint="eastAsia" w:ascii="Times New Roman" w:hAnsi="宋体"/>
          <w:color w:val="000000" w:themeColor="text1"/>
          <w:szCs w:val="21"/>
          <w14:textFill>
            <w14:solidFill>
              <w14:schemeClr w14:val="tx1"/>
            </w14:solidFill>
          </w14:textFill>
        </w:rPr>
        <w:t>包号：</w:t>
      </w:r>
    </w:p>
    <w:tbl>
      <w:tblPr>
        <w:tblStyle w:val="51"/>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序号</w:t>
            </w:r>
          </w:p>
        </w:tc>
        <w:tc>
          <w:tcPr>
            <w:tcW w:w="116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姓名</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性别</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年龄</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学历</w:t>
            </w:r>
          </w:p>
        </w:tc>
        <w:tc>
          <w:tcPr>
            <w:tcW w:w="164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资格/职称证书/退伍或复员证</w:t>
            </w:r>
          </w:p>
        </w:tc>
        <w:tc>
          <w:tcPr>
            <w:tcW w:w="1134"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拟任职务</w:t>
            </w:r>
          </w:p>
        </w:tc>
        <w:tc>
          <w:tcPr>
            <w:tcW w:w="193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从事本行业年限</w:t>
            </w:r>
          </w:p>
        </w:tc>
        <w:tc>
          <w:tcPr>
            <w:tcW w:w="947" w:type="dxa"/>
            <w:vAlign w:val="center"/>
          </w:tcPr>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bl>
    <w:p>
      <w:pPr>
        <w:spacing w:line="360" w:lineRule="auto"/>
        <w:ind w:left="735" w:hanging="735" w:hangingChars="3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注：</w:t>
      </w:r>
      <w:r>
        <w:rPr>
          <w:rFonts w:hint="eastAsia" w:hAnsi="宋体"/>
          <w:color w:val="000000" w:themeColor="text1"/>
          <w:szCs w:val="21"/>
          <w:lang w:val="zh-CN"/>
          <w14:textFill>
            <w14:solidFill>
              <w14:schemeClr w14:val="tx1"/>
            </w14:solidFill>
          </w14:textFill>
        </w:rPr>
        <w:t>1）</w:t>
      </w:r>
      <w:r>
        <w:rPr>
          <w:rFonts w:hint="eastAsia" w:hAnsi="宋体"/>
          <w:color w:val="000000" w:themeColor="text1"/>
          <w:szCs w:val="21"/>
          <w14:textFill>
            <w14:solidFill>
              <w14:schemeClr w14:val="tx1"/>
            </w14:solidFill>
          </w14:textFill>
        </w:rPr>
        <w:t>所提供的人员资料须按评分标准中所列要求提供证明资料，若未按上述要求提供证明材料的人员，或所附材料无法证明符合评分要求的人员，在评标时将不予考虑。</w:t>
      </w:r>
    </w:p>
    <w:p>
      <w:pPr>
        <w:spacing w:line="360" w:lineRule="auto"/>
        <w:ind w:left="685" w:leftChars="226" w:hanging="210" w:hanging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zh-CN"/>
          <w14:textFill>
            <w14:solidFill>
              <w14:schemeClr w14:val="tx1"/>
            </w14:solidFill>
          </w14:textFill>
        </w:rPr>
        <w:t>如被发现虚假将取消中标资格。</w:t>
      </w:r>
    </w:p>
    <w:p>
      <w:pPr>
        <w:spacing w:line="360" w:lineRule="auto"/>
        <w:rPr>
          <w:rFonts w:hAnsi="宋体"/>
          <w:color w:val="000000" w:themeColor="text1"/>
          <w:szCs w:val="21"/>
          <w14:textFill>
            <w14:solidFill>
              <w14:schemeClr w14:val="tx1"/>
            </w14:solidFill>
          </w14:textFill>
        </w:rPr>
      </w:pPr>
    </w:p>
    <w:p>
      <w:pPr>
        <w:pStyle w:val="69"/>
        <w:spacing w:before="624" w:beforeLines="200" w:line="480" w:lineRule="auto"/>
        <w:ind w:firstLine="4830" w:firstLineChars="23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4830" w:firstLineChars="23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spacing w:line="360" w:lineRule="auto"/>
        <w:jc w:val="center"/>
        <w:rPr>
          <w:rFonts w:ascii="宋体" w:hAnsi="宋体"/>
          <w:b/>
          <w:color w:val="000000" w:themeColor="text1"/>
          <w:sz w:val="22"/>
          <w:szCs w:val="22"/>
          <w14:textFill>
            <w14:solidFill>
              <w14:schemeClr w14:val="tx1"/>
            </w14:solidFill>
          </w14:textFill>
        </w:rPr>
      </w:pPr>
      <w:r>
        <w:rPr>
          <w:rFonts w:hAnsi="宋体"/>
          <w:b/>
          <w:color w:val="000000" w:themeColor="text1"/>
          <w:sz w:val="30"/>
          <w:szCs w:val="30"/>
          <w14:textFill>
            <w14:solidFill>
              <w14:schemeClr w14:val="tx1"/>
            </w14:solidFill>
          </w14:textFill>
        </w:rPr>
        <w:br w:type="page"/>
      </w:r>
      <w:r>
        <w:rPr>
          <w:rFonts w:hint="eastAsia" w:ascii="宋体" w:hAnsi="宋体"/>
          <w:b/>
          <w:color w:val="000000" w:themeColor="text1"/>
          <w:sz w:val="22"/>
          <w:szCs w:val="22"/>
          <w14:textFill>
            <w14:solidFill>
              <w14:schemeClr w14:val="tx1"/>
            </w14:solidFill>
          </w14:textFill>
        </w:rPr>
        <w:t>10-2 拟投入本项目的服务人员情况表</w:t>
      </w:r>
    </w:p>
    <w:p>
      <w:pPr>
        <w:spacing w:line="360" w:lineRule="auto"/>
        <w:rPr>
          <w:rFonts w:ascii="Times New Roman" w:hAnsi="Times New Roman"/>
          <w:color w:val="000000" w:themeColor="text1"/>
          <w:szCs w:val="21"/>
          <w:u w:val="single"/>
          <w14:textFill>
            <w14:solidFill>
              <w14:schemeClr w14:val="tx1"/>
            </w14:solidFill>
          </w14:textFill>
        </w:rPr>
      </w:pPr>
      <w:r>
        <w:rPr>
          <w:rFonts w:hint="eastAsia" w:ascii="Times New Roman" w:hAnsi="宋体"/>
          <w:color w:val="000000" w:themeColor="text1"/>
          <w:szCs w:val="21"/>
          <w14:textFill>
            <w14:solidFill>
              <w14:schemeClr w14:val="tx1"/>
            </w14:solidFill>
          </w14:textFill>
        </w:rPr>
        <w:t>项目</w:t>
      </w:r>
      <w:r>
        <w:rPr>
          <w:rFonts w:ascii="Times New Roman" w:hAnsi="宋体"/>
          <w:color w:val="000000" w:themeColor="text1"/>
          <w:szCs w:val="21"/>
          <w14:textFill>
            <w14:solidFill>
              <w14:schemeClr w14:val="tx1"/>
            </w14:solidFill>
          </w14:textFill>
        </w:rPr>
        <w:t>名称：</w:t>
      </w:r>
      <w:r>
        <w:rPr>
          <w:rFonts w:ascii="Times New Roman" w:hAnsi="Times New Roman"/>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项目编号：</w:t>
      </w:r>
      <w:r>
        <w:rPr>
          <w:rFonts w:hint="eastAsia" w:ascii="Times New Roman" w:hAnsi="宋体"/>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 xml:space="preserve">          </w:t>
      </w:r>
      <w:r>
        <w:rPr>
          <w:rFonts w:hint="eastAsia" w:ascii="Times New Roman" w:hAnsi="宋体"/>
          <w:color w:val="000000" w:themeColor="text1"/>
          <w:szCs w:val="21"/>
          <w14:textFill>
            <w14:solidFill>
              <w14:schemeClr w14:val="tx1"/>
            </w14:solidFill>
          </w14:textFill>
        </w:rPr>
        <w:t>包号：</w:t>
      </w:r>
    </w:p>
    <w:tbl>
      <w:tblPr>
        <w:tblStyle w:val="51"/>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序号</w:t>
            </w:r>
          </w:p>
        </w:tc>
        <w:tc>
          <w:tcPr>
            <w:tcW w:w="116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姓名</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性别</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年龄</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学历</w:t>
            </w:r>
          </w:p>
        </w:tc>
        <w:tc>
          <w:tcPr>
            <w:tcW w:w="164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资格/职称证书/退伍或复员证</w:t>
            </w:r>
          </w:p>
        </w:tc>
        <w:tc>
          <w:tcPr>
            <w:tcW w:w="1134"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拟任职务</w:t>
            </w:r>
          </w:p>
        </w:tc>
        <w:tc>
          <w:tcPr>
            <w:tcW w:w="193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从事本行业年限</w:t>
            </w:r>
          </w:p>
        </w:tc>
        <w:tc>
          <w:tcPr>
            <w:tcW w:w="947" w:type="dxa"/>
            <w:vAlign w:val="center"/>
          </w:tcPr>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bl>
    <w:p>
      <w:pPr>
        <w:spacing w:line="360" w:lineRule="auto"/>
        <w:ind w:left="735" w:hanging="735" w:hangingChars="3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注：</w:t>
      </w:r>
      <w:r>
        <w:rPr>
          <w:rFonts w:hint="eastAsia" w:hAnsi="宋体"/>
          <w:color w:val="000000" w:themeColor="text1"/>
          <w:szCs w:val="21"/>
          <w:lang w:val="zh-CN"/>
          <w14:textFill>
            <w14:solidFill>
              <w14:schemeClr w14:val="tx1"/>
            </w14:solidFill>
          </w14:textFill>
        </w:rPr>
        <w:t>1）</w:t>
      </w:r>
      <w:r>
        <w:rPr>
          <w:rFonts w:hint="eastAsia" w:hAnsi="宋体"/>
          <w:color w:val="000000" w:themeColor="text1"/>
          <w:szCs w:val="21"/>
          <w14:textFill>
            <w14:solidFill>
              <w14:schemeClr w14:val="tx1"/>
            </w14:solidFill>
          </w14:textFill>
        </w:rPr>
        <w:t>所提供的人员资料须按评分标准中所列要求提供证明资料，若未按上述要求提供证明材料的人员，或所附材料无法证明符合评分要求的人员，在评标时将不予考虑。</w:t>
      </w:r>
    </w:p>
    <w:p>
      <w:pPr>
        <w:spacing w:line="360" w:lineRule="auto"/>
        <w:ind w:left="685" w:leftChars="226" w:hanging="210" w:hanging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zh-CN"/>
          <w14:textFill>
            <w14:solidFill>
              <w14:schemeClr w14:val="tx1"/>
            </w14:solidFill>
          </w14:textFill>
        </w:rPr>
        <w:t>如被发现虚假将取消中标资格。</w:t>
      </w:r>
    </w:p>
    <w:p>
      <w:pPr>
        <w:spacing w:line="360" w:lineRule="auto"/>
        <w:rPr>
          <w:rFonts w:hAnsi="宋体"/>
          <w:color w:val="000000" w:themeColor="text1"/>
          <w:szCs w:val="21"/>
          <w14:textFill>
            <w14:solidFill>
              <w14:schemeClr w14:val="tx1"/>
            </w14:solidFill>
          </w14:textFill>
        </w:rPr>
      </w:pPr>
    </w:p>
    <w:p>
      <w:pPr>
        <w:pStyle w:val="69"/>
        <w:spacing w:before="624" w:beforeLines="200" w:line="480" w:lineRule="auto"/>
        <w:ind w:firstLine="4620" w:firstLineChars="22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4620" w:firstLineChars="22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6" w:type="first"/>
          <w:headerReference r:id="rId5" w:type="default"/>
          <w:footerReference r:id="rId7" w:type="default"/>
          <w:pgSz w:w="11906" w:h="16838"/>
          <w:pgMar w:top="1327" w:right="1440" w:bottom="1327" w:left="1440" w:header="851" w:footer="992" w:gutter="0"/>
          <w:cols w:space="720" w:num="1"/>
          <w:titlePg/>
          <w:docGrid w:type="lines" w:linePitch="312" w:charSpace="0"/>
        </w:sectPr>
      </w:pPr>
      <w:bookmarkStart w:id="314" w:name="_Toc441844127"/>
      <w:bookmarkStart w:id="315" w:name="_Toc439325723"/>
    </w:p>
    <w:bookmarkEnd w:id="314"/>
    <w:bookmarkEnd w:id="315"/>
    <w:p>
      <w:pPr>
        <w:pStyle w:val="5"/>
        <w:jc w:val="center"/>
        <w:rPr>
          <w:rFonts w:ascii="Times New Roman" w:hAnsi="Times New Roman"/>
          <w:color w:val="000000" w:themeColor="text1"/>
          <w:sz w:val="24"/>
          <w14:textFill>
            <w14:solidFill>
              <w14:schemeClr w14:val="tx1"/>
            </w14:solidFill>
          </w14:textFill>
        </w:rPr>
      </w:pPr>
      <w:bookmarkStart w:id="316" w:name="_Toc441844128"/>
      <w:bookmarkStart w:id="317" w:name="_Toc93505809"/>
      <w:bookmarkStart w:id="318" w:name="_Toc439325724"/>
      <w:bookmarkStart w:id="319" w:name="_Toc21360"/>
      <w:r>
        <w:rPr>
          <w:rFonts w:ascii="Times New Roman" w:hAnsi="Times New Roman"/>
          <w:color w:val="000000" w:themeColor="text1"/>
          <w:sz w:val="24"/>
          <w14:textFill>
            <w14:solidFill>
              <w14:schemeClr w14:val="tx1"/>
            </w14:solidFill>
          </w14:textFill>
        </w:rPr>
        <w:t>11、投标方案</w:t>
      </w:r>
      <w:bookmarkEnd w:id="316"/>
      <w:bookmarkEnd w:id="317"/>
      <w:bookmarkEnd w:id="318"/>
      <w:bookmarkEnd w:id="319"/>
    </w:p>
    <w:p>
      <w:pPr>
        <w:spacing w:line="360" w:lineRule="auto"/>
        <w:ind w:firstLine="442" w:firstLineChars="200"/>
        <w:rPr>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投标人应编制详细、完整的</w:t>
      </w:r>
      <w:r>
        <w:rPr>
          <w:rFonts w:hint="eastAsia" w:ascii="宋体" w:hAnsi="宋体"/>
          <w:b/>
          <w:color w:val="000000" w:themeColor="text1"/>
          <w:sz w:val="22"/>
          <w:szCs w:val="22"/>
          <w14:textFill>
            <w14:solidFill>
              <w14:schemeClr w14:val="tx1"/>
            </w14:solidFill>
          </w14:textFill>
        </w:rPr>
        <w:t>供货或</w:t>
      </w:r>
      <w:r>
        <w:rPr>
          <w:rFonts w:ascii="宋体" w:hAnsi="宋体"/>
          <w:b/>
          <w:color w:val="000000" w:themeColor="text1"/>
          <w:sz w:val="22"/>
          <w:szCs w:val="22"/>
          <w14:textFill>
            <w14:solidFill>
              <w14:schemeClr w14:val="tx1"/>
            </w14:solidFill>
          </w14:textFill>
        </w:rPr>
        <w:t>服务方案</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该方案应满足或高于招标文件要求，具体内</w:t>
      </w:r>
      <w:r>
        <w:rPr>
          <w:rFonts w:hint="eastAsia" w:ascii="宋体" w:hAnsi="宋体"/>
          <w:b/>
          <w:color w:val="000000" w:themeColor="text1"/>
          <w:sz w:val="22"/>
          <w:szCs w:val="22"/>
          <w14:textFill>
            <w14:solidFill>
              <w14:schemeClr w14:val="tx1"/>
            </w14:solidFill>
          </w14:textFill>
        </w:rPr>
        <w:t>容包括不限于本项目招标文件评分标准中所列内容。</w:t>
      </w:r>
      <w:r>
        <w:rPr>
          <w:rFonts w:hint="eastAsia"/>
          <w:b/>
          <w:color w:val="000000" w:themeColor="text1"/>
          <w:sz w:val="22"/>
          <w:szCs w:val="22"/>
          <w14:textFill>
            <w14:solidFill>
              <w14:schemeClr w14:val="tx1"/>
            </w14:solidFill>
          </w14:textFill>
        </w:rPr>
        <w:t>投标人应尽可能提供详细说明，以便评委会对投标方案有详细了解。</w:t>
      </w:r>
    </w:p>
    <w:p>
      <w:pPr>
        <w:spacing w:line="360" w:lineRule="auto"/>
        <w:ind w:left="691" w:leftChars="59" w:hanging="567" w:hangingChars="270"/>
        <w:rPr>
          <w:rFonts w:ascii="宋体"/>
          <w:color w:val="000000" w:themeColor="text1"/>
          <w:sz w:val="22"/>
          <w:szCs w:val="22"/>
          <w14:textFill>
            <w14:solidFill>
              <w14:schemeClr w14:val="tx1"/>
            </w14:solidFill>
          </w14:textFill>
        </w:rPr>
      </w:pPr>
      <w:r>
        <w:rPr>
          <w:rFonts w:ascii="宋体"/>
          <w:color w:val="000000" w:themeColor="text1"/>
          <w14:textFill>
            <w14:solidFill>
              <w14:schemeClr w14:val="tx1"/>
            </w14:solidFill>
          </w14:textFill>
        </w:rPr>
        <w:br w:type="page"/>
      </w:r>
    </w:p>
    <w:p>
      <w:pPr>
        <w:pStyle w:val="5"/>
        <w:jc w:val="center"/>
        <w:rPr>
          <w:rFonts w:ascii="Times New Roman" w:hAnsi="Times New Roman"/>
          <w:color w:val="000000" w:themeColor="text1"/>
          <w:sz w:val="22"/>
          <w:szCs w:val="22"/>
          <w14:textFill>
            <w14:solidFill>
              <w14:schemeClr w14:val="tx1"/>
            </w14:solidFill>
          </w14:textFill>
        </w:rPr>
      </w:pPr>
      <w:bookmarkStart w:id="320" w:name="_Toc93505810"/>
      <w:bookmarkStart w:id="321" w:name="_Toc439325725"/>
      <w:bookmarkStart w:id="322" w:name="_Toc29448"/>
      <w:bookmarkStart w:id="323" w:name="_Toc441844129"/>
      <w:r>
        <w:rPr>
          <w:rFonts w:ascii="Times New Roman" w:hAnsi="Times New Roman"/>
          <w:color w:val="000000" w:themeColor="text1"/>
          <w:sz w:val="22"/>
          <w:szCs w:val="22"/>
          <w14:textFill>
            <w14:solidFill>
              <w14:schemeClr w14:val="tx1"/>
            </w14:solidFill>
          </w14:textFill>
        </w:rPr>
        <w:t>12、</w:t>
      </w:r>
      <w:r>
        <w:rPr>
          <w:rFonts w:hint="eastAsia" w:ascii="Times New Roman" w:hAnsi="Times New Roman"/>
          <w:color w:val="000000" w:themeColor="text1"/>
          <w:sz w:val="22"/>
          <w:szCs w:val="22"/>
          <w14:textFill>
            <w14:solidFill>
              <w14:schemeClr w14:val="tx1"/>
            </w14:solidFill>
          </w14:textFill>
        </w:rPr>
        <w:t>用户需求</w:t>
      </w:r>
      <w:r>
        <w:rPr>
          <w:rFonts w:ascii="Times New Roman" w:hAnsi="Times New Roman"/>
          <w:color w:val="000000" w:themeColor="text1"/>
          <w:sz w:val="22"/>
          <w:szCs w:val="22"/>
          <w14:textFill>
            <w14:solidFill>
              <w14:schemeClr w14:val="tx1"/>
            </w14:solidFill>
          </w14:textFill>
        </w:rPr>
        <w:t>偏离表</w:t>
      </w:r>
      <w:bookmarkEnd w:id="320"/>
      <w:bookmarkEnd w:id="321"/>
      <w:bookmarkEnd w:id="322"/>
      <w:bookmarkEnd w:id="323"/>
    </w:p>
    <w:p>
      <w:pPr>
        <w:spacing w:line="560" w:lineRule="exact"/>
        <w:rPr>
          <w:rFonts w:ascii="宋体" w:hAns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项目名称：</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项目编号：</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包号：</w:t>
      </w:r>
    </w:p>
    <w:tbl>
      <w:tblPr>
        <w:tblStyle w:val="51"/>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15"/>
        <w:gridCol w:w="2126"/>
        <w:gridCol w:w="1462"/>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Merge w:val="restar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序号</w:t>
            </w:r>
          </w:p>
        </w:tc>
        <w:tc>
          <w:tcPr>
            <w:tcW w:w="3241" w:type="dxa"/>
            <w:gridSpan w:val="2"/>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招标文件要求</w:t>
            </w:r>
          </w:p>
        </w:tc>
        <w:tc>
          <w:tcPr>
            <w:tcW w:w="5148" w:type="dxa"/>
            <w:gridSpan w:val="3"/>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Merge w:val="continue"/>
            <w:vAlign w:val="center"/>
          </w:tcPr>
          <w:p>
            <w:pPr>
              <w:spacing w:line="400" w:lineRule="exact"/>
              <w:jc w:val="center"/>
              <w:rPr>
                <w:rFonts w:hAnsi="宋体"/>
                <w:color w:val="000000" w:themeColor="text1"/>
                <w:szCs w:val="21"/>
                <w14:textFill>
                  <w14:solidFill>
                    <w14:schemeClr w14:val="tx1"/>
                  </w14:solidFill>
                </w14:textFill>
              </w:rPr>
            </w:pPr>
          </w:p>
        </w:tc>
        <w:tc>
          <w:tcPr>
            <w:tcW w:w="1115" w:type="dxa"/>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条款号</w:t>
            </w:r>
          </w:p>
        </w:tc>
        <w:tc>
          <w:tcPr>
            <w:tcW w:w="2126" w:type="dxa"/>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简要内容</w:t>
            </w:r>
          </w:p>
        </w:tc>
        <w:tc>
          <w:tcPr>
            <w:tcW w:w="1462" w:type="dxa"/>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偏离情况</w:t>
            </w:r>
          </w:p>
        </w:tc>
        <w:tc>
          <w:tcPr>
            <w:tcW w:w="2410" w:type="dxa"/>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具体偏离内容</w:t>
            </w:r>
          </w:p>
        </w:tc>
        <w:tc>
          <w:tcPr>
            <w:tcW w:w="1276" w:type="dxa"/>
          </w:tcPr>
          <w:p>
            <w:pPr>
              <w:spacing w:line="400" w:lineRule="exact"/>
              <w:jc w:val="center"/>
              <w:rPr>
                <w:rFonts w:hAnsi="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对应证明材料页码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836" w:type="dxa"/>
            <w:vAlign w:val="center"/>
          </w:tcPr>
          <w:p>
            <w:pPr>
              <w:spacing w:line="360" w:lineRule="auto"/>
              <w:jc w:val="center"/>
              <w:rPr>
                <w:rFonts w:hAnsi="宋体"/>
                <w:color w:val="000000" w:themeColor="text1"/>
                <w:szCs w:val="21"/>
                <w14:textFill>
                  <w14:solidFill>
                    <w14:schemeClr w14:val="tx1"/>
                  </w14:solidFill>
                </w14:textFill>
              </w:rPr>
            </w:pPr>
          </w:p>
        </w:tc>
        <w:tc>
          <w:tcPr>
            <w:tcW w:w="1115" w:type="dxa"/>
            <w:vAlign w:val="center"/>
          </w:tcPr>
          <w:p>
            <w:pPr>
              <w:spacing w:line="360" w:lineRule="auto"/>
              <w:jc w:val="center"/>
              <w:rPr>
                <w:rFonts w:hAnsi="宋体"/>
                <w:color w:val="000000" w:themeColor="text1"/>
                <w:szCs w:val="21"/>
                <w14:textFill>
                  <w14:solidFill>
                    <w14:schemeClr w14:val="tx1"/>
                  </w14:solidFill>
                </w14:textFill>
              </w:rPr>
            </w:pPr>
          </w:p>
        </w:tc>
        <w:tc>
          <w:tcPr>
            <w:tcW w:w="2126" w:type="dxa"/>
            <w:vAlign w:val="center"/>
          </w:tcPr>
          <w:p>
            <w:pPr>
              <w:spacing w:line="400" w:lineRule="exact"/>
              <w:jc w:val="center"/>
              <w:rPr>
                <w:rFonts w:hAnsi="宋体"/>
                <w:color w:val="000000" w:themeColor="text1"/>
                <w:szCs w:val="21"/>
                <w14:textFill>
                  <w14:solidFill>
                    <w14:schemeClr w14:val="tx1"/>
                  </w14:solidFill>
                </w14:textFill>
              </w:rPr>
            </w:pPr>
          </w:p>
        </w:tc>
        <w:tc>
          <w:tcPr>
            <w:tcW w:w="1462" w:type="dxa"/>
            <w:vAlign w:val="center"/>
          </w:tcPr>
          <w:p>
            <w:pPr>
              <w:spacing w:line="360" w:lineRule="auto"/>
              <w:jc w:val="center"/>
              <w:rPr>
                <w:rFonts w:hAnsi="宋体"/>
                <w:color w:val="000000" w:themeColor="text1"/>
                <w:szCs w:val="21"/>
                <w14:textFill>
                  <w14:solidFill>
                    <w14:schemeClr w14:val="tx1"/>
                  </w14:solidFill>
                </w14:textFill>
              </w:rPr>
            </w:pPr>
          </w:p>
        </w:tc>
        <w:tc>
          <w:tcPr>
            <w:tcW w:w="2410" w:type="dxa"/>
            <w:vAlign w:val="center"/>
          </w:tcPr>
          <w:p>
            <w:pPr>
              <w:spacing w:line="360" w:lineRule="auto"/>
              <w:jc w:val="center"/>
              <w:rPr>
                <w:rFonts w:hAnsi="宋体"/>
                <w:color w:val="000000" w:themeColor="text1"/>
                <w:szCs w:val="21"/>
                <w14:textFill>
                  <w14:solidFill>
                    <w14:schemeClr w14:val="tx1"/>
                  </w14:solidFill>
                </w14:textFill>
              </w:rPr>
            </w:pPr>
          </w:p>
        </w:tc>
        <w:tc>
          <w:tcPr>
            <w:tcW w:w="1276"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color w:val="000000" w:themeColor="text1"/>
                <w:szCs w:val="21"/>
                <w14:textFill>
                  <w14:solidFill>
                    <w14:schemeClr w14:val="tx1"/>
                  </w14:solidFill>
                </w14:textFill>
              </w:rPr>
            </w:pPr>
          </w:p>
        </w:tc>
        <w:tc>
          <w:tcPr>
            <w:tcW w:w="1115" w:type="dxa"/>
            <w:vAlign w:val="center"/>
          </w:tcPr>
          <w:p>
            <w:pPr>
              <w:spacing w:line="360" w:lineRule="auto"/>
              <w:jc w:val="center"/>
              <w:rPr>
                <w:rFonts w:hAnsi="宋体"/>
                <w:color w:val="000000" w:themeColor="text1"/>
                <w:szCs w:val="21"/>
                <w14:textFill>
                  <w14:solidFill>
                    <w14:schemeClr w14:val="tx1"/>
                  </w14:solidFill>
                </w14:textFill>
              </w:rPr>
            </w:pPr>
          </w:p>
        </w:tc>
        <w:tc>
          <w:tcPr>
            <w:tcW w:w="2126" w:type="dxa"/>
            <w:vAlign w:val="center"/>
          </w:tcPr>
          <w:p>
            <w:pPr>
              <w:spacing w:line="400" w:lineRule="exact"/>
              <w:jc w:val="center"/>
              <w:rPr>
                <w:rFonts w:hAnsi="宋体"/>
                <w:color w:val="000000" w:themeColor="text1"/>
                <w:szCs w:val="21"/>
                <w14:textFill>
                  <w14:solidFill>
                    <w14:schemeClr w14:val="tx1"/>
                  </w14:solidFill>
                </w14:textFill>
              </w:rPr>
            </w:pPr>
          </w:p>
        </w:tc>
        <w:tc>
          <w:tcPr>
            <w:tcW w:w="1462" w:type="dxa"/>
            <w:vAlign w:val="center"/>
          </w:tcPr>
          <w:p>
            <w:pPr>
              <w:spacing w:line="360" w:lineRule="auto"/>
              <w:jc w:val="center"/>
              <w:rPr>
                <w:rFonts w:hAnsi="宋体"/>
                <w:color w:val="000000" w:themeColor="text1"/>
                <w:szCs w:val="21"/>
                <w14:textFill>
                  <w14:solidFill>
                    <w14:schemeClr w14:val="tx1"/>
                  </w14:solidFill>
                </w14:textFill>
              </w:rPr>
            </w:pPr>
          </w:p>
        </w:tc>
        <w:tc>
          <w:tcPr>
            <w:tcW w:w="2410" w:type="dxa"/>
            <w:vAlign w:val="center"/>
          </w:tcPr>
          <w:p>
            <w:pPr>
              <w:spacing w:line="360" w:lineRule="auto"/>
              <w:jc w:val="center"/>
              <w:rPr>
                <w:rFonts w:hAnsi="宋体"/>
                <w:color w:val="000000" w:themeColor="text1"/>
                <w:szCs w:val="21"/>
                <w14:textFill>
                  <w14:solidFill>
                    <w14:schemeClr w14:val="tx1"/>
                  </w14:solidFill>
                </w14:textFill>
              </w:rPr>
            </w:pPr>
          </w:p>
        </w:tc>
        <w:tc>
          <w:tcPr>
            <w:tcW w:w="1276"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color w:val="000000" w:themeColor="text1"/>
                <w:szCs w:val="21"/>
                <w14:textFill>
                  <w14:solidFill>
                    <w14:schemeClr w14:val="tx1"/>
                  </w14:solidFill>
                </w14:textFill>
              </w:rPr>
            </w:pPr>
          </w:p>
        </w:tc>
        <w:tc>
          <w:tcPr>
            <w:tcW w:w="1115" w:type="dxa"/>
            <w:vAlign w:val="center"/>
          </w:tcPr>
          <w:p>
            <w:pPr>
              <w:spacing w:line="360" w:lineRule="auto"/>
              <w:jc w:val="center"/>
              <w:rPr>
                <w:rFonts w:hAnsi="宋体"/>
                <w:color w:val="000000" w:themeColor="text1"/>
                <w:szCs w:val="21"/>
                <w14:textFill>
                  <w14:solidFill>
                    <w14:schemeClr w14:val="tx1"/>
                  </w14:solidFill>
                </w14:textFill>
              </w:rPr>
            </w:pPr>
          </w:p>
        </w:tc>
        <w:tc>
          <w:tcPr>
            <w:tcW w:w="2126" w:type="dxa"/>
            <w:vAlign w:val="center"/>
          </w:tcPr>
          <w:p>
            <w:pPr>
              <w:spacing w:line="400" w:lineRule="exact"/>
              <w:jc w:val="center"/>
              <w:rPr>
                <w:rFonts w:hAnsi="宋体"/>
                <w:color w:val="000000" w:themeColor="text1"/>
                <w:szCs w:val="21"/>
                <w14:textFill>
                  <w14:solidFill>
                    <w14:schemeClr w14:val="tx1"/>
                  </w14:solidFill>
                </w14:textFill>
              </w:rPr>
            </w:pPr>
          </w:p>
        </w:tc>
        <w:tc>
          <w:tcPr>
            <w:tcW w:w="1462" w:type="dxa"/>
            <w:vAlign w:val="center"/>
          </w:tcPr>
          <w:p>
            <w:pPr>
              <w:spacing w:line="360" w:lineRule="auto"/>
              <w:jc w:val="center"/>
              <w:rPr>
                <w:rFonts w:hAnsi="宋体"/>
                <w:color w:val="000000" w:themeColor="text1"/>
                <w:szCs w:val="21"/>
                <w14:textFill>
                  <w14:solidFill>
                    <w14:schemeClr w14:val="tx1"/>
                  </w14:solidFill>
                </w14:textFill>
              </w:rPr>
            </w:pPr>
          </w:p>
        </w:tc>
        <w:tc>
          <w:tcPr>
            <w:tcW w:w="2410" w:type="dxa"/>
            <w:vAlign w:val="center"/>
          </w:tcPr>
          <w:p>
            <w:pPr>
              <w:spacing w:line="360" w:lineRule="auto"/>
              <w:jc w:val="center"/>
              <w:rPr>
                <w:rFonts w:hAnsi="宋体"/>
                <w:color w:val="000000" w:themeColor="text1"/>
                <w:szCs w:val="21"/>
                <w14:textFill>
                  <w14:solidFill>
                    <w14:schemeClr w14:val="tx1"/>
                  </w14:solidFill>
                </w14:textFill>
              </w:rPr>
            </w:pPr>
          </w:p>
        </w:tc>
        <w:tc>
          <w:tcPr>
            <w:tcW w:w="1276"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color w:val="000000" w:themeColor="text1"/>
                <w:szCs w:val="21"/>
                <w14:textFill>
                  <w14:solidFill>
                    <w14:schemeClr w14:val="tx1"/>
                  </w14:solidFill>
                </w14:textFill>
              </w:rPr>
            </w:pPr>
          </w:p>
        </w:tc>
        <w:tc>
          <w:tcPr>
            <w:tcW w:w="1115" w:type="dxa"/>
            <w:vAlign w:val="center"/>
          </w:tcPr>
          <w:p>
            <w:pPr>
              <w:spacing w:line="360" w:lineRule="auto"/>
              <w:jc w:val="center"/>
              <w:rPr>
                <w:rFonts w:hAnsi="宋体"/>
                <w:color w:val="000000" w:themeColor="text1"/>
                <w:szCs w:val="21"/>
                <w14:textFill>
                  <w14:solidFill>
                    <w14:schemeClr w14:val="tx1"/>
                  </w14:solidFill>
                </w14:textFill>
              </w:rPr>
            </w:pPr>
          </w:p>
        </w:tc>
        <w:tc>
          <w:tcPr>
            <w:tcW w:w="2126" w:type="dxa"/>
            <w:vAlign w:val="center"/>
          </w:tcPr>
          <w:p>
            <w:pPr>
              <w:spacing w:line="400" w:lineRule="exact"/>
              <w:jc w:val="center"/>
              <w:rPr>
                <w:rFonts w:hAnsi="宋体"/>
                <w:color w:val="000000" w:themeColor="text1"/>
                <w:szCs w:val="21"/>
                <w14:textFill>
                  <w14:solidFill>
                    <w14:schemeClr w14:val="tx1"/>
                  </w14:solidFill>
                </w14:textFill>
              </w:rPr>
            </w:pPr>
          </w:p>
        </w:tc>
        <w:tc>
          <w:tcPr>
            <w:tcW w:w="1462" w:type="dxa"/>
            <w:vAlign w:val="center"/>
          </w:tcPr>
          <w:p>
            <w:pPr>
              <w:spacing w:line="360" w:lineRule="auto"/>
              <w:jc w:val="center"/>
              <w:rPr>
                <w:rFonts w:hAnsi="宋体"/>
                <w:color w:val="000000" w:themeColor="text1"/>
                <w:szCs w:val="21"/>
                <w14:textFill>
                  <w14:solidFill>
                    <w14:schemeClr w14:val="tx1"/>
                  </w14:solidFill>
                </w14:textFill>
              </w:rPr>
            </w:pPr>
          </w:p>
        </w:tc>
        <w:tc>
          <w:tcPr>
            <w:tcW w:w="2410" w:type="dxa"/>
            <w:vAlign w:val="center"/>
          </w:tcPr>
          <w:p>
            <w:pPr>
              <w:spacing w:line="360" w:lineRule="auto"/>
              <w:jc w:val="center"/>
              <w:rPr>
                <w:rFonts w:hAnsi="宋体"/>
                <w:color w:val="000000" w:themeColor="text1"/>
                <w:szCs w:val="21"/>
                <w14:textFill>
                  <w14:solidFill>
                    <w14:schemeClr w14:val="tx1"/>
                  </w14:solidFill>
                </w14:textFill>
              </w:rPr>
            </w:pPr>
          </w:p>
        </w:tc>
        <w:tc>
          <w:tcPr>
            <w:tcW w:w="1276" w:type="dxa"/>
            <w:vAlign w:val="center"/>
          </w:tcPr>
          <w:p>
            <w:pPr>
              <w:spacing w:line="360" w:lineRule="auto"/>
              <w:jc w:val="center"/>
              <w:rPr>
                <w:rFonts w:hAnsi="宋体"/>
                <w:color w:val="000000" w:themeColor="text1"/>
                <w:szCs w:val="21"/>
                <w14:textFill>
                  <w14:solidFill>
                    <w14:schemeClr w14:val="tx1"/>
                  </w14:solidFill>
                </w14:textFill>
              </w:rPr>
            </w:pPr>
          </w:p>
        </w:tc>
      </w:tr>
    </w:tbl>
    <w:p>
      <w:pPr>
        <w:spacing w:line="360" w:lineRule="auto"/>
        <w:ind w:left="1047" w:leftChars="132" w:hanging="770" w:hangingChars="3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备注：</w:t>
      </w:r>
    </w:p>
    <w:p>
      <w:pPr>
        <w:spacing w:line="360" w:lineRule="auto"/>
        <w:ind w:left="718" w:leftChars="59" w:hanging="594" w:hangingChars="27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w:t>
      </w:r>
      <w:r>
        <w:rPr>
          <w:rFonts w:hint="eastAsia" w:ascii="宋体" w:hAnsi="宋体"/>
          <w:b/>
          <w:color w:val="000000" w:themeColor="text1"/>
          <w:sz w:val="22"/>
          <w:szCs w:val="22"/>
          <w:u w:val="single"/>
          <w14:textFill>
            <w14:solidFill>
              <w14:schemeClr w14:val="tx1"/>
            </w14:solidFill>
          </w14:textFill>
        </w:rPr>
        <w:t>投标人应对照招标文件用户需求书（其中“一、项目背景”除外）的响应，逐条逐项、如实地填写“偏离情况”，若发现未填写本表，或虚假填写本表，或伪造、变造证明材料的，按无效投标文件处理</w:t>
      </w:r>
      <w:r>
        <w:rPr>
          <w:rFonts w:hint="eastAsia" w:ascii="宋体" w:hAnsi="宋体"/>
          <w:color w:val="000000" w:themeColor="text1"/>
          <w:sz w:val="22"/>
          <w:szCs w:val="22"/>
          <w14:textFill>
            <w14:solidFill>
              <w14:schemeClr w14:val="tx1"/>
            </w14:solidFill>
          </w14:textFill>
        </w:rPr>
        <w:t>。</w:t>
      </w:r>
    </w:p>
    <w:p>
      <w:pPr>
        <w:spacing w:line="360" w:lineRule="auto"/>
        <w:ind w:left="718" w:leftChars="59" w:hanging="594" w:hangingChars="27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2</w:t>
      </w:r>
      <w:r>
        <w:rPr>
          <w:rFonts w:hint="eastAsia" w:ascii="宋体" w:hAnsi="宋体"/>
          <w:color w:val="000000" w:themeColor="text1"/>
          <w:sz w:val="22"/>
          <w:szCs w:val="22"/>
          <w14:textFill>
            <w14:solidFill>
              <w14:schemeClr w14:val="tx1"/>
            </w14:solidFill>
          </w14:textFill>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pPr>
        <w:spacing w:line="360" w:lineRule="auto"/>
        <w:ind w:left="718" w:leftChars="59" w:hanging="594" w:hangingChars="270"/>
        <w:rPr>
          <w:rFonts w:ascii="宋体" w:hAnsi="宋体"/>
          <w:b/>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w:t>
      </w:r>
      <w:r>
        <w:rPr>
          <w:rFonts w:hint="eastAsia" w:ascii="宋体" w:hAnsi="宋体"/>
          <w:b/>
          <w:color w:val="000000" w:themeColor="text1"/>
          <w:sz w:val="22"/>
          <w:szCs w:val="22"/>
          <w:u w:val="single"/>
          <w14:textFill>
            <w14:solidFill>
              <w14:schemeClr w14:val="tx1"/>
            </w14:solidFill>
          </w14:textFill>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pPr>
        <w:pStyle w:val="69"/>
        <w:spacing w:line="480" w:lineRule="auto"/>
        <w:ind w:left="3969" w:leftChars="1890" w:firstLine="891" w:firstLineChars="405"/>
        <w:rPr>
          <w:rFonts w:ascii="宋体" w:eastAsia="宋体"/>
          <w:color w:val="000000" w:themeColor="text1"/>
          <w:sz w:val="22"/>
          <w:szCs w:val="22"/>
          <w:u w:val="single"/>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 xml:space="preserve">投标人名称（加盖公章）： </w:t>
      </w:r>
      <w:r>
        <w:rPr>
          <w:rFonts w:hint="eastAsia" w:ascii="宋体" w:eastAsia="宋体"/>
          <w:color w:val="000000" w:themeColor="text1"/>
          <w:sz w:val="22"/>
          <w:szCs w:val="22"/>
          <w:u w:val="single"/>
          <w14:textFill>
            <w14:solidFill>
              <w14:schemeClr w14:val="tx1"/>
            </w14:solidFill>
          </w14:textFill>
        </w:rPr>
        <w:t xml:space="preserve">                </w:t>
      </w:r>
    </w:p>
    <w:p>
      <w:pPr>
        <w:pStyle w:val="69"/>
        <w:spacing w:line="480" w:lineRule="auto"/>
        <w:ind w:left="3969" w:leftChars="1890" w:firstLine="891" w:firstLineChars="405"/>
        <w:rPr>
          <w:rFonts w:ascii="宋体" w:eastAsia="宋体"/>
          <w:color w:val="000000" w:themeColor="text1"/>
          <w:sz w:val="22"/>
          <w:szCs w:val="22"/>
          <w:u w:val="single"/>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日</w:t>
      </w:r>
      <w:r>
        <w:rPr>
          <w:rFonts w:ascii="宋体" w:eastAsia="宋体"/>
          <w:color w:val="000000" w:themeColor="text1"/>
          <w:sz w:val="22"/>
          <w:szCs w:val="22"/>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期：</w:t>
      </w:r>
      <w:r>
        <w:rPr>
          <w:rFonts w:hint="eastAsia" w:ascii="宋体" w:eastAsia="宋体"/>
          <w:color w:val="000000" w:themeColor="text1"/>
          <w:sz w:val="22"/>
          <w:szCs w:val="22"/>
          <w:u w:val="single"/>
          <w14:textFill>
            <w14:solidFill>
              <w14:schemeClr w14:val="tx1"/>
            </w14:solidFill>
          </w14:textFill>
        </w:rPr>
        <w:t xml:space="preserve">          年         月       日</w:t>
      </w:r>
    </w:p>
    <w:p>
      <w:pPr>
        <w:widowControl/>
        <w:ind w:firstLine="5280" w:firstLineChars="2400"/>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br w:type="page"/>
      </w:r>
    </w:p>
    <w:p>
      <w:pPr>
        <w:pStyle w:val="5"/>
        <w:jc w:val="center"/>
        <w:rPr>
          <w:rFonts w:ascii="Times New Roman" w:hAnsi="Times New Roman"/>
          <w:color w:val="000000" w:themeColor="text1"/>
          <w:sz w:val="24"/>
          <w14:textFill>
            <w14:solidFill>
              <w14:schemeClr w14:val="tx1"/>
            </w14:solidFill>
          </w14:textFill>
        </w:rPr>
      </w:pPr>
      <w:bookmarkStart w:id="324" w:name="_Toc24630"/>
      <w:bookmarkStart w:id="325" w:name="_Toc93505811"/>
      <w:bookmarkStart w:id="326" w:name="_Toc441844130"/>
      <w:bookmarkStart w:id="327" w:name="_Toc439325726"/>
      <w:r>
        <w:rPr>
          <w:rFonts w:ascii="Times New Roman" w:hAnsi="Times New Roman"/>
          <w:color w:val="000000" w:themeColor="text1"/>
          <w:sz w:val="24"/>
          <w14:textFill>
            <w14:solidFill>
              <w14:schemeClr w14:val="tx1"/>
            </w14:solidFill>
          </w14:textFill>
        </w:rPr>
        <w:t>13、</w:t>
      </w:r>
      <w:r>
        <w:rPr>
          <w:rFonts w:hint="eastAsia" w:ascii="宋体" w:hAnsi="宋体"/>
          <w:b w:val="0"/>
          <w:bCs w:val="0"/>
          <w:color w:val="000000" w:themeColor="text1"/>
          <w:sz w:val="22"/>
          <w:szCs w:val="22"/>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号</w:t>
      </w:r>
      <w:r>
        <w:rPr>
          <w:rFonts w:ascii="Times New Roman" w:hAnsi="Times New Roman"/>
          <w:color w:val="000000" w:themeColor="text1"/>
          <w:sz w:val="24"/>
          <w14:textFill>
            <w14:solidFill>
              <w14:schemeClr w14:val="tx1"/>
            </w14:solidFill>
          </w14:textFill>
        </w:rPr>
        <w:t>条款</w:t>
      </w:r>
      <w:r>
        <w:rPr>
          <w:rFonts w:hint="eastAsia" w:ascii="Times New Roman" w:hAnsi="Times New Roman"/>
          <w:color w:val="000000" w:themeColor="text1"/>
          <w:sz w:val="24"/>
          <w14:textFill>
            <w14:solidFill>
              <w14:schemeClr w14:val="tx1"/>
            </w14:solidFill>
          </w14:textFill>
        </w:rPr>
        <w:t>响应</w:t>
      </w:r>
      <w:r>
        <w:rPr>
          <w:rFonts w:ascii="Times New Roman" w:hAnsi="Times New Roman"/>
          <w:color w:val="000000" w:themeColor="text1"/>
          <w:sz w:val="24"/>
          <w14:textFill>
            <w14:solidFill>
              <w14:schemeClr w14:val="tx1"/>
            </w14:solidFill>
          </w14:textFill>
        </w:rPr>
        <w:t>表</w:t>
      </w:r>
      <w:bookmarkEnd w:id="324"/>
      <w:bookmarkEnd w:id="325"/>
      <w:bookmarkEnd w:id="326"/>
      <w:bookmarkEnd w:id="327"/>
    </w:p>
    <w:p>
      <w:pPr>
        <w:spacing w:line="560" w:lineRule="exact"/>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项目</w:t>
      </w:r>
      <w:r>
        <w:rPr>
          <w:rFonts w:ascii="Times New Roman" w:hAnsi="Times New Roman"/>
          <w:color w:val="000000" w:themeColor="text1"/>
          <w:sz w:val="22"/>
          <w:szCs w:val="22"/>
          <w14:textFill>
            <w14:solidFill>
              <w14:schemeClr w14:val="tx1"/>
            </w14:solidFill>
          </w14:textFill>
        </w:rPr>
        <w:t xml:space="preserve">名称：                       　        </w:t>
      </w:r>
      <w:r>
        <w:rPr>
          <w:rFonts w:hint="eastAsia" w:ascii="Times New Roman" w:hAnsi="Times New Roman"/>
          <w:color w:val="000000" w:themeColor="text1"/>
          <w:sz w:val="22"/>
          <w:szCs w:val="22"/>
          <w14:textFill>
            <w14:solidFill>
              <w14:schemeClr w14:val="tx1"/>
            </w14:solidFill>
          </w14:textFill>
        </w:rPr>
        <w:t>项目</w:t>
      </w:r>
      <w:r>
        <w:rPr>
          <w:rFonts w:ascii="Times New Roman" w:hAnsi="Times New Roman"/>
          <w:color w:val="000000" w:themeColor="text1"/>
          <w:sz w:val="22"/>
          <w:szCs w:val="22"/>
          <w14:textFill>
            <w14:solidFill>
              <w14:schemeClr w14:val="tx1"/>
            </w14:solidFill>
          </w14:textFill>
        </w:rPr>
        <w:t>编号：</w:t>
      </w:r>
      <w:r>
        <w:rPr>
          <w:rFonts w:hint="eastAsia" w:ascii="Times New Roman" w:hAnsi="Times New Roman"/>
          <w:color w:val="000000" w:themeColor="text1"/>
          <w:sz w:val="22"/>
          <w:szCs w:val="22"/>
          <w14:textFill>
            <w14:solidFill>
              <w14:schemeClr w14:val="tx1"/>
            </w14:solidFill>
          </w14:textFill>
        </w:rPr>
        <w:t xml:space="preserve"> </w:t>
      </w:r>
      <w:r>
        <w:rPr>
          <w:rFonts w:ascii="Times New Roman" w:hAnsi="Times New Roman"/>
          <w:color w:val="000000" w:themeColor="text1"/>
          <w:sz w:val="22"/>
          <w:szCs w:val="22"/>
          <w14:textFill>
            <w14:solidFill>
              <w14:schemeClr w14:val="tx1"/>
            </w14:solidFill>
          </w14:textFill>
        </w:rPr>
        <w:t xml:space="preserve">             </w:t>
      </w:r>
      <w:r>
        <w:rPr>
          <w:rFonts w:hint="eastAsia" w:ascii="Times New Roman" w:hAnsi="Times New Roman"/>
          <w:color w:val="000000" w:themeColor="text1"/>
          <w:sz w:val="22"/>
          <w:szCs w:val="22"/>
          <w14:textFill>
            <w14:solidFill>
              <w14:schemeClr w14:val="tx1"/>
            </w14:solidFill>
          </w14:textFill>
        </w:rPr>
        <w:t>包号：</w:t>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1319"/>
        <w:gridCol w:w="2513"/>
        <w:gridCol w:w="2725"/>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Merge w:val="restar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序号</w:t>
            </w:r>
          </w:p>
        </w:tc>
        <w:tc>
          <w:tcPr>
            <w:tcW w:w="2037" w:type="pct"/>
            <w:gridSpan w:val="2"/>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招标文件要求</w:t>
            </w:r>
          </w:p>
        </w:tc>
        <w:tc>
          <w:tcPr>
            <w:tcW w:w="1449" w:type="pct"/>
            <w:vMerge w:val="restart"/>
            <w:vAlign w:val="center"/>
          </w:tcPr>
          <w:p>
            <w:pPr>
              <w:spacing w:line="400" w:lineRule="exact"/>
              <w:jc w:val="center"/>
              <w:rPr>
                <w:rFonts w:hAnsi="宋体"/>
                <w:color w:val="000000" w:themeColor="text1"/>
                <w:szCs w:val="21"/>
                <w14:textFill>
                  <w14:solidFill>
                    <w14:schemeClr w14:val="tx1"/>
                  </w14:solidFill>
                </w14:textFill>
              </w:rPr>
            </w:pPr>
            <w:bookmarkStart w:id="328" w:name="_Hlk61528856"/>
            <w:r>
              <w:rPr>
                <w:rFonts w:hint="eastAsia" w:hAnsi="宋体"/>
                <w:color w:val="000000" w:themeColor="text1"/>
                <w:szCs w:val="21"/>
                <w14:textFill>
                  <w14:solidFill>
                    <w14:schemeClr w14:val="tx1"/>
                  </w14:solidFill>
                </w14:textFill>
              </w:rPr>
              <w:t>投标文件对应内容</w:t>
            </w:r>
            <w:bookmarkEnd w:id="328"/>
          </w:p>
        </w:tc>
        <w:tc>
          <w:tcPr>
            <w:tcW w:w="988" w:type="pct"/>
            <w:vMerge w:val="restar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Merge w:val="continue"/>
            <w:vAlign w:val="center"/>
          </w:tcPr>
          <w:p>
            <w:pPr>
              <w:spacing w:line="400" w:lineRule="exact"/>
              <w:jc w:val="center"/>
              <w:rPr>
                <w:rFonts w:hAnsi="宋体"/>
                <w:color w:val="000000" w:themeColor="text1"/>
                <w:szCs w:val="21"/>
                <w14:textFill>
                  <w14:solidFill>
                    <w14:schemeClr w14:val="tx1"/>
                  </w14:solidFill>
                </w14:textFill>
              </w:rPr>
            </w:pPr>
          </w:p>
        </w:tc>
        <w:tc>
          <w:tcPr>
            <w:tcW w:w="701" w:type="pc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条款号</w:t>
            </w:r>
          </w:p>
        </w:tc>
        <w:tc>
          <w:tcPr>
            <w:tcW w:w="1336" w:type="pc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招标文件要求</w:t>
            </w:r>
          </w:p>
        </w:tc>
        <w:tc>
          <w:tcPr>
            <w:tcW w:w="1449" w:type="pct"/>
            <w:vMerge w:val="continue"/>
            <w:vAlign w:val="center"/>
          </w:tcPr>
          <w:p>
            <w:pPr>
              <w:spacing w:line="400" w:lineRule="exact"/>
              <w:jc w:val="center"/>
              <w:rPr>
                <w:rFonts w:hAnsi="宋体"/>
                <w:color w:val="000000" w:themeColor="text1"/>
                <w:szCs w:val="21"/>
                <w14:textFill>
                  <w14:solidFill>
                    <w14:schemeClr w14:val="tx1"/>
                  </w14:solidFill>
                </w14:textFill>
              </w:rPr>
            </w:pPr>
          </w:p>
        </w:tc>
        <w:tc>
          <w:tcPr>
            <w:tcW w:w="988" w:type="pct"/>
            <w:vMerge w:val="continue"/>
            <w:vAlign w:val="center"/>
          </w:tcPr>
          <w:p>
            <w:pPr>
              <w:spacing w:line="400" w:lineRule="exact"/>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526" w:type="pct"/>
            <w:vAlign w:val="center"/>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1</w:t>
            </w:r>
          </w:p>
        </w:tc>
        <w:tc>
          <w:tcPr>
            <w:tcW w:w="701" w:type="pct"/>
            <w:vAlign w:val="center"/>
          </w:tcPr>
          <w:p>
            <w:pPr>
              <w:spacing w:line="360" w:lineRule="auto"/>
              <w:jc w:val="center"/>
              <w:rPr>
                <w:rFonts w:hAnsi="宋体"/>
                <w:color w:val="000000" w:themeColor="text1"/>
                <w:szCs w:val="21"/>
                <w14:textFill>
                  <w14:solidFill>
                    <w14:schemeClr w14:val="tx1"/>
                  </w14:solidFill>
                </w14:textFill>
              </w:rPr>
            </w:pPr>
          </w:p>
        </w:tc>
        <w:tc>
          <w:tcPr>
            <w:tcW w:w="1336" w:type="pct"/>
            <w:vAlign w:val="center"/>
          </w:tcPr>
          <w:p>
            <w:pPr>
              <w:spacing w:line="400" w:lineRule="exact"/>
              <w:jc w:val="center"/>
              <w:rPr>
                <w:rFonts w:hAnsi="宋体"/>
                <w:color w:val="000000" w:themeColor="text1"/>
                <w:szCs w:val="21"/>
                <w14:textFill>
                  <w14:solidFill>
                    <w14:schemeClr w14:val="tx1"/>
                  </w14:solidFill>
                </w14:textFill>
              </w:rPr>
            </w:pPr>
          </w:p>
        </w:tc>
        <w:tc>
          <w:tcPr>
            <w:tcW w:w="1449" w:type="pct"/>
            <w:vAlign w:val="center"/>
          </w:tcPr>
          <w:p>
            <w:pPr>
              <w:spacing w:line="360" w:lineRule="auto"/>
              <w:jc w:val="center"/>
              <w:rPr>
                <w:rFonts w:hAnsi="宋体"/>
                <w:color w:val="000000" w:themeColor="text1"/>
                <w:szCs w:val="21"/>
                <w14:textFill>
                  <w14:solidFill>
                    <w14:schemeClr w14:val="tx1"/>
                  </w14:solidFill>
                </w14:textFill>
              </w:rPr>
            </w:pPr>
          </w:p>
        </w:tc>
        <w:tc>
          <w:tcPr>
            <w:tcW w:w="988" w:type="pct"/>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w:t>
            </w:r>
          </w:p>
        </w:tc>
        <w:tc>
          <w:tcPr>
            <w:tcW w:w="701" w:type="pct"/>
            <w:vAlign w:val="center"/>
          </w:tcPr>
          <w:p>
            <w:pPr>
              <w:spacing w:line="360" w:lineRule="auto"/>
              <w:jc w:val="center"/>
              <w:rPr>
                <w:rFonts w:hAnsi="宋体"/>
                <w:color w:val="000000" w:themeColor="text1"/>
                <w:szCs w:val="21"/>
                <w14:textFill>
                  <w14:solidFill>
                    <w14:schemeClr w14:val="tx1"/>
                  </w14:solidFill>
                </w14:textFill>
              </w:rPr>
            </w:pPr>
          </w:p>
        </w:tc>
        <w:tc>
          <w:tcPr>
            <w:tcW w:w="1336" w:type="pct"/>
            <w:vAlign w:val="center"/>
          </w:tcPr>
          <w:p>
            <w:pPr>
              <w:spacing w:line="400" w:lineRule="exact"/>
              <w:jc w:val="center"/>
              <w:rPr>
                <w:rFonts w:hAnsi="宋体"/>
                <w:color w:val="000000" w:themeColor="text1"/>
                <w:szCs w:val="21"/>
                <w14:textFill>
                  <w14:solidFill>
                    <w14:schemeClr w14:val="tx1"/>
                  </w14:solidFill>
                </w14:textFill>
              </w:rPr>
            </w:pPr>
          </w:p>
        </w:tc>
        <w:tc>
          <w:tcPr>
            <w:tcW w:w="1449" w:type="pct"/>
            <w:vAlign w:val="center"/>
          </w:tcPr>
          <w:p>
            <w:pPr>
              <w:spacing w:line="360" w:lineRule="auto"/>
              <w:jc w:val="center"/>
              <w:rPr>
                <w:rFonts w:hAnsi="宋体"/>
                <w:color w:val="000000" w:themeColor="text1"/>
                <w:szCs w:val="21"/>
                <w14:textFill>
                  <w14:solidFill>
                    <w14:schemeClr w14:val="tx1"/>
                  </w14:solidFill>
                </w14:textFill>
              </w:rPr>
            </w:pPr>
          </w:p>
        </w:tc>
        <w:tc>
          <w:tcPr>
            <w:tcW w:w="988" w:type="pct"/>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3</w:t>
            </w:r>
          </w:p>
        </w:tc>
        <w:tc>
          <w:tcPr>
            <w:tcW w:w="701" w:type="pct"/>
            <w:vAlign w:val="center"/>
          </w:tcPr>
          <w:p>
            <w:pPr>
              <w:spacing w:line="360" w:lineRule="auto"/>
              <w:jc w:val="center"/>
              <w:rPr>
                <w:rFonts w:hAnsi="宋体"/>
                <w:color w:val="000000" w:themeColor="text1"/>
                <w:szCs w:val="21"/>
                <w14:textFill>
                  <w14:solidFill>
                    <w14:schemeClr w14:val="tx1"/>
                  </w14:solidFill>
                </w14:textFill>
              </w:rPr>
            </w:pPr>
          </w:p>
        </w:tc>
        <w:tc>
          <w:tcPr>
            <w:tcW w:w="1336" w:type="pct"/>
            <w:vAlign w:val="center"/>
          </w:tcPr>
          <w:p>
            <w:pPr>
              <w:spacing w:line="400" w:lineRule="exact"/>
              <w:jc w:val="center"/>
              <w:rPr>
                <w:rFonts w:hAnsi="宋体"/>
                <w:color w:val="000000" w:themeColor="text1"/>
                <w:szCs w:val="21"/>
                <w14:textFill>
                  <w14:solidFill>
                    <w14:schemeClr w14:val="tx1"/>
                  </w14:solidFill>
                </w14:textFill>
              </w:rPr>
            </w:pPr>
          </w:p>
        </w:tc>
        <w:tc>
          <w:tcPr>
            <w:tcW w:w="1449" w:type="pct"/>
            <w:vAlign w:val="center"/>
          </w:tcPr>
          <w:p>
            <w:pPr>
              <w:spacing w:line="360" w:lineRule="auto"/>
              <w:jc w:val="center"/>
              <w:rPr>
                <w:rFonts w:hAnsi="宋体"/>
                <w:color w:val="000000" w:themeColor="text1"/>
                <w:szCs w:val="21"/>
                <w14:textFill>
                  <w14:solidFill>
                    <w14:schemeClr w14:val="tx1"/>
                  </w14:solidFill>
                </w14:textFill>
              </w:rPr>
            </w:pPr>
          </w:p>
        </w:tc>
        <w:tc>
          <w:tcPr>
            <w:tcW w:w="988" w:type="pct"/>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4</w:t>
            </w:r>
          </w:p>
        </w:tc>
        <w:tc>
          <w:tcPr>
            <w:tcW w:w="701" w:type="pct"/>
            <w:vAlign w:val="center"/>
          </w:tcPr>
          <w:p>
            <w:pPr>
              <w:spacing w:line="360" w:lineRule="auto"/>
              <w:jc w:val="center"/>
              <w:rPr>
                <w:rFonts w:hAnsi="宋体"/>
                <w:color w:val="000000" w:themeColor="text1"/>
                <w:szCs w:val="21"/>
                <w14:textFill>
                  <w14:solidFill>
                    <w14:schemeClr w14:val="tx1"/>
                  </w14:solidFill>
                </w14:textFill>
              </w:rPr>
            </w:pPr>
          </w:p>
        </w:tc>
        <w:tc>
          <w:tcPr>
            <w:tcW w:w="1336" w:type="pct"/>
            <w:vAlign w:val="center"/>
          </w:tcPr>
          <w:p>
            <w:pPr>
              <w:spacing w:line="400" w:lineRule="exact"/>
              <w:jc w:val="center"/>
              <w:rPr>
                <w:rFonts w:hAnsi="宋体"/>
                <w:color w:val="000000" w:themeColor="text1"/>
                <w:szCs w:val="21"/>
                <w14:textFill>
                  <w14:solidFill>
                    <w14:schemeClr w14:val="tx1"/>
                  </w14:solidFill>
                </w14:textFill>
              </w:rPr>
            </w:pPr>
          </w:p>
        </w:tc>
        <w:tc>
          <w:tcPr>
            <w:tcW w:w="1449" w:type="pct"/>
            <w:vAlign w:val="center"/>
          </w:tcPr>
          <w:p>
            <w:pPr>
              <w:spacing w:line="360" w:lineRule="auto"/>
              <w:jc w:val="center"/>
              <w:rPr>
                <w:rFonts w:hAnsi="宋体"/>
                <w:color w:val="000000" w:themeColor="text1"/>
                <w:szCs w:val="21"/>
                <w14:textFill>
                  <w14:solidFill>
                    <w14:schemeClr w14:val="tx1"/>
                  </w14:solidFill>
                </w14:textFill>
              </w:rPr>
            </w:pPr>
          </w:p>
        </w:tc>
        <w:tc>
          <w:tcPr>
            <w:tcW w:w="988" w:type="pct"/>
            <w:vAlign w:val="center"/>
          </w:tcPr>
          <w:p>
            <w:pPr>
              <w:spacing w:line="360" w:lineRule="auto"/>
              <w:jc w:val="center"/>
              <w:rPr>
                <w:rFonts w:hAnsi="宋体"/>
                <w:color w:val="000000" w:themeColor="text1"/>
                <w:szCs w:val="21"/>
                <w14:textFill>
                  <w14:solidFill>
                    <w14:schemeClr w14:val="tx1"/>
                  </w14:solidFill>
                </w14:textFill>
              </w:rPr>
            </w:pPr>
          </w:p>
        </w:tc>
      </w:tr>
    </w:tbl>
    <w:p>
      <w:pPr>
        <w:spacing w:line="560" w:lineRule="exact"/>
        <w:rPr>
          <w:rFonts w:ascii="Times New Roman" w:hAnsi="Times New Roman"/>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注：</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w:t>
      </w:r>
      <w:r>
        <w:rPr>
          <w:rFonts w:hint="eastAsia" w:ascii="宋体" w:hAnsi="宋体"/>
          <w:b/>
          <w:bCs/>
          <w:color w:val="000000" w:themeColor="text1"/>
          <w:sz w:val="22"/>
          <w:szCs w:val="22"/>
          <w:u w:val="single"/>
          <w14:textFill>
            <w14:solidFill>
              <w14:schemeClr w14:val="tx1"/>
            </w14:solidFill>
          </w14:textFill>
        </w:rPr>
        <w:t>凡标有“★”的地方均被视为实质性内容或重要的技术指标要求或性能要求。投标人要特别加以注意，必须对此回答并完全满足这些要求，否则若有一项带“★”的指标未响应或不满足，将按无效投标处理。</w:t>
      </w:r>
    </w:p>
    <w:p>
      <w:pPr>
        <w:spacing w:line="360" w:lineRule="auto"/>
        <w:ind w:left="550" w:hanging="550" w:hangingChars="250"/>
        <w:rPr>
          <w:rFonts w:hAnsi="宋体"/>
          <w:color w:val="000000" w:themeColor="text1"/>
          <w:szCs w:val="21"/>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（2）“投标文件对应内容”填写“★”内容的响应内容，“</w:t>
      </w:r>
      <w:r>
        <w:rPr>
          <w:rFonts w:hint="eastAsia" w:hAnsi="宋体"/>
          <w:color w:val="000000" w:themeColor="text1"/>
          <w:szCs w:val="21"/>
          <w14:textFill>
            <w14:solidFill>
              <w14:schemeClr w14:val="tx1"/>
            </w14:solidFill>
          </w14:textFill>
        </w:rPr>
        <w:t>响应情况”填写“完全响应”。</w:t>
      </w:r>
    </w:p>
    <w:p>
      <w:pPr>
        <w:spacing w:line="360" w:lineRule="auto"/>
        <w:ind w:firstLine="4840" w:firstLineChars="2200"/>
        <w:rPr>
          <w:rFonts w:ascii="宋体" w:hAnsi="宋体"/>
          <w:color w:val="000000" w:themeColor="text1"/>
          <w:sz w:val="22"/>
          <w:szCs w:val="22"/>
          <w14:textFill>
            <w14:solidFill>
              <w14:schemeClr w14:val="tx1"/>
            </w14:solidFill>
          </w14:textFill>
        </w:rPr>
      </w:pPr>
    </w:p>
    <w:p>
      <w:pPr>
        <w:spacing w:line="360" w:lineRule="auto"/>
        <w:ind w:firstLine="4840" w:firstLineChars="2200"/>
        <w:rPr>
          <w:rFonts w:asci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投标人名称（加盖公章）： </w:t>
      </w:r>
      <w:r>
        <w:rPr>
          <w:rFonts w:hint="eastAsia" w:ascii="宋体" w:hAnsi="宋体"/>
          <w:color w:val="000000" w:themeColor="text1"/>
          <w:sz w:val="22"/>
          <w:szCs w:val="22"/>
          <w:u w:val="single"/>
          <w14:textFill>
            <w14:solidFill>
              <w14:schemeClr w14:val="tx1"/>
            </w14:solidFill>
          </w14:textFill>
        </w:rPr>
        <w:t xml:space="preserve">                </w:t>
      </w:r>
    </w:p>
    <w:p>
      <w:pPr>
        <w:pStyle w:val="69"/>
        <w:spacing w:line="480" w:lineRule="auto"/>
        <w:ind w:left="3969" w:leftChars="1890" w:firstLine="891" w:firstLineChars="405"/>
        <w:rPr>
          <w:rFonts w:ascii="宋体" w:eastAsia="宋体"/>
          <w:color w:val="000000" w:themeColor="text1"/>
          <w:sz w:val="22"/>
          <w:szCs w:val="22"/>
          <w:u w:val="single"/>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日</w:t>
      </w:r>
      <w:r>
        <w:rPr>
          <w:rFonts w:ascii="宋体" w:eastAsia="宋体"/>
          <w:color w:val="000000" w:themeColor="text1"/>
          <w:sz w:val="22"/>
          <w:szCs w:val="22"/>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期：</w:t>
      </w:r>
      <w:r>
        <w:rPr>
          <w:rFonts w:hint="eastAsia" w:ascii="宋体" w:eastAsia="宋体"/>
          <w:color w:val="000000" w:themeColor="text1"/>
          <w:sz w:val="22"/>
          <w:szCs w:val="22"/>
          <w:u w:val="single"/>
          <w14:textFill>
            <w14:solidFill>
              <w14:schemeClr w14:val="tx1"/>
            </w14:solidFill>
          </w14:textFill>
        </w:rPr>
        <w:t xml:space="preserve">          年         月       日</w:t>
      </w:r>
    </w:p>
    <w:p>
      <w:pPr>
        <w:widowControl/>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br w:type="page"/>
      </w:r>
    </w:p>
    <w:p>
      <w:pPr>
        <w:widowControl/>
        <w:jc w:val="left"/>
        <w:rPr>
          <w:rFonts w:ascii="宋体" w:hAnsi="宋体"/>
          <w:color w:val="000000" w:themeColor="text1"/>
          <w:sz w:val="22"/>
          <w:szCs w:val="22"/>
          <w14:textFill>
            <w14:solidFill>
              <w14:schemeClr w14:val="tx1"/>
            </w14:solidFill>
          </w14:textFill>
        </w:rPr>
      </w:pPr>
    </w:p>
    <w:p>
      <w:pPr>
        <w:pStyle w:val="5"/>
        <w:jc w:val="center"/>
        <w:rPr>
          <w:rFonts w:ascii="Times New Roman" w:hAnsi="Times New Roman"/>
          <w:color w:val="000000" w:themeColor="text1"/>
          <w:sz w:val="24"/>
          <w14:textFill>
            <w14:solidFill>
              <w14:schemeClr w14:val="tx1"/>
            </w14:solidFill>
          </w14:textFill>
        </w:rPr>
      </w:pPr>
      <w:bookmarkStart w:id="329" w:name="_Toc46400005"/>
      <w:bookmarkStart w:id="330" w:name="_Toc21952"/>
      <w:bookmarkStart w:id="331" w:name="_Toc93505812"/>
      <w:bookmarkStart w:id="332" w:name="_Toc441844132"/>
      <w:r>
        <w:rPr>
          <w:rFonts w:ascii="Times New Roman" w:hAnsi="Times New Roman"/>
          <w:color w:val="000000" w:themeColor="text1"/>
          <w:sz w:val="24"/>
          <w14:textFill>
            <w14:solidFill>
              <w14:schemeClr w14:val="tx1"/>
            </w14:solidFill>
          </w14:textFill>
        </w:rPr>
        <w:t>14</w:t>
      </w:r>
      <w:r>
        <w:rPr>
          <w:rFonts w:hint="eastAsia" w:ascii="Times New Roman" w:hAnsi="Times New Roman"/>
          <w:color w:val="000000" w:themeColor="text1"/>
          <w:sz w:val="24"/>
          <w14:textFill>
            <w14:solidFill>
              <w14:schemeClr w14:val="tx1"/>
            </w14:solidFill>
          </w14:textFill>
        </w:rPr>
        <w:t>、合同条款偏离表</w:t>
      </w:r>
      <w:bookmarkEnd w:id="329"/>
      <w:bookmarkEnd w:id="330"/>
      <w:bookmarkEnd w:id="331"/>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项目名称：</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　</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 xml:space="preserve">项目编号： </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包号：</w:t>
      </w:r>
    </w:p>
    <w:tbl>
      <w:tblPr>
        <w:tblStyle w:val="51"/>
        <w:tblW w:w="91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290"/>
        <w:gridCol w:w="1346"/>
        <w:gridCol w:w="3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jc w:val="center"/>
        </w:trPr>
        <w:tc>
          <w:tcPr>
            <w:tcW w:w="993" w:type="dxa"/>
            <w:vMerge w:val="restart"/>
            <w:vAlign w:val="center"/>
          </w:tcPr>
          <w:p>
            <w:pPr>
              <w:spacing w:line="30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序号</w:t>
            </w:r>
          </w:p>
        </w:tc>
        <w:tc>
          <w:tcPr>
            <w:tcW w:w="3290" w:type="dxa"/>
            <w:vAlign w:val="center"/>
          </w:tcPr>
          <w:p>
            <w:pPr>
              <w:spacing w:line="30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招标文件要求</w:t>
            </w:r>
          </w:p>
        </w:tc>
        <w:tc>
          <w:tcPr>
            <w:tcW w:w="4870" w:type="dxa"/>
            <w:gridSpan w:val="2"/>
            <w:vAlign w:val="center"/>
          </w:tcPr>
          <w:p>
            <w:pPr>
              <w:spacing w:line="30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jc w:val="center"/>
        </w:trPr>
        <w:tc>
          <w:tcPr>
            <w:tcW w:w="993" w:type="dxa"/>
            <w:vMerge w:val="continue"/>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spacing w:line="30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简要内容</w:t>
            </w: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偏离情况</w:t>
            </w: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具体偏离内容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290" w:type="dxa"/>
            <w:vAlign w:val="center"/>
          </w:tcPr>
          <w:p>
            <w:pPr>
              <w:pStyle w:val="69"/>
              <w:spacing w:line="360" w:lineRule="exact"/>
              <w:ind w:firstLine="0" w:firstLineChars="0"/>
              <w:jc w:val="left"/>
              <w:rPr>
                <w:rFonts w:ascii="宋体" w:eastAsia="宋体"/>
                <w:b/>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color w:val="000000" w:themeColor="text1"/>
                <w:sz w:val="22"/>
                <w:szCs w:val="22"/>
                <w14:textFill>
                  <w14:solidFill>
                    <w14:schemeClr w14:val="tx1"/>
                  </w14:solidFill>
                </w14:textFill>
              </w:rPr>
            </w:pPr>
          </w:p>
        </w:tc>
        <w:tc>
          <w:tcPr>
            <w:tcW w:w="3290" w:type="dxa"/>
            <w:vAlign w:val="center"/>
          </w:tcPr>
          <w:p>
            <w:pPr>
              <w:spacing w:line="300" w:lineRule="auto"/>
              <w:rPr>
                <w:rFonts w:ascii="宋体" w:hAnsi="宋体"/>
                <w:bCs/>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color w:val="000000" w:themeColor="text1"/>
                <w:sz w:val="22"/>
                <w:szCs w:val="22"/>
                <w14:textFill>
                  <w14:solidFill>
                    <w14:schemeClr w14:val="tx1"/>
                  </w14:solidFill>
                </w14:textFill>
              </w:rPr>
            </w:pPr>
          </w:p>
        </w:tc>
        <w:tc>
          <w:tcPr>
            <w:tcW w:w="3290" w:type="dxa"/>
            <w:vAlign w:val="center"/>
          </w:tcPr>
          <w:p>
            <w:pPr>
              <w:spacing w:line="300" w:lineRule="auto"/>
              <w:rPr>
                <w:rFonts w:ascii="宋体" w:hAnsi="宋体"/>
                <w:bCs/>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993" w:type="dxa"/>
            <w:vAlign w:val="center"/>
          </w:tcPr>
          <w:p>
            <w:pPr>
              <w:spacing w:line="300" w:lineRule="auto"/>
              <w:jc w:val="center"/>
              <w:rPr>
                <w:rFonts w:ascii="宋体" w:hAnsi="宋体"/>
                <w:bCs/>
                <w:color w:val="000000" w:themeColor="text1"/>
                <w:sz w:val="22"/>
                <w:szCs w:val="22"/>
                <w14:textFill>
                  <w14:solidFill>
                    <w14:schemeClr w14:val="tx1"/>
                  </w14:solidFill>
                </w14:textFill>
              </w:rPr>
            </w:pPr>
          </w:p>
        </w:tc>
        <w:tc>
          <w:tcPr>
            <w:tcW w:w="3290" w:type="dxa"/>
            <w:vAlign w:val="center"/>
          </w:tcPr>
          <w:p>
            <w:pPr>
              <w:spacing w:line="300" w:lineRule="auto"/>
              <w:rPr>
                <w:rFonts w:ascii="宋体" w:hAnsi="宋体"/>
                <w:bCs/>
                <w:color w:val="000000" w:themeColor="text1"/>
                <w:sz w:val="22"/>
                <w:szCs w:val="22"/>
                <w14:textFill>
                  <w14:solidFill>
                    <w14:schemeClr w14:val="tx1"/>
                  </w14:solidFill>
                </w14:textFill>
              </w:rPr>
            </w:pPr>
          </w:p>
        </w:tc>
        <w:tc>
          <w:tcPr>
            <w:tcW w:w="1346"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c>
          <w:tcPr>
            <w:tcW w:w="3524" w:type="dxa"/>
            <w:vAlign w:val="center"/>
          </w:tcPr>
          <w:p>
            <w:pPr>
              <w:spacing w:line="300" w:lineRule="auto"/>
              <w:jc w:val="center"/>
              <w:rPr>
                <w:rFonts w:ascii="宋体" w:hAnsi="宋体"/>
                <w:color w:val="000000" w:themeColor="text1"/>
                <w:sz w:val="22"/>
                <w:szCs w:val="22"/>
                <w14:textFill>
                  <w14:solidFill>
                    <w14:schemeClr w14:val="tx1"/>
                  </w14:solidFill>
                </w14:textFill>
              </w:rPr>
            </w:pPr>
          </w:p>
        </w:tc>
      </w:tr>
    </w:tbl>
    <w:p>
      <w:pPr>
        <w:snapToGrid w:val="0"/>
        <w:spacing w:line="360" w:lineRule="auto"/>
        <w:ind w:left="421" w:leftChars="-58" w:hanging="543" w:hangingChars="24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备</w:t>
      </w:r>
      <w:r>
        <w:rPr>
          <w:rFonts w:ascii="宋体" w:hAnsi="宋体"/>
          <w:color w:val="000000" w:themeColor="text1"/>
          <w:sz w:val="22"/>
          <w:szCs w:val="22"/>
          <w14:textFill>
            <w14:solidFill>
              <w14:schemeClr w14:val="tx1"/>
            </w14:solidFill>
          </w14:textFill>
        </w:rPr>
        <w:t>注：</w:t>
      </w:r>
    </w:p>
    <w:p>
      <w:pPr>
        <w:snapToGrid w:val="0"/>
        <w:spacing w:line="360" w:lineRule="auto"/>
        <w:ind w:left="421" w:leftChars="-58" w:hanging="543" w:hangingChars="247"/>
        <w:rPr>
          <w:rFonts w:ascii="宋体" w:hAnsi="宋体"/>
          <w:b/>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ascii="宋体" w:hAnsi="宋体"/>
          <w:b/>
          <w:color w:val="000000" w:themeColor="text1"/>
          <w:sz w:val="22"/>
          <w:szCs w:val="22"/>
          <w:u w:val="single"/>
          <w14:textFill>
            <w14:solidFill>
              <w14:schemeClr w14:val="tx1"/>
            </w14:solidFill>
          </w14:textFill>
        </w:rPr>
        <w:t>投标人应对照招标文件合同格式内合同条款及附件，逐条、如实地填写“偏离情况”项。“偏离情况”项为正偏离（或负偏离）的，必须在“具体偏离内容”项内详细说明与招标文件的偏离内容，“偏离情况”项为无偏离的，在“具体偏离内容”项内填“无”</w:t>
      </w:r>
      <w:r>
        <w:rPr>
          <w:rFonts w:hint="eastAsia" w:ascii="宋体" w:hAnsi="宋体"/>
          <w:b/>
          <w:color w:val="000000" w:themeColor="text1"/>
          <w:sz w:val="22"/>
          <w:szCs w:val="22"/>
          <w:u w:val="single"/>
          <w14:textFill>
            <w14:solidFill>
              <w14:schemeClr w14:val="tx1"/>
            </w14:solidFill>
          </w14:textFill>
        </w:rPr>
        <w:t>或不填写</w:t>
      </w:r>
      <w:r>
        <w:rPr>
          <w:rFonts w:ascii="宋体" w:hAnsi="宋体"/>
          <w:b/>
          <w:color w:val="000000" w:themeColor="text1"/>
          <w:sz w:val="22"/>
          <w:szCs w:val="22"/>
          <w:u w:val="single"/>
          <w14:textFill>
            <w14:solidFill>
              <w14:schemeClr w14:val="tx1"/>
            </w14:solidFill>
          </w14:textFill>
        </w:rPr>
        <w:t>。若发现虚假填写本表，或对合同及其附件响应有负偏离的，按无效投标文件处理。若发现此表未逐条填写视为完全满足招标文件要求。</w:t>
      </w:r>
    </w:p>
    <w:p>
      <w:pPr>
        <w:snapToGrid w:val="0"/>
        <w:spacing w:line="360" w:lineRule="auto"/>
        <w:ind w:left="421" w:leftChars="-58" w:hanging="543" w:hangingChars="247"/>
        <w:rPr>
          <w:rFonts w:ascii="宋体" w:hAnsi="宋体"/>
          <w:b/>
          <w:bCs/>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（2）偏离情况（投标文件对招标文件合同条款的响应程度）分为：正偏离、负偏离、无偏离。正偏离是指投标人提供的货物或服务商务条件优于招标文件的要求；负偏离是指投标人提供的</w:t>
      </w:r>
      <w:r>
        <w:rPr>
          <w:rFonts w:hint="eastAsia" w:ascii="宋体" w:hAnsi="宋体"/>
          <w:color w:val="000000" w:themeColor="text1"/>
          <w:sz w:val="22"/>
          <w:szCs w:val="22"/>
          <w14:textFill>
            <w14:solidFill>
              <w14:schemeClr w14:val="tx1"/>
            </w14:solidFill>
          </w14:textFill>
        </w:rPr>
        <w:t>货物</w:t>
      </w:r>
      <w:r>
        <w:rPr>
          <w:rFonts w:ascii="宋体" w:hAnsi="宋体"/>
          <w:color w:val="000000" w:themeColor="text1"/>
          <w:sz w:val="22"/>
          <w:szCs w:val="22"/>
          <w14:textFill>
            <w14:solidFill>
              <w14:schemeClr w14:val="tx1"/>
            </w14:solidFill>
          </w14:textFill>
        </w:rPr>
        <w:t>或服务商务条件不满足或不完全满足招标文件的要求；无偏离是指投标人提供的</w:t>
      </w:r>
      <w:r>
        <w:rPr>
          <w:rFonts w:hint="eastAsia" w:ascii="宋体" w:hAnsi="宋体"/>
          <w:color w:val="000000" w:themeColor="text1"/>
          <w:sz w:val="22"/>
          <w:szCs w:val="22"/>
          <w14:textFill>
            <w14:solidFill>
              <w14:schemeClr w14:val="tx1"/>
            </w14:solidFill>
          </w14:textFill>
        </w:rPr>
        <w:t>货物</w:t>
      </w:r>
      <w:r>
        <w:rPr>
          <w:rFonts w:ascii="宋体" w:hAnsi="宋体"/>
          <w:color w:val="000000" w:themeColor="text1"/>
          <w:sz w:val="22"/>
          <w:szCs w:val="22"/>
          <w14:textFill>
            <w14:solidFill>
              <w14:schemeClr w14:val="tx1"/>
            </w14:solidFill>
          </w14:textFill>
        </w:rPr>
        <w:t>或服务商务条件完全满足招标文件的要求。</w:t>
      </w:r>
    </w:p>
    <w:p>
      <w:pPr>
        <w:snapToGrid w:val="0"/>
        <w:spacing w:line="360" w:lineRule="auto"/>
        <w:ind w:left="421" w:leftChars="-58" w:hanging="543" w:hangingChars="247"/>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（4）如投标人差异内容较多可另附页说明，</w:t>
      </w:r>
      <w:r>
        <w:rPr>
          <w:rFonts w:ascii="宋体" w:hAnsi="宋体"/>
          <w:color w:val="000000" w:themeColor="text1"/>
          <w:sz w:val="22"/>
          <w:szCs w:val="22"/>
          <w:lang w:val="zh-CN"/>
          <w14:textFill>
            <w14:solidFill>
              <w14:schemeClr w14:val="tx1"/>
            </w14:solidFill>
          </w14:textFill>
        </w:rPr>
        <w:t>并在本偏离表“具体偏离内容”项注明其在投标文件中的具体页码</w:t>
      </w:r>
      <w:r>
        <w:rPr>
          <w:rFonts w:ascii="宋体" w:hAnsi="宋体"/>
          <w:color w:val="000000" w:themeColor="text1"/>
          <w:sz w:val="22"/>
          <w:szCs w:val="22"/>
          <w14:textFill>
            <w14:solidFill>
              <w14:schemeClr w14:val="tx1"/>
            </w14:solidFill>
          </w14:textFill>
        </w:rPr>
        <w:t>。</w:t>
      </w:r>
    </w:p>
    <w:p>
      <w:pPr>
        <w:spacing w:line="360" w:lineRule="auto"/>
        <w:ind w:firstLine="4305" w:firstLineChars="1957"/>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 xml:space="preserve">投标人名称（加盖公章）： </w:t>
      </w:r>
      <w:r>
        <w:rPr>
          <w:rFonts w:ascii="宋体" w:hAnsi="宋体"/>
          <w:color w:val="000000" w:themeColor="text1"/>
          <w:sz w:val="22"/>
          <w:szCs w:val="22"/>
          <w:u w:val="single"/>
          <w:lang w:val="zh-CN"/>
          <w14:textFill>
            <w14:solidFill>
              <w14:schemeClr w14:val="tx1"/>
            </w14:solidFill>
          </w14:textFill>
        </w:rPr>
        <w:t xml:space="preserve">                </w:t>
      </w:r>
    </w:p>
    <w:p>
      <w:pPr>
        <w:spacing w:line="360" w:lineRule="auto"/>
        <w:ind w:firstLine="4305" w:firstLineChars="1957"/>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日    期：</w:t>
      </w:r>
      <w:r>
        <w:rPr>
          <w:rFonts w:ascii="宋体" w:hAnsi="宋体"/>
          <w:color w:val="000000" w:themeColor="text1"/>
          <w:sz w:val="22"/>
          <w:szCs w:val="22"/>
          <w:u w:val="single"/>
          <w:lang w:val="zh-CN"/>
          <w14:textFill>
            <w14:solidFill>
              <w14:schemeClr w14:val="tx1"/>
            </w14:solidFill>
          </w14:textFill>
        </w:rPr>
        <w:t xml:space="preserve">     </w:t>
      </w:r>
      <w:r>
        <w:rPr>
          <w:rFonts w:hint="eastAsia" w:ascii="宋体" w:hAnsi="宋体"/>
          <w:color w:val="000000" w:themeColor="text1"/>
          <w:sz w:val="22"/>
          <w:szCs w:val="22"/>
          <w:u w:val="single"/>
          <w:lang w:val="zh-CN"/>
          <w14:textFill>
            <w14:solidFill>
              <w14:schemeClr w14:val="tx1"/>
            </w14:solidFill>
          </w14:textFill>
        </w:rPr>
        <w:t>年</w:t>
      </w:r>
      <w:r>
        <w:rPr>
          <w:rFonts w:ascii="宋体" w:hAnsi="宋体"/>
          <w:color w:val="000000" w:themeColor="text1"/>
          <w:sz w:val="22"/>
          <w:szCs w:val="22"/>
          <w:u w:val="single"/>
          <w:lang w:val="zh-CN"/>
          <w14:textFill>
            <w14:solidFill>
              <w14:schemeClr w14:val="tx1"/>
            </w14:solidFill>
          </w14:textFill>
        </w:rPr>
        <w:t xml:space="preserve">      </w:t>
      </w:r>
      <w:r>
        <w:rPr>
          <w:rFonts w:hint="eastAsia" w:ascii="宋体" w:hAnsi="宋体"/>
          <w:color w:val="000000" w:themeColor="text1"/>
          <w:sz w:val="22"/>
          <w:szCs w:val="22"/>
          <w:u w:val="single"/>
          <w:lang w:val="zh-CN"/>
          <w14:textFill>
            <w14:solidFill>
              <w14:schemeClr w14:val="tx1"/>
            </w14:solidFill>
          </w14:textFill>
        </w:rPr>
        <w:t>月</w:t>
      </w:r>
      <w:r>
        <w:rPr>
          <w:rFonts w:ascii="宋体" w:hAnsi="宋体"/>
          <w:color w:val="000000" w:themeColor="text1"/>
          <w:sz w:val="22"/>
          <w:szCs w:val="22"/>
          <w:u w:val="single"/>
          <w:lang w:val="zh-CN"/>
          <w14:textFill>
            <w14:solidFill>
              <w14:schemeClr w14:val="tx1"/>
            </w14:solidFill>
          </w14:textFill>
        </w:rPr>
        <w:t xml:space="preserve">      </w:t>
      </w:r>
      <w:r>
        <w:rPr>
          <w:rFonts w:hint="eastAsia" w:ascii="宋体" w:hAnsi="宋体"/>
          <w:color w:val="000000" w:themeColor="text1"/>
          <w:sz w:val="22"/>
          <w:szCs w:val="22"/>
          <w:u w:val="single"/>
          <w:lang w:val="zh-CN"/>
          <w14:textFill>
            <w14:solidFill>
              <w14:schemeClr w14:val="tx1"/>
            </w14:solidFill>
          </w14:textFill>
        </w:rPr>
        <w:t>日</w:t>
      </w:r>
    </w:p>
    <w:p>
      <w:pPr>
        <w:widowControl/>
        <w:jc w:val="left"/>
        <w:rPr>
          <w:rFonts w:ascii="宋体" w:hAnsi="宋体"/>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br w:type="page"/>
      </w:r>
    </w:p>
    <w:bookmarkEnd w:id="332"/>
    <w:p>
      <w:pPr>
        <w:spacing w:line="560" w:lineRule="exact"/>
        <w:rPr>
          <w:rFonts w:ascii="宋体" w:hAnsi="宋体"/>
          <w:b/>
          <w:color w:val="000000" w:themeColor="text1"/>
          <w:sz w:val="22"/>
          <w:szCs w:val="22"/>
          <w14:textFill>
            <w14:solidFill>
              <w14:schemeClr w14:val="tx1"/>
            </w14:solidFill>
          </w14:textFill>
        </w:rPr>
      </w:pPr>
      <w:bookmarkStart w:id="333" w:name="_Toc22687"/>
      <w:bookmarkStart w:id="334" w:name="_Toc8607"/>
      <w:bookmarkStart w:id="335" w:name="_Toc4585"/>
      <w:bookmarkStart w:id="336" w:name="_Toc22501"/>
      <w:bookmarkStart w:id="337" w:name="_Toc8091"/>
      <w:bookmarkStart w:id="338" w:name="_Toc441844133"/>
    </w:p>
    <w:bookmarkEnd w:id="333"/>
    <w:bookmarkEnd w:id="334"/>
    <w:bookmarkEnd w:id="335"/>
    <w:bookmarkEnd w:id="336"/>
    <w:bookmarkEnd w:id="337"/>
    <w:bookmarkEnd w:id="338"/>
    <w:p>
      <w:pPr>
        <w:pStyle w:val="5"/>
        <w:jc w:val="center"/>
        <w:rPr>
          <w:rFonts w:ascii="宋体" w:hAnsi="宋体"/>
          <w:color w:val="000000" w:themeColor="text1"/>
          <w:sz w:val="22"/>
          <w:szCs w:val="22"/>
          <w14:textFill>
            <w14:solidFill>
              <w14:schemeClr w14:val="tx1"/>
            </w14:solidFill>
          </w14:textFill>
        </w:rPr>
      </w:pPr>
      <w:bookmarkStart w:id="339" w:name="_Toc439325729"/>
      <w:bookmarkStart w:id="340" w:name="_Toc93505815"/>
      <w:bookmarkStart w:id="341" w:name="_Toc6928"/>
      <w:bookmarkStart w:id="342" w:name="_Toc441844134"/>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5</w:t>
      </w:r>
      <w:r>
        <w:rPr>
          <w:rFonts w:ascii="宋体" w:hAnsi="宋体"/>
          <w:color w:val="000000" w:themeColor="text1"/>
          <w:sz w:val="22"/>
          <w:szCs w:val="22"/>
          <w14:textFill>
            <w14:solidFill>
              <w14:schemeClr w14:val="tx1"/>
            </w14:solidFill>
          </w14:textFill>
        </w:rPr>
        <w:t>、投标人认为需加以说明的其他内容</w:t>
      </w:r>
      <w:bookmarkEnd w:id="339"/>
      <w:bookmarkEnd w:id="340"/>
      <w:bookmarkEnd w:id="341"/>
      <w:bookmarkEnd w:id="342"/>
    </w:p>
    <w:p>
      <w:pPr>
        <w:spacing w:after="60"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格  式  自  定</w:t>
      </w: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Cs w:val="21"/>
          <w14:textFill>
            <w14:solidFill>
              <w14:schemeClr w14:val="tx1"/>
            </w14:solidFill>
          </w14:textFill>
        </w:rPr>
      </w:pPr>
    </w:p>
    <w:p>
      <w:pPr>
        <w:widowControl/>
        <w:jc w:val="left"/>
        <w:rPr>
          <w:rFonts w:ascii="Times New Roman" w:hAnsi="Times New Roman"/>
          <w:b/>
          <w:bCs/>
          <w:color w:val="000000" w:themeColor="text1"/>
          <w:spacing w:val="-6"/>
          <w:sz w:val="48"/>
          <w:szCs w:val="48"/>
          <w14:textFill>
            <w14:solidFill>
              <w14:schemeClr w14:val="tx1"/>
            </w14:solidFill>
          </w14:textFill>
        </w:rPr>
      </w:pPr>
      <w:bookmarkStart w:id="343" w:name="_Toc441844140"/>
      <w:r>
        <w:rPr>
          <w:rFonts w:ascii="Times New Roman" w:hAnsi="Times New Roman"/>
          <w:b/>
          <w:bCs/>
          <w:color w:val="000000" w:themeColor="text1"/>
          <w:spacing w:val="-6"/>
          <w:sz w:val="48"/>
          <w:szCs w:val="48"/>
          <w14:textFill>
            <w14:solidFill>
              <w14:schemeClr w14:val="tx1"/>
            </w14:solidFill>
          </w14:textFill>
        </w:rPr>
        <w:br w:type="page"/>
      </w:r>
    </w:p>
    <w:p>
      <w:pPr>
        <w:spacing w:after="60" w:line="360" w:lineRule="auto"/>
        <w:ind w:left="2349" w:hanging="2349" w:hangingChars="500"/>
        <w:jc w:val="center"/>
        <w:outlineLvl w:val="1"/>
        <w:rPr>
          <w:rFonts w:ascii="Times New Roman" w:hAnsi="Times New Roman"/>
          <w:b/>
          <w:bCs/>
          <w:color w:val="000000" w:themeColor="text1"/>
          <w:spacing w:val="-6"/>
          <w:sz w:val="48"/>
          <w:szCs w:val="48"/>
          <w14:textFill>
            <w14:solidFill>
              <w14:schemeClr w14:val="tx1"/>
            </w14:solidFill>
          </w14:textFill>
        </w:rPr>
      </w:pPr>
      <w:bookmarkStart w:id="344" w:name="_Toc451"/>
      <w:bookmarkStart w:id="345" w:name="_Toc93505817"/>
      <w:r>
        <w:rPr>
          <w:rFonts w:hint="eastAsia" w:ascii="Times New Roman" w:hAnsi="Times New Roman"/>
          <w:b/>
          <w:bCs/>
          <w:color w:val="000000" w:themeColor="text1"/>
          <w:spacing w:val="-6"/>
          <w:sz w:val="48"/>
          <w:szCs w:val="48"/>
          <w14:textFill>
            <w14:solidFill>
              <w14:schemeClr w14:val="tx1"/>
            </w14:solidFill>
          </w14:textFill>
        </w:rPr>
        <w:t>三</w:t>
      </w:r>
      <w:r>
        <w:rPr>
          <w:rFonts w:ascii="Times New Roman" w:hAnsi="Times New Roman"/>
          <w:b/>
          <w:bCs/>
          <w:color w:val="000000" w:themeColor="text1"/>
          <w:spacing w:val="-6"/>
          <w:sz w:val="48"/>
          <w:szCs w:val="48"/>
          <w14:textFill>
            <w14:solidFill>
              <w14:schemeClr w14:val="tx1"/>
            </w14:solidFill>
          </w14:textFill>
        </w:rPr>
        <w:t>、</w:t>
      </w:r>
      <w:bookmarkStart w:id="346" w:name="_Toc427232357"/>
      <w:bookmarkStart w:id="347" w:name="_Toc363828419"/>
      <w:r>
        <w:rPr>
          <w:rFonts w:ascii="Times New Roman" w:hAnsi="Times New Roman"/>
          <w:b/>
          <w:bCs/>
          <w:color w:val="000000" w:themeColor="text1"/>
          <w:spacing w:val="-6"/>
          <w:sz w:val="48"/>
          <w:szCs w:val="48"/>
          <w14:textFill>
            <w14:solidFill>
              <w14:schemeClr w14:val="tx1"/>
            </w14:solidFill>
          </w14:textFill>
        </w:rPr>
        <w:t>无线胶装样式</w:t>
      </w:r>
      <w:bookmarkEnd w:id="343"/>
      <w:bookmarkEnd w:id="344"/>
      <w:bookmarkEnd w:id="345"/>
      <w:bookmarkEnd w:id="346"/>
      <w:bookmarkEnd w:id="347"/>
    </w:p>
    <w:p>
      <w:pPr>
        <w:ind w:left="1050" w:hanging="1050"/>
        <w:rPr>
          <w:rFonts w:ascii="Times New Roman" w:hAnsi="Times New Roman"/>
          <w:color w:val="000000" w:themeColor="text1"/>
          <w14:textFill>
            <w14:solidFill>
              <w14:schemeClr w14:val="tx1"/>
            </w14:solidFill>
          </w14:textFill>
        </w:rPr>
      </w:pPr>
    </w:p>
    <w:p>
      <w:pPr>
        <w:ind w:left="1050" w:hanging="1050"/>
        <w:jc w:val="center"/>
        <w:rPr>
          <w:rFonts w:ascii="Times New Roman" w:hAnsi="Times New Roman"/>
          <w:color w:val="000000" w:themeColor="text1"/>
          <w:spacing w:val="-6"/>
          <w:sz w:val="48"/>
          <w:szCs w:val="48"/>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9"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pPr>
        <w:ind w:left="1050" w:hanging="1050"/>
        <w:jc w:val="center"/>
        <w:rPr>
          <w:rFonts w:ascii="Times New Roman" w:hAnsi="Times New Roman"/>
          <w:bCs/>
          <w:color w:val="000000" w:themeColor="text1"/>
          <w:spacing w:val="-6"/>
          <w:sz w:val="48"/>
          <w:szCs w:val="48"/>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10"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pPr>
        <w:widowControl/>
        <w:jc w:val="left"/>
        <w:rPr>
          <w:rFonts w:ascii="Times New Roman" w:hAnsi="Times New Roman"/>
          <w:color w:val="000000" w:themeColor="text1"/>
          <w:sz w:val="22"/>
          <w:szCs w:val="22"/>
          <w14:textFill>
            <w14:solidFill>
              <w14:schemeClr w14:val="tx1"/>
            </w14:solidFill>
          </w14:textFill>
        </w:rPr>
      </w:pPr>
    </w:p>
    <w:sectPr>
      <w:pgSz w:w="11906" w:h="16838"/>
      <w:pgMar w:top="1327" w:right="1276"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_GB2312">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方正书宋简体">
    <w:altName w:val="宋体"/>
    <w:panose1 w:val="00000000000000000000"/>
    <w:charset w:val="86"/>
    <w:family w:val="script"/>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Microsoft YaHei UI">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046306"/>
    </w:sdtPr>
    <w:sdtContent>
      <w:p>
        <w:pPr>
          <w:pStyle w:val="32"/>
          <w:jc w:val="center"/>
        </w:pPr>
        <w:r>
          <w:fldChar w:fldCharType="begin"/>
        </w:r>
        <w:r>
          <w:instrText xml:space="preserve">PAGE   \* MERGEFORMAT</w:instrText>
        </w:r>
        <w:r>
          <w:fldChar w:fldCharType="separate"/>
        </w:r>
        <w:r>
          <w:rPr>
            <w:lang w:val="zh-CN"/>
          </w:rPr>
          <w:t>49</w:t>
        </w:r>
        <w:r>
          <w:fldChar w:fldCharType="end"/>
        </w:r>
      </w:p>
    </w:sdtContent>
  </w:sdt>
  <w:p>
    <w:pPr>
      <w:pStyle w:val="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928139"/>
    </w:sdtPr>
    <w:sdtContent>
      <w:p>
        <w:pPr>
          <w:pStyle w:val="32"/>
          <w:jc w:val="center"/>
        </w:pPr>
        <w:r>
          <w:fldChar w:fldCharType="begin"/>
        </w:r>
        <w:r>
          <w:instrText xml:space="preserve">PAGE   \* MERGEFORMAT</w:instrText>
        </w:r>
        <w:r>
          <w:fldChar w:fldCharType="separate"/>
        </w:r>
        <w:r>
          <w:rPr>
            <w:lang w:val="zh-CN"/>
          </w:rPr>
          <w:t>89</w:t>
        </w:r>
        <w:r>
          <w:fldChar w:fldCharType="end"/>
        </w:r>
      </w:p>
    </w:sdtContent>
  </w:sdt>
  <w:p>
    <w:pPr>
      <w:pStyle w:val="3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rPr>
        <w:lang w:val="zh-CN"/>
      </w:rPr>
      <w:fldChar w:fldCharType="begin"/>
    </w:r>
    <w:r>
      <w:rPr>
        <w:lang w:val="zh-CN"/>
      </w:rPr>
      <w:instrText xml:space="preserve"> PAGE   \* MERGEFORMAT </w:instrText>
    </w:r>
    <w:r>
      <w:rPr>
        <w:lang w:val="zh-CN"/>
      </w:rPr>
      <w:fldChar w:fldCharType="separate"/>
    </w:r>
    <w:r>
      <w:rPr>
        <w:lang w:val="zh-CN"/>
      </w:rPr>
      <w:t>96</w:t>
    </w:r>
    <w:r>
      <w:rPr>
        <w:lang w:val="zh-CN"/>
      </w:rPr>
      <w:fldChar w:fldCharType="end"/>
    </w:r>
  </w:p>
  <w:p>
    <w:pPr>
      <w:pStyle w:val="32"/>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8789"/>
        <w:tab w:val="clear" w:pos="8306"/>
      </w:tabs>
    </w:pPr>
    <w:r>
      <w:rPr>
        <w:rFonts w:hint="eastAsia" w:ascii="宋体" w:hAnsi="宋体"/>
        <w:bCs/>
      </w:rPr>
      <w:t xml:space="preserve">建成工程咨询股份有限公司 </w:t>
    </w:r>
    <w:r>
      <w:rPr>
        <w:rFonts w:ascii="宋体" w:hAnsi="宋体"/>
        <w:bCs/>
      </w:rPr>
      <w:t xml:space="preserve">         </w:t>
    </w:r>
    <w:r>
      <w:rPr>
        <w:rFonts w:hint="eastAsia" w:ascii="宋体" w:hAnsi="宋体"/>
        <w:bCs/>
      </w:rPr>
      <w:t>数据互联定级备案及网络安全符合性评测和安全风险评估服务项目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8789"/>
        <w:tab w:val="clear" w:pos="8306"/>
      </w:tabs>
    </w:pPr>
    <w:bookmarkStart w:id="348" w:name="_Hlk46405145"/>
    <w:r>
      <w:rPr>
        <w:rFonts w:hint="eastAsia" w:ascii="宋体" w:hAnsi="宋体"/>
        <w:bCs/>
      </w:rPr>
      <w:t xml:space="preserve">建成工程咨询股份有限公司 </w:t>
    </w:r>
    <w:bookmarkEnd w:id="348"/>
    <w:r>
      <w:rPr>
        <w:rFonts w:ascii="宋体" w:hAnsi="宋体"/>
        <w:bCs/>
      </w:rPr>
      <w:t xml:space="preserve">         </w:t>
    </w:r>
    <w:r>
      <w:rPr>
        <w:rFonts w:hint="eastAsia" w:ascii="宋体" w:hAnsi="宋体"/>
        <w:bCs/>
      </w:rPr>
      <w:t>数据互联定级备案及网络安全符合性评测和安全风险评估服务项目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1456FA"/>
    <w:multiLevelType w:val="singleLevel"/>
    <w:tmpl w:val="E41456FA"/>
    <w:lvl w:ilvl="0" w:tentative="0">
      <w:start w:val="2"/>
      <w:numFmt w:val="decimal"/>
      <w:suff w:val="nothing"/>
      <w:lvlText w:val="%1、"/>
      <w:lvlJc w:val="left"/>
    </w:lvl>
  </w:abstractNum>
  <w:abstractNum w:abstractNumId="1">
    <w:nsid w:val="00000039"/>
    <w:multiLevelType w:val="multilevel"/>
    <w:tmpl w:val="00000039"/>
    <w:lvl w:ilvl="0" w:tentative="0">
      <w:start w:val="1"/>
      <w:numFmt w:val="decimal"/>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5D616F3"/>
    <w:multiLevelType w:val="multilevel"/>
    <w:tmpl w:val="05D616F3"/>
    <w:lvl w:ilvl="0" w:tentative="0">
      <w:start w:val="1"/>
      <w:numFmt w:val="decimal"/>
      <w:lvlText w:val="3.%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B917BE"/>
    <w:multiLevelType w:val="multilevel"/>
    <w:tmpl w:val="06B917BE"/>
    <w:lvl w:ilvl="0" w:tentative="0">
      <w:start w:val="1"/>
      <w:numFmt w:val="decimal"/>
      <w:lvlText w:val="1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FB046F"/>
    <w:multiLevelType w:val="multilevel"/>
    <w:tmpl w:val="0DFB046F"/>
    <w:lvl w:ilvl="0" w:tentative="0">
      <w:start w:val="1"/>
      <w:numFmt w:val="decimal"/>
      <w:lvlText w:val="2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E5B5DDB"/>
    <w:multiLevelType w:val="multilevel"/>
    <w:tmpl w:val="0E5B5DDB"/>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2242ED0"/>
    <w:multiLevelType w:val="multilevel"/>
    <w:tmpl w:val="12242ED0"/>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5F69BB"/>
    <w:multiLevelType w:val="multilevel"/>
    <w:tmpl w:val="135F69BB"/>
    <w:lvl w:ilvl="0" w:tentative="0">
      <w:start w:val="1"/>
      <w:numFmt w:val="decimal"/>
      <w:lvlText w:val="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802286"/>
    <w:multiLevelType w:val="multilevel"/>
    <w:tmpl w:val="14802286"/>
    <w:lvl w:ilvl="0" w:tentative="0">
      <w:start w:val="1"/>
      <w:numFmt w:val="decimalEnclosedCircle"/>
      <w:lvlText w:val="%1"/>
      <w:lvlJc w:val="left"/>
      <w:pPr>
        <w:ind w:left="644" w:hanging="360"/>
      </w:pPr>
      <w:rPr>
        <w:rFonts w:hint="default"/>
        <w:b w:val="0"/>
        <w:color w:val="auto"/>
        <w:lang w:val="en-US"/>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10">
    <w:nsid w:val="15E95106"/>
    <w:multiLevelType w:val="multilevel"/>
    <w:tmpl w:val="15E95106"/>
    <w:lvl w:ilvl="0" w:tentative="0">
      <w:start w:val="1"/>
      <w:numFmt w:val="decimal"/>
      <w:lvlText w:val="2.%1"/>
      <w:lvlJc w:val="left"/>
      <w:pPr>
        <w:ind w:left="75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AE00AF"/>
    <w:multiLevelType w:val="multilevel"/>
    <w:tmpl w:val="18AE00AF"/>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B01E34"/>
    <w:multiLevelType w:val="multilevel"/>
    <w:tmpl w:val="19B01E34"/>
    <w:lvl w:ilvl="0" w:tentative="0">
      <w:start w:val="1"/>
      <w:numFmt w:val="decimal"/>
      <w:lvlText w:val="2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9D6F21"/>
    <w:multiLevelType w:val="multilevel"/>
    <w:tmpl w:val="1C9D6F21"/>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FF779BD"/>
    <w:multiLevelType w:val="multilevel"/>
    <w:tmpl w:val="1FF779BD"/>
    <w:lvl w:ilvl="0" w:tentative="0">
      <w:start w:val="1"/>
      <w:numFmt w:val="decimal"/>
      <w:lvlText w:val="4.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0977DA7"/>
    <w:multiLevelType w:val="multilevel"/>
    <w:tmpl w:val="20977DA7"/>
    <w:lvl w:ilvl="0" w:tentative="0">
      <w:start w:val="1"/>
      <w:numFmt w:val="decimal"/>
      <w:lvlText w:val="2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0C13311"/>
    <w:multiLevelType w:val="multilevel"/>
    <w:tmpl w:val="20C13311"/>
    <w:lvl w:ilvl="0" w:tentative="0">
      <w:start w:val="1"/>
      <w:numFmt w:val="japaneseCounting"/>
      <w:lvlText w:val="第%1条"/>
      <w:lvlJc w:val="left"/>
      <w:pPr>
        <w:tabs>
          <w:tab w:val="left" w:pos="855"/>
        </w:tabs>
        <w:ind w:left="855" w:hanging="855"/>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3373CFB"/>
    <w:multiLevelType w:val="multilevel"/>
    <w:tmpl w:val="23373CFB"/>
    <w:lvl w:ilvl="0" w:tentative="0">
      <w:start w:val="1"/>
      <w:numFmt w:val="decimal"/>
      <w:lvlText w:val="1.%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3407930"/>
    <w:multiLevelType w:val="multilevel"/>
    <w:tmpl w:val="23407930"/>
    <w:lvl w:ilvl="0" w:tentative="0">
      <w:start w:val="1"/>
      <w:numFmt w:val="decimal"/>
      <w:lvlText w:val="2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49B1091"/>
    <w:multiLevelType w:val="multilevel"/>
    <w:tmpl w:val="249B1091"/>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ED96F79"/>
    <w:multiLevelType w:val="multilevel"/>
    <w:tmpl w:val="2ED96F79"/>
    <w:lvl w:ilvl="0" w:tentative="0">
      <w:start w:val="1"/>
      <w:numFmt w:val="decimal"/>
      <w:lvlText w:val="35.%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F87164A"/>
    <w:multiLevelType w:val="multilevel"/>
    <w:tmpl w:val="2F87164A"/>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2D25E38"/>
    <w:multiLevelType w:val="multilevel"/>
    <w:tmpl w:val="32D25E38"/>
    <w:lvl w:ilvl="0" w:tentative="0">
      <w:start w:val="1"/>
      <w:numFmt w:val="decimal"/>
      <w:lvlText w:val="2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3272FC0"/>
    <w:multiLevelType w:val="multilevel"/>
    <w:tmpl w:val="33272FC0"/>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5140FCC"/>
    <w:multiLevelType w:val="multilevel"/>
    <w:tmpl w:val="35140FCC"/>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6A52932"/>
    <w:multiLevelType w:val="multilevel"/>
    <w:tmpl w:val="36A52932"/>
    <w:lvl w:ilvl="0" w:tentative="0">
      <w:start w:val="0"/>
      <w:numFmt w:val="bullet"/>
      <w:lvlText w:val=""/>
      <w:lvlJc w:val="left"/>
      <w:pPr>
        <w:ind w:left="1060" w:hanging="420"/>
      </w:pPr>
      <w:rPr>
        <w:rFonts w:hint="default" w:ascii="Wingdings" w:hAnsi="Wingdings" w:eastAsia="Wingdings" w:cs="Wingdings"/>
        <w:w w:val="100"/>
        <w:sz w:val="24"/>
        <w:szCs w:val="24"/>
        <w:lang w:val="en-US" w:eastAsia="zh-CN" w:bidi="ar-SA"/>
      </w:rPr>
    </w:lvl>
    <w:lvl w:ilvl="1" w:tentative="0">
      <w:start w:val="0"/>
      <w:numFmt w:val="bullet"/>
      <w:lvlText w:val="•"/>
      <w:lvlJc w:val="left"/>
      <w:pPr>
        <w:ind w:left="1967" w:hanging="420"/>
      </w:pPr>
      <w:rPr>
        <w:rFonts w:hint="default"/>
        <w:lang w:val="en-US" w:eastAsia="zh-CN" w:bidi="ar-SA"/>
      </w:rPr>
    </w:lvl>
    <w:lvl w:ilvl="2" w:tentative="0">
      <w:start w:val="0"/>
      <w:numFmt w:val="bullet"/>
      <w:lvlText w:val="•"/>
      <w:lvlJc w:val="left"/>
      <w:pPr>
        <w:ind w:left="2874" w:hanging="420"/>
      </w:pPr>
      <w:rPr>
        <w:rFonts w:hint="default"/>
        <w:lang w:val="en-US" w:eastAsia="zh-CN" w:bidi="ar-SA"/>
      </w:rPr>
    </w:lvl>
    <w:lvl w:ilvl="3" w:tentative="0">
      <w:start w:val="0"/>
      <w:numFmt w:val="bullet"/>
      <w:lvlText w:val="•"/>
      <w:lvlJc w:val="left"/>
      <w:pPr>
        <w:ind w:left="3781" w:hanging="420"/>
      </w:pPr>
      <w:rPr>
        <w:rFonts w:hint="default"/>
        <w:lang w:val="en-US" w:eastAsia="zh-CN" w:bidi="ar-SA"/>
      </w:rPr>
    </w:lvl>
    <w:lvl w:ilvl="4" w:tentative="0">
      <w:start w:val="0"/>
      <w:numFmt w:val="bullet"/>
      <w:lvlText w:val="•"/>
      <w:lvlJc w:val="left"/>
      <w:pPr>
        <w:ind w:left="4688" w:hanging="420"/>
      </w:pPr>
      <w:rPr>
        <w:rFonts w:hint="default"/>
        <w:lang w:val="en-US" w:eastAsia="zh-CN" w:bidi="ar-SA"/>
      </w:rPr>
    </w:lvl>
    <w:lvl w:ilvl="5" w:tentative="0">
      <w:start w:val="0"/>
      <w:numFmt w:val="bullet"/>
      <w:lvlText w:val="•"/>
      <w:lvlJc w:val="left"/>
      <w:pPr>
        <w:ind w:left="5595" w:hanging="420"/>
      </w:pPr>
      <w:rPr>
        <w:rFonts w:hint="default"/>
        <w:lang w:val="en-US" w:eastAsia="zh-CN" w:bidi="ar-SA"/>
      </w:rPr>
    </w:lvl>
    <w:lvl w:ilvl="6" w:tentative="0">
      <w:start w:val="0"/>
      <w:numFmt w:val="bullet"/>
      <w:lvlText w:val="•"/>
      <w:lvlJc w:val="left"/>
      <w:pPr>
        <w:ind w:left="6502" w:hanging="420"/>
      </w:pPr>
      <w:rPr>
        <w:rFonts w:hint="default"/>
        <w:lang w:val="en-US" w:eastAsia="zh-CN" w:bidi="ar-SA"/>
      </w:rPr>
    </w:lvl>
    <w:lvl w:ilvl="7" w:tentative="0">
      <w:start w:val="0"/>
      <w:numFmt w:val="bullet"/>
      <w:lvlText w:val="•"/>
      <w:lvlJc w:val="left"/>
      <w:pPr>
        <w:ind w:left="7409" w:hanging="420"/>
      </w:pPr>
      <w:rPr>
        <w:rFonts w:hint="default"/>
        <w:lang w:val="en-US" w:eastAsia="zh-CN" w:bidi="ar-SA"/>
      </w:rPr>
    </w:lvl>
    <w:lvl w:ilvl="8" w:tentative="0">
      <w:start w:val="0"/>
      <w:numFmt w:val="bullet"/>
      <w:lvlText w:val="•"/>
      <w:lvlJc w:val="left"/>
      <w:pPr>
        <w:ind w:left="8316" w:hanging="420"/>
      </w:pPr>
      <w:rPr>
        <w:rFonts w:hint="default"/>
        <w:lang w:val="en-US" w:eastAsia="zh-CN" w:bidi="ar-SA"/>
      </w:rPr>
    </w:lvl>
  </w:abstractNum>
  <w:abstractNum w:abstractNumId="26">
    <w:nsid w:val="39757662"/>
    <w:multiLevelType w:val="multilevel"/>
    <w:tmpl w:val="39757662"/>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B090AED"/>
    <w:multiLevelType w:val="multilevel"/>
    <w:tmpl w:val="3B090AED"/>
    <w:lvl w:ilvl="0" w:tentative="0">
      <w:start w:val="1"/>
      <w:numFmt w:val="decimal"/>
      <w:lvlText w:val="1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B340122"/>
    <w:multiLevelType w:val="multilevel"/>
    <w:tmpl w:val="3B340122"/>
    <w:lvl w:ilvl="0" w:tentative="0">
      <w:start w:val="1"/>
      <w:numFmt w:val="decimal"/>
      <w:lvlText w:val="5.%1"/>
      <w:lvlJc w:val="left"/>
      <w:pPr>
        <w:ind w:left="5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F932A7F"/>
    <w:multiLevelType w:val="multilevel"/>
    <w:tmpl w:val="3F932A7F"/>
    <w:lvl w:ilvl="0" w:tentative="0">
      <w:start w:val="1"/>
      <w:numFmt w:val="decimal"/>
      <w:lvlText w:val="1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FBD0427"/>
    <w:multiLevelType w:val="multilevel"/>
    <w:tmpl w:val="3FBD0427"/>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422E303B"/>
    <w:multiLevelType w:val="multilevel"/>
    <w:tmpl w:val="422E303B"/>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7C16F3C"/>
    <w:multiLevelType w:val="multilevel"/>
    <w:tmpl w:val="47C16F3C"/>
    <w:lvl w:ilvl="0" w:tentative="0">
      <w:start w:val="1"/>
      <w:numFmt w:val="decimal"/>
      <w:lvlText w:val="%1."/>
      <w:lvlJc w:val="left"/>
      <w:pPr>
        <w:ind w:left="3114" w:hanging="420"/>
      </w:pPr>
    </w:lvl>
    <w:lvl w:ilvl="1" w:tentative="0">
      <w:start w:val="1"/>
      <w:numFmt w:val="decimal"/>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33">
    <w:nsid w:val="492D7C2F"/>
    <w:multiLevelType w:val="multilevel"/>
    <w:tmpl w:val="492D7C2F"/>
    <w:lvl w:ilvl="0" w:tentative="0">
      <w:start w:val="1"/>
      <w:numFmt w:val="decimal"/>
      <w:lvlText w:val="1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9E47DF9"/>
    <w:multiLevelType w:val="multilevel"/>
    <w:tmpl w:val="49E47DF9"/>
    <w:lvl w:ilvl="0" w:tentative="0">
      <w:start w:val="1"/>
      <w:numFmt w:val="decimal"/>
      <w:lvlText w:val="2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4ADE72FF"/>
    <w:multiLevelType w:val="multilevel"/>
    <w:tmpl w:val="4ADE72FF"/>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27C1342"/>
    <w:multiLevelType w:val="multilevel"/>
    <w:tmpl w:val="527C1342"/>
    <w:lvl w:ilvl="0" w:tentative="0">
      <w:start w:val="1"/>
      <w:numFmt w:val="decimal"/>
      <w:lvlText w:val="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29E9CBE"/>
    <w:multiLevelType w:val="singleLevel"/>
    <w:tmpl w:val="529E9CBE"/>
    <w:lvl w:ilvl="0" w:tentative="0">
      <w:start w:val="1"/>
      <w:numFmt w:val="decimal"/>
      <w:lvlText w:val="(%1)"/>
      <w:lvlJc w:val="left"/>
      <w:pPr>
        <w:ind w:left="420" w:hanging="420"/>
      </w:pPr>
      <w:rPr>
        <w:rFonts w:hint="default"/>
      </w:rPr>
    </w:lvl>
  </w:abstractNum>
  <w:abstractNum w:abstractNumId="38">
    <w:nsid w:val="53F2C71E"/>
    <w:multiLevelType w:val="singleLevel"/>
    <w:tmpl w:val="53F2C71E"/>
    <w:lvl w:ilvl="0" w:tentative="0">
      <w:start w:val="1"/>
      <w:numFmt w:val="decimal"/>
      <w:lvlText w:val="(%1)"/>
      <w:lvlJc w:val="left"/>
      <w:pPr>
        <w:ind w:left="420" w:hanging="420"/>
      </w:pPr>
      <w:rPr>
        <w:rFonts w:hint="default"/>
      </w:rPr>
    </w:lvl>
  </w:abstractNum>
  <w:abstractNum w:abstractNumId="39">
    <w:nsid w:val="5B3B3D34"/>
    <w:multiLevelType w:val="multilevel"/>
    <w:tmpl w:val="5B3B3D34"/>
    <w:lvl w:ilvl="0" w:tentative="0">
      <w:start w:val="1"/>
      <w:numFmt w:val="decimal"/>
      <w:lvlText w:val="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BD66447"/>
    <w:multiLevelType w:val="multilevel"/>
    <w:tmpl w:val="5BD6644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E830E46"/>
    <w:multiLevelType w:val="multilevel"/>
    <w:tmpl w:val="5E830E46"/>
    <w:lvl w:ilvl="0" w:tentative="0">
      <w:start w:val="1"/>
      <w:numFmt w:val="decimal"/>
      <w:lvlText w:val="36.%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0AF8DF7"/>
    <w:multiLevelType w:val="singleLevel"/>
    <w:tmpl w:val="60AF8DF7"/>
    <w:lvl w:ilvl="0" w:tentative="0">
      <w:start w:val="3"/>
      <w:numFmt w:val="decimal"/>
      <w:suff w:val="nothing"/>
      <w:lvlText w:val="（%1）"/>
      <w:lvlJc w:val="left"/>
      <w:pPr>
        <w:tabs>
          <w:tab w:val="left" w:pos="0"/>
        </w:tabs>
      </w:pPr>
      <w:rPr>
        <w:rFonts w:hint="default"/>
      </w:rPr>
    </w:lvl>
  </w:abstractNum>
  <w:abstractNum w:abstractNumId="43">
    <w:nsid w:val="63CA1770"/>
    <w:multiLevelType w:val="multilevel"/>
    <w:tmpl w:val="63CA1770"/>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4CB035C"/>
    <w:multiLevelType w:val="multilevel"/>
    <w:tmpl w:val="64CB035C"/>
    <w:lvl w:ilvl="0" w:tentative="0">
      <w:start w:val="1"/>
      <w:numFmt w:val="decimal"/>
      <w:lvlText w:val="3.2.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73652E8"/>
    <w:multiLevelType w:val="multilevel"/>
    <w:tmpl w:val="673652E8"/>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8BF549E"/>
    <w:multiLevelType w:val="singleLevel"/>
    <w:tmpl w:val="68BF549E"/>
    <w:lvl w:ilvl="0" w:tentative="0">
      <w:start w:val="1"/>
      <w:numFmt w:val="lowerLetter"/>
      <w:lvlText w:val="%1."/>
      <w:lvlJc w:val="left"/>
      <w:pPr>
        <w:tabs>
          <w:tab w:val="left" w:pos="312"/>
        </w:tabs>
      </w:pPr>
    </w:lvl>
  </w:abstractNum>
  <w:abstractNum w:abstractNumId="47">
    <w:nsid w:val="68F255C4"/>
    <w:multiLevelType w:val="multilevel"/>
    <w:tmpl w:val="68F255C4"/>
    <w:lvl w:ilvl="0" w:tentative="0">
      <w:start w:val="1"/>
      <w:numFmt w:val="decimal"/>
      <w:lvlText w:val="2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C37522D"/>
    <w:multiLevelType w:val="multilevel"/>
    <w:tmpl w:val="6C37522D"/>
    <w:lvl w:ilvl="0" w:tentative="0">
      <w:start w:val="1"/>
      <w:numFmt w:val="decimal"/>
      <w:lvlText w:val="2.7.%1"/>
      <w:lvlJc w:val="left"/>
      <w:pPr>
        <w:ind w:left="25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6CAF4C38"/>
    <w:multiLevelType w:val="multilevel"/>
    <w:tmpl w:val="6CAF4C3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6E295D8C"/>
    <w:multiLevelType w:val="multilevel"/>
    <w:tmpl w:val="6E295D8C"/>
    <w:lvl w:ilvl="0" w:tentative="0">
      <w:start w:val="1"/>
      <w:numFmt w:val="decimal"/>
      <w:lvlText w:val="2.6.%1"/>
      <w:lvlJc w:val="left"/>
      <w:pPr>
        <w:ind w:left="271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6E806F55"/>
    <w:multiLevelType w:val="multilevel"/>
    <w:tmpl w:val="6E806F55"/>
    <w:lvl w:ilvl="0" w:tentative="0">
      <w:start w:val="1"/>
      <w:numFmt w:val="lowerLetter"/>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2">
    <w:nsid w:val="702D315C"/>
    <w:multiLevelType w:val="multilevel"/>
    <w:tmpl w:val="702D315C"/>
    <w:lvl w:ilvl="0" w:tentative="0">
      <w:start w:val="1"/>
      <w:numFmt w:val="decimal"/>
      <w:lvlText w:val="23.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0C7430E"/>
    <w:multiLevelType w:val="multilevel"/>
    <w:tmpl w:val="70C7430E"/>
    <w:lvl w:ilvl="0" w:tentative="0">
      <w:start w:val="1"/>
      <w:numFmt w:val="decimal"/>
      <w:lvlText w:val="3.2.%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16D9EB6"/>
    <w:multiLevelType w:val="singleLevel"/>
    <w:tmpl w:val="716D9EB6"/>
    <w:lvl w:ilvl="0" w:tentative="0">
      <w:start w:val="1"/>
      <w:numFmt w:val="decimal"/>
      <w:suff w:val="nothing"/>
      <w:lvlText w:val="%1、"/>
      <w:lvlJc w:val="left"/>
    </w:lvl>
  </w:abstractNum>
  <w:abstractNum w:abstractNumId="55">
    <w:nsid w:val="72C40BD0"/>
    <w:multiLevelType w:val="multilevel"/>
    <w:tmpl w:val="72C40BD0"/>
    <w:lvl w:ilvl="0" w:tentative="0">
      <w:start w:val="1"/>
      <w:numFmt w:val="decimal"/>
      <w:lvlText w:val="37.%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5E10196"/>
    <w:multiLevelType w:val="multilevel"/>
    <w:tmpl w:val="75E10196"/>
    <w:lvl w:ilvl="0" w:tentative="0">
      <w:start w:val="1"/>
      <w:numFmt w:val="decimal"/>
      <w:lvlText w:val="3.1.%1"/>
      <w:lvlJc w:val="left"/>
      <w:pPr>
        <w:ind w:left="2935"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7264906"/>
    <w:multiLevelType w:val="multilevel"/>
    <w:tmpl w:val="77264906"/>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79396209"/>
    <w:multiLevelType w:val="multilevel"/>
    <w:tmpl w:val="79396209"/>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7B605673"/>
    <w:multiLevelType w:val="multilevel"/>
    <w:tmpl w:val="7B605673"/>
    <w:lvl w:ilvl="0" w:tentative="0">
      <w:start w:val="1"/>
      <w:numFmt w:val="decimal"/>
      <w:lvlText w:val="3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7B745647"/>
    <w:multiLevelType w:val="multilevel"/>
    <w:tmpl w:val="7B745647"/>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1">
    <w:nsid w:val="7F412A3D"/>
    <w:multiLevelType w:val="multilevel"/>
    <w:tmpl w:val="7F412A3D"/>
    <w:lvl w:ilvl="0" w:tentative="0">
      <w:start w:val="1"/>
      <w:numFmt w:val="decimal"/>
      <w:lvlText w:val="2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8"/>
  </w:num>
  <w:num w:numId="3">
    <w:abstractNumId w:val="2"/>
  </w:num>
  <w:num w:numId="4">
    <w:abstractNumId w:val="32"/>
  </w:num>
  <w:num w:numId="5">
    <w:abstractNumId w:val="17"/>
  </w:num>
  <w:num w:numId="6">
    <w:abstractNumId w:val="39"/>
  </w:num>
  <w:num w:numId="7">
    <w:abstractNumId w:val="3"/>
  </w:num>
  <w:num w:numId="8">
    <w:abstractNumId w:val="36"/>
  </w:num>
  <w:num w:numId="9">
    <w:abstractNumId w:val="14"/>
  </w:num>
  <w:num w:numId="10">
    <w:abstractNumId w:val="57"/>
  </w:num>
  <w:num w:numId="11">
    <w:abstractNumId w:val="6"/>
  </w:num>
  <w:num w:numId="12">
    <w:abstractNumId w:val="45"/>
  </w:num>
  <w:num w:numId="13">
    <w:abstractNumId w:val="13"/>
  </w:num>
  <w:num w:numId="14">
    <w:abstractNumId w:val="19"/>
  </w:num>
  <w:num w:numId="15">
    <w:abstractNumId w:val="31"/>
  </w:num>
  <w:num w:numId="16">
    <w:abstractNumId w:val="58"/>
  </w:num>
  <w:num w:numId="17">
    <w:abstractNumId w:val="38"/>
  </w:num>
  <w:num w:numId="18">
    <w:abstractNumId w:val="37"/>
  </w:num>
  <w:num w:numId="19">
    <w:abstractNumId w:val="9"/>
  </w:num>
  <w:num w:numId="20">
    <w:abstractNumId w:val="35"/>
  </w:num>
  <w:num w:numId="21">
    <w:abstractNumId w:val="60"/>
  </w:num>
  <w:num w:numId="22">
    <w:abstractNumId w:val="7"/>
  </w:num>
  <w:num w:numId="23">
    <w:abstractNumId w:val="11"/>
  </w:num>
  <w:num w:numId="24">
    <w:abstractNumId w:val="4"/>
  </w:num>
  <w:num w:numId="25">
    <w:abstractNumId w:val="27"/>
  </w:num>
  <w:num w:numId="26">
    <w:abstractNumId w:val="29"/>
  </w:num>
  <w:num w:numId="27">
    <w:abstractNumId w:val="33"/>
  </w:num>
  <w:num w:numId="28">
    <w:abstractNumId w:val="47"/>
  </w:num>
  <w:num w:numId="29">
    <w:abstractNumId w:val="23"/>
  </w:num>
  <w:num w:numId="30">
    <w:abstractNumId w:val="43"/>
  </w:num>
  <w:num w:numId="31">
    <w:abstractNumId w:val="34"/>
  </w:num>
  <w:num w:numId="32">
    <w:abstractNumId w:val="21"/>
  </w:num>
  <w:num w:numId="33">
    <w:abstractNumId w:val="52"/>
  </w:num>
  <w:num w:numId="34">
    <w:abstractNumId w:val="15"/>
  </w:num>
  <w:num w:numId="35">
    <w:abstractNumId w:val="22"/>
  </w:num>
  <w:num w:numId="36">
    <w:abstractNumId w:val="5"/>
  </w:num>
  <w:num w:numId="37">
    <w:abstractNumId w:val="12"/>
  </w:num>
  <w:num w:numId="38">
    <w:abstractNumId w:val="61"/>
  </w:num>
  <w:num w:numId="39">
    <w:abstractNumId w:val="18"/>
  </w:num>
  <w:num w:numId="40">
    <w:abstractNumId w:val="59"/>
  </w:num>
  <w:num w:numId="41">
    <w:abstractNumId w:val="26"/>
  </w:num>
  <w:num w:numId="42">
    <w:abstractNumId w:val="24"/>
  </w:num>
  <w:num w:numId="43">
    <w:abstractNumId w:val="30"/>
  </w:num>
  <w:num w:numId="44">
    <w:abstractNumId w:val="20"/>
  </w:num>
  <w:num w:numId="45">
    <w:abstractNumId w:val="41"/>
  </w:num>
  <w:num w:numId="46">
    <w:abstractNumId w:val="55"/>
  </w:num>
  <w:num w:numId="47">
    <w:abstractNumId w:val="10"/>
  </w:num>
  <w:num w:numId="48">
    <w:abstractNumId w:val="50"/>
  </w:num>
  <w:num w:numId="49">
    <w:abstractNumId w:val="48"/>
  </w:num>
  <w:num w:numId="50">
    <w:abstractNumId w:val="8"/>
  </w:num>
  <w:num w:numId="51">
    <w:abstractNumId w:val="56"/>
  </w:num>
  <w:num w:numId="52">
    <w:abstractNumId w:val="53"/>
  </w:num>
  <w:num w:numId="53">
    <w:abstractNumId w:val="49"/>
  </w:num>
  <w:num w:numId="54">
    <w:abstractNumId w:val="44"/>
  </w:num>
  <w:num w:numId="55">
    <w:abstractNumId w:val="25"/>
  </w:num>
  <w:num w:numId="56">
    <w:abstractNumId w:val="16"/>
  </w:num>
  <w:num w:numId="57">
    <w:abstractNumId w:val="40"/>
  </w:num>
  <w:num w:numId="58">
    <w:abstractNumId w:val="0"/>
  </w:num>
  <w:num w:numId="59">
    <w:abstractNumId w:val="54"/>
  </w:num>
  <w:num w:numId="60">
    <w:abstractNumId w:val="46"/>
  </w:num>
  <w:num w:numId="61">
    <w:abstractNumId w:val="42"/>
  </w:num>
  <w:num w:numId="62">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hideSpellingErrors/>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xOTVkN2ZmMjVjM2EzNTY4MWNhM2I2OGZkMjAyOTMifQ=="/>
  </w:docVars>
  <w:rsids>
    <w:rsidRoot w:val="00172A27"/>
    <w:rsid w:val="00000CA2"/>
    <w:rsid w:val="00001189"/>
    <w:rsid w:val="0000191F"/>
    <w:rsid w:val="00001C8D"/>
    <w:rsid w:val="00001CA8"/>
    <w:rsid w:val="0000251E"/>
    <w:rsid w:val="0000324D"/>
    <w:rsid w:val="00004127"/>
    <w:rsid w:val="000048EC"/>
    <w:rsid w:val="00004BC5"/>
    <w:rsid w:val="0000510A"/>
    <w:rsid w:val="000058BE"/>
    <w:rsid w:val="00005955"/>
    <w:rsid w:val="00005E2C"/>
    <w:rsid w:val="00007C27"/>
    <w:rsid w:val="00007E12"/>
    <w:rsid w:val="000105D4"/>
    <w:rsid w:val="000107C0"/>
    <w:rsid w:val="00010E18"/>
    <w:rsid w:val="00010E91"/>
    <w:rsid w:val="00011449"/>
    <w:rsid w:val="00011C05"/>
    <w:rsid w:val="00012055"/>
    <w:rsid w:val="000132ED"/>
    <w:rsid w:val="00013E39"/>
    <w:rsid w:val="00014261"/>
    <w:rsid w:val="000142B1"/>
    <w:rsid w:val="0001430F"/>
    <w:rsid w:val="00014822"/>
    <w:rsid w:val="000148FD"/>
    <w:rsid w:val="000153A2"/>
    <w:rsid w:val="00015461"/>
    <w:rsid w:val="00015601"/>
    <w:rsid w:val="00015A5E"/>
    <w:rsid w:val="000161F2"/>
    <w:rsid w:val="000163BC"/>
    <w:rsid w:val="0001657D"/>
    <w:rsid w:val="00016591"/>
    <w:rsid w:val="000165C8"/>
    <w:rsid w:val="00016FB9"/>
    <w:rsid w:val="00017592"/>
    <w:rsid w:val="00017690"/>
    <w:rsid w:val="0001773B"/>
    <w:rsid w:val="0002004A"/>
    <w:rsid w:val="000201E7"/>
    <w:rsid w:val="0002022A"/>
    <w:rsid w:val="00021ACC"/>
    <w:rsid w:val="00021B80"/>
    <w:rsid w:val="000222B5"/>
    <w:rsid w:val="00025026"/>
    <w:rsid w:val="000250B9"/>
    <w:rsid w:val="00025609"/>
    <w:rsid w:val="00025E98"/>
    <w:rsid w:val="0002608A"/>
    <w:rsid w:val="0002628B"/>
    <w:rsid w:val="0002646B"/>
    <w:rsid w:val="00026990"/>
    <w:rsid w:val="000273F2"/>
    <w:rsid w:val="000279F6"/>
    <w:rsid w:val="00031B2E"/>
    <w:rsid w:val="00033297"/>
    <w:rsid w:val="0003333F"/>
    <w:rsid w:val="00034A7F"/>
    <w:rsid w:val="00035428"/>
    <w:rsid w:val="00036D5E"/>
    <w:rsid w:val="000372BF"/>
    <w:rsid w:val="000375E6"/>
    <w:rsid w:val="00040203"/>
    <w:rsid w:val="0004024E"/>
    <w:rsid w:val="00040C26"/>
    <w:rsid w:val="00040EE0"/>
    <w:rsid w:val="0004138A"/>
    <w:rsid w:val="00041618"/>
    <w:rsid w:val="0004184E"/>
    <w:rsid w:val="00041D0B"/>
    <w:rsid w:val="0004277D"/>
    <w:rsid w:val="00043F71"/>
    <w:rsid w:val="00044522"/>
    <w:rsid w:val="0004457C"/>
    <w:rsid w:val="000446E3"/>
    <w:rsid w:val="00044937"/>
    <w:rsid w:val="00044E97"/>
    <w:rsid w:val="00044FDE"/>
    <w:rsid w:val="00045468"/>
    <w:rsid w:val="000456FE"/>
    <w:rsid w:val="00046303"/>
    <w:rsid w:val="000478E9"/>
    <w:rsid w:val="00047CDB"/>
    <w:rsid w:val="00050433"/>
    <w:rsid w:val="000510D8"/>
    <w:rsid w:val="00051A87"/>
    <w:rsid w:val="00052641"/>
    <w:rsid w:val="00052BD7"/>
    <w:rsid w:val="00053018"/>
    <w:rsid w:val="00053110"/>
    <w:rsid w:val="00053732"/>
    <w:rsid w:val="000554B5"/>
    <w:rsid w:val="00055610"/>
    <w:rsid w:val="0005561E"/>
    <w:rsid w:val="00055E1A"/>
    <w:rsid w:val="00055F6D"/>
    <w:rsid w:val="00056AB5"/>
    <w:rsid w:val="00060E1F"/>
    <w:rsid w:val="00061739"/>
    <w:rsid w:val="00061A67"/>
    <w:rsid w:val="00061D88"/>
    <w:rsid w:val="00061FA0"/>
    <w:rsid w:val="00062485"/>
    <w:rsid w:val="000634CB"/>
    <w:rsid w:val="00063C2F"/>
    <w:rsid w:val="00063E8B"/>
    <w:rsid w:val="000663ED"/>
    <w:rsid w:val="0006657F"/>
    <w:rsid w:val="00067071"/>
    <w:rsid w:val="000672CF"/>
    <w:rsid w:val="00067D4E"/>
    <w:rsid w:val="00070E6A"/>
    <w:rsid w:val="00070FB6"/>
    <w:rsid w:val="0007125C"/>
    <w:rsid w:val="000715FC"/>
    <w:rsid w:val="000733E8"/>
    <w:rsid w:val="00073885"/>
    <w:rsid w:val="000738E0"/>
    <w:rsid w:val="00074A84"/>
    <w:rsid w:val="00075A95"/>
    <w:rsid w:val="0007684C"/>
    <w:rsid w:val="00076BF5"/>
    <w:rsid w:val="0007723D"/>
    <w:rsid w:val="00077FA4"/>
    <w:rsid w:val="00080BA5"/>
    <w:rsid w:val="0008285A"/>
    <w:rsid w:val="00082F31"/>
    <w:rsid w:val="00083729"/>
    <w:rsid w:val="00083B1F"/>
    <w:rsid w:val="00083B42"/>
    <w:rsid w:val="000842FB"/>
    <w:rsid w:val="00085463"/>
    <w:rsid w:val="000854F1"/>
    <w:rsid w:val="0008583A"/>
    <w:rsid w:val="00085ACF"/>
    <w:rsid w:val="00086833"/>
    <w:rsid w:val="000879F4"/>
    <w:rsid w:val="000908D5"/>
    <w:rsid w:val="00090D64"/>
    <w:rsid w:val="0009151B"/>
    <w:rsid w:val="00091569"/>
    <w:rsid w:val="00092CB3"/>
    <w:rsid w:val="00093918"/>
    <w:rsid w:val="000946DF"/>
    <w:rsid w:val="00095D9B"/>
    <w:rsid w:val="00095DD6"/>
    <w:rsid w:val="000963DC"/>
    <w:rsid w:val="000964DA"/>
    <w:rsid w:val="000968E4"/>
    <w:rsid w:val="0009729B"/>
    <w:rsid w:val="00097382"/>
    <w:rsid w:val="000979BA"/>
    <w:rsid w:val="00097E1B"/>
    <w:rsid w:val="000A0490"/>
    <w:rsid w:val="000A0A85"/>
    <w:rsid w:val="000A1627"/>
    <w:rsid w:val="000A3380"/>
    <w:rsid w:val="000A3447"/>
    <w:rsid w:val="000A4F2F"/>
    <w:rsid w:val="000A4F94"/>
    <w:rsid w:val="000A5140"/>
    <w:rsid w:val="000A64BE"/>
    <w:rsid w:val="000A72C9"/>
    <w:rsid w:val="000A7F95"/>
    <w:rsid w:val="000B0B84"/>
    <w:rsid w:val="000B1369"/>
    <w:rsid w:val="000B16AF"/>
    <w:rsid w:val="000B2C22"/>
    <w:rsid w:val="000B3417"/>
    <w:rsid w:val="000B3D62"/>
    <w:rsid w:val="000B491D"/>
    <w:rsid w:val="000B4AB9"/>
    <w:rsid w:val="000B5F1E"/>
    <w:rsid w:val="000B6596"/>
    <w:rsid w:val="000B68EB"/>
    <w:rsid w:val="000B69AA"/>
    <w:rsid w:val="000B7344"/>
    <w:rsid w:val="000B7787"/>
    <w:rsid w:val="000B7A31"/>
    <w:rsid w:val="000C0909"/>
    <w:rsid w:val="000C0E13"/>
    <w:rsid w:val="000C0EB5"/>
    <w:rsid w:val="000C11D1"/>
    <w:rsid w:val="000C138F"/>
    <w:rsid w:val="000C2038"/>
    <w:rsid w:val="000C21D4"/>
    <w:rsid w:val="000C2811"/>
    <w:rsid w:val="000C34CB"/>
    <w:rsid w:val="000C3DEA"/>
    <w:rsid w:val="000C458D"/>
    <w:rsid w:val="000C47D8"/>
    <w:rsid w:val="000C49CD"/>
    <w:rsid w:val="000C4EBA"/>
    <w:rsid w:val="000C54C0"/>
    <w:rsid w:val="000C572E"/>
    <w:rsid w:val="000C59B9"/>
    <w:rsid w:val="000C59DE"/>
    <w:rsid w:val="000C5E43"/>
    <w:rsid w:val="000C6B89"/>
    <w:rsid w:val="000C7EA0"/>
    <w:rsid w:val="000D0969"/>
    <w:rsid w:val="000D0998"/>
    <w:rsid w:val="000D0BA9"/>
    <w:rsid w:val="000D0EE6"/>
    <w:rsid w:val="000D14D7"/>
    <w:rsid w:val="000D16D2"/>
    <w:rsid w:val="000D1B5D"/>
    <w:rsid w:val="000D2651"/>
    <w:rsid w:val="000D27E0"/>
    <w:rsid w:val="000D306E"/>
    <w:rsid w:val="000D32D6"/>
    <w:rsid w:val="000D38C3"/>
    <w:rsid w:val="000D3EDD"/>
    <w:rsid w:val="000D527A"/>
    <w:rsid w:val="000D5A4E"/>
    <w:rsid w:val="000D5A62"/>
    <w:rsid w:val="000D5C15"/>
    <w:rsid w:val="000D5C1B"/>
    <w:rsid w:val="000D612D"/>
    <w:rsid w:val="000E012C"/>
    <w:rsid w:val="000E0658"/>
    <w:rsid w:val="000E1DD2"/>
    <w:rsid w:val="000E1F4B"/>
    <w:rsid w:val="000E33E2"/>
    <w:rsid w:val="000E34F3"/>
    <w:rsid w:val="000E376C"/>
    <w:rsid w:val="000E42F9"/>
    <w:rsid w:val="000E44F9"/>
    <w:rsid w:val="000E46DB"/>
    <w:rsid w:val="000E52CF"/>
    <w:rsid w:val="000E5815"/>
    <w:rsid w:val="000E5EF7"/>
    <w:rsid w:val="000E61C1"/>
    <w:rsid w:val="000E6254"/>
    <w:rsid w:val="000E656A"/>
    <w:rsid w:val="000E6B2D"/>
    <w:rsid w:val="000E7225"/>
    <w:rsid w:val="000E79C2"/>
    <w:rsid w:val="000F0A09"/>
    <w:rsid w:val="000F0A35"/>
    <w:rsid w:val="000F1D3A"/>
    <w:rsid w:val="000F2017"/>
    <w:rsid w:val="000F3066"/>
    <w:rsid w:val="000F57F3"/>
    <w:rsid w:val="000F5B12"/>
    <w:rsid w:val="000F5D20"/>
    <w:rsid w:val="000F6B30"/>
    <w:rsid w:val="000F6D8A"/>
    <w:rsid w:val="000F6E55"/>
    <w:rsid w:val="000F7B32"/>
    <w:rsid w:val="001007EF"/>
    <w:rsid w:val="001008D7"/>
    <w:rsid w:val="00101169"/>
    <w:rsid w:val="00101B2E"/>
    <w:rsid w:val="00101F21"/>
    <w:rsid w:val="00102145"/>
    <w:rsid w:val="001021A4"/>
    <w:rsid w:val="00103852"/>
    <w:rsid w:val="001047E4"/>
    <w:rsid w:val="0010494B"/>
    <w:rsid w:val="00104A36"/>
    <w:rsid w:val="00105201"/>
    <w:rsid w:val="00105385"/>
    <w:rsid w:val="00105746"/>
    <w:rsid w:val="001062CB"/>
    <w:rsid w:val="0010673D"/>
    <w:rsid w:val="001078B5"/>
    <w:rsid w:val="001104C2"/>
    <w:rsid w:val="00110E05"/>
    <w:rsid w:val="00110EA4"/>
    <w:rsid w:val="00111327"/>
    <w:rsid w:val="00111C37"/>
    <w:rsid w:val="001125B4"/>
    <w:rsid w:val="00112B2B"/>
    <w:rsid w:val="00112B66"/>
    <w:rsid w:val="00112C2F"/>
    <w:rsid w:val="00113234"/>
    <w:rsid w:val="00116171"/>
    <w:rsid w:val="00116370"/>
    <w:rsid w:val="00116BF6"/>
    <w:rsid w:val="00116C08"/>
    <w:rsid w:val="00116DD8"/>
    <w:rsid w:val="001178EF"/>
    <w:rsid w:val="00120005"/>
    <w:rsid w:val="00120063"/>
    <w:rsid w:val="0012009C"/>
    <w:rsid w:val="00120F3E"/>
    <w:rsid w:val="00121633"/>
    <w:rsid w:val="0012212A"/>
    <w:rsid w:val="001225AF"/>
    <w:rsid w:val="001228BA"/>
    <w:rsid w:val="001242E8"/>
    <w:rsid w:val="00124AC1"/>
    <w:rsid w:val="001260DC"/>
    <w:rsid w:val="00126749"/>
    <w:rsid w:val="00130160"/>
    <w:rsid w:val="00131AE0"/>
    <w:rsid w:val="00131D08"/>
    <w:rsid w:val="00132034"/>
    <w:rsid w:val="00133B00"/>
    <w:rsid w:val="001356F0"/>
    <w:rsid w:val="00136554"/>
    <w:rsid w:val="001376EB"/>
    <w:rsid w:val="001403C4"/>
    <w:rsid w:val="00141271"/>
    <w:rsid w:val="00141A9C"/>
    <w:rsid w:val="00142E95"/>
    <w:rsid w:val="00144BA3"/>
    <w:rsid w:val="00146A91"/>
    <w:rsid w:val="00150032"/>
    <w:rsid w:val="00152491"/>
    <w:rsid w:val="00153613"/>
    <w:rsid w:val="001538BC"/>
    <w:rsid w:val="00154046"/>
    <w:rsid w:val="001558D6"/>
    <w:rsid w:val="00155913"/>
    <w:rsid w:val="00155C01"/>
    <w:rsid w:val="00155CA4"/>
    <w:rsid w:val="001567A2"/>
    <w:rsid w:val="00160270"/>
    <w:rsid w:val="00160FC4"/>
    <w:rsid w:val="001618A5"/>
    <w:rsid w:val="0016194E"/>
    <w:rsid w:val="00161C42"/>
    <w:rsid w:val="00163529"/>
    <w:rsid w:val="001641A2"/>
    <w:rsid w:val="001648CA"/>
    <w:rsid w:val="0016532D"/>
    <w:rsid w:val="001653DE"/>
    <w:rsid w:val="00166555"/>
    <w:rsid w:val="00166707"/>
    <w:rsid w:val="001706F4"/>
    <w:rsid w:val="001708BD"/>
    <w:rsid w:val="00170AFD"/>
    <w:rsid w:val="00171295"/>
    <w:rsid w:val="0017137D"/>
    <w:rsid w:val="001725D4"/>
    <w:rsid w:val="001729E7"/>
    <w:rsid w:val="00172A27"/>
    <w:rsid w:val="00173E47"/>
    <w:rsid w:val="00174362"/>
    <w:rsid w:val="0017445B"/>
    <w:rsid w:val="00176067"/>
    <w:rsid w:val="00176405"/>
    <w:rsid w:val="0017642C"/>
    <w:rsid w:val="0017690B"/>
    <w:rsid w:val="00176996"/>
    <w:rsid w:val="00176CB9"/>
    <w:rsid w:val="00177390"/>
    <w:rsid w:val="0018004F"/>
    <w:rsid w:val="0018025C"/>
    <w:rsid w:val="00180D93"/>
    <w:rsid w:val="001810B5"/>
    <w:rsid w:val="00181739"/>
    <w:rsid w:val="00182880"/>
    <w:rsid w:val="0018289E"/>
    <w:rsid w:val="00182D62"/>
    <w:rsid w:val="00185492"/>
    <w:rsid w:val="0018710F"/>
    <w:rsid w:val="00190157"/>
    <w:rsid w:val="001901D6"/>
    <w:rsid w:val="0019080E"/>
    <w:rsid w:val="001918C6"/>
    <w:rsid w:val="001926A7"/>
    <w:rsid w:val="00192775"/>
    <w:rsid w:val="00193596"/>
    <w:rsid w:val="001942FA"/>
    <w:rsid w:val="001947CB"/>
    <w:rsid w:val="001950B3"/>
    <w:rsid w:val="00195341"/>
    <w:rsid w:val="001969DE"/>
    <w:rsid w:val="00196AEA"/>
    <w:rsid w:val="00196B36"/>
    <w:rsid w:val="00196BD1"/>
    <w:rsid w:val="00196D28"/>
    <w:rsid w:val="0019726E"/>
    <w:rsid w:val="00197686"/>
    <w:rsid w:val="00197780"/>
    <w:rsid w:val="00197875"/>
    <w:rsid w:val="00197B3E"/>
    <w:rsid w:val="001A02A2"/>
    <w:rsid w:val="001A05C7"/>
    <w:rsid w:val="001A0A9E"/>
    <w:rsid w:val="001A1DF6"/>
    <w:rsid w:val="001A1F94"/>
    <w:rsid w:val="001A2035"/>
    <w:rsid w:val="001A309C"/>
    <w:rsid w:val="001A357E"/>
    <w:rsid w:val="001A3C5D"/>
    <w:rsid w:val="001A3DEF"/>
    <w:rsid w:val="001A4DAA"/>
    <w:rsid w:val="001A58AC"/>
    <w:rsid w:val="001A6002"/>
    <w:rsid w:val="001A6865"/>
    <w:rsid w:val="001A7A68"/>
    <w:rsid w:val="001A7AFB"/>
    <w:rsid w:val="001B0785"/>
    <w:rsid w:val="001B0D90"/>
    <w:rsid w:val="001B1585"/>
    <w:rsid w:val="001B1C46"/>
    <w:rsid w:val="001B2F75"/>
    <w:rsid w:val="001B532E"/>
    <w:rsid w:val="001B5F52"/>
    <w:rsid w:val="001B62F1"/>
    <w:rsid w:val="001B6483"/>
    <w:rsid w:val="001B6560"/>
    <w:rsid w:val="001B6670"/>
    <w:rsid w:val="001B66B2"/>
    <w:rsid w:val="001B6B14"/>
    <w:rsid w:val="001B6D0A"/>
    <w:rsid w:val="001C0930"/>
    <w:rsid w:val="001C13BA"/>
    <w:rsid w:val="001C15F4"/>
    <w:rsid w:val="001C2841"/>
    <w:rsid w:val="001C2982"/>
    <w:rsid w:val="001C2F41"/>
    <w:rsid w:val="001C356B"/>
    <w:rsid w:val="001C3EDC"/>
    <w:rsid w:val="001C4CE6"/>
    <w:rsid w:val="001C51A0"/>
    <w:rsid w:val="001C5B18"/>
    <w:rsid w:val="001C68D2"/>
    <w:rsid w:val="001C6E1F"/>
    <w:rsid w:val="001C6E85"/>
    <w:rsid w:val="001C7AA0"/>
    <w:rsid w:val="001C7CCA"/>
    <w:rsid w:val="001C7E54"/>
    <w:rsid w:val="001D07AB"/>
    <w:rsid w:val="001D0E65"/>
    <w:rsid w:val="001D125D"/>
    <w:rsid w:val="001D1852"/>
    <w:rsid w:val="001D27F7"/>
    <w:rsid w:val="001D2DC2"/>
    <w:rsid w:val="001D2F0F"/>
    <w:rsid w:val="001D40C9"/>
    <w:rsid w:val="001D56EA"/>
    <w:rsid w:val="001D6180"/>
    <w:rsid w:val="001D66F5"/>
    <w:rsid w:val="001D6775"/>
    <w:rsid w:val="001D6D6C"/>
    <w:rsid w:val="001D6EFF"/>
    <w:rsid w:val="001E0A0A"/>
    <w:rsid w:val="001E1C52"/>
    <w:rsid w:val="001E28CE"/>
    <w:rsid w:val="001E2B0B"/>
    <w:rsid w:val="001E3186"/>
    <w:rsid w:val="001E4599"/>
    <w:rsid w:val="001E7101"/>
    <w:rsid w:val="001E74ED"/>
    <w:rsid w:val="001E76D4"/>
    <w:rsid w:val="001F159B"/>
    <w:rsid w:val="001F1A89"/>
    <w:rsid w:val="001F1A8F"/>
    <w:rsid w:val="001F1AFF"/>
    <w:rsid w:val="001F1CF5"/>
    <w:rsid w:val="001F30CB"/>
    <w:rsid w:val="001F365D"/>
    <w:rsid w:val="001F3768"/>
    <w:rsid w:val="001F4171"/>
    <w:rsid w:val="001F47F5"/>
    <w:rsid w:val="001F4839"/>
    <w:rsid w:val="001F4DF7"/>
    <w:rsid w:val="001F69B1"/>
    <w:rsid w:val="001F7300"/>
    <w:rsid w:val="001F7BEB"/>
    <w:rsid w:val="001F7DFB"/>
    <w:rsid w:val="001F7E98"/>
    <w:rsid w:val="0020063F"/>
    <w:rsid w:val="00200B8F"/>
    <w:rsid w:val="00200C6C"/>
    <w:rsid w:val="00200C91"/>
    <w:rsid w:val="00201040"/>
    <w:rsid w:val="0020137C"/>
    <w:rsid w:val="00201B01"/>
    <w:rsid w:val="00203460"/>
    <w:rsid w:val="00203C42"/>
    <w:rsid w:val="0020426E"/>
    <w:rsid w:val="002067C9"/>
    <w:rsid w:val="0020693A"/>
    <w:rsid w:val="00207E3D"/>
    <w:rsid w:val="00207FCB"/>
    <w:rsid w:val="00210B1B"/>
    <w:rsid w:val="002110E3"/>
    <w:rsid w:val="00211CBC"/>
    <w:rsid w:val="002120D0"/>
    <w:rsid w:val="00213AAF"/>
    <w:rsid w:val="00214284"/>
    <w:rsid w:val="00214F66"/>
    <w:rsid w:val="00215A4D"/>
    <w:rsid w:val="002161CB"/>
    <w:rsid w:val="00216989"/>
    <w:rsid w:val="00217414"/>
    <w:rsid w:val="00217A2F"/>
    <w:rsid w:val="00220AEE"/>
    <w:rsid w:val="00220D58"/>
    <w:rsid w:val="00220FD2"/>
    <w:rsid w:val="00220FDA"/>
    <w:rsid w:val="002214D9"/>
    <w:rsid w:val="00221580"/>
    <w:rsid w:val="002227F0"/>
    <w:rsid w:val="00223276"/>
    <w:rsid w:val="0022351D"/>
    <w:rsid w:val="00223BE1"/>
    <w:rsid w:val="00223E93"/>
    <w:rsid w:val="00224483"/>
    <w:rsid w:val="002251D7"/>
    <w:rsid w:val="0022526C"/>
    <w:rsid w:val="002269A0"/>
    <w:rsid w:val="00226C6C"/>
    <w:rsid w:val="002277C5"/>
    <w:rsid w:val="00227842"/>
    <w:rsid w:val="00227D1E"/>
    <w:rsid w:val="00230EC1"/>
    <w:rsid w:val="0023126F"/>
    <w:rsid w:val="00232E6A"/>
    <w:rsid w:val="00233471"/>
    <w:rsid w:val="00233BB2"/>
    <w:rsid w:val="00233DC2"/>
    <w:rsid w:val="0023428D"/>
    <w:rsid w:val="00234503"/>
    <w:rsid w:val="00234A98"/>
    <w:rsid w:val="00235128"/>
    <w:rsid w:val="00235CD1"/>
    <w:rsid w:val="002372FF"/>
    <w:rsid w:val="002378A3"/>
    <w:rsid w:val="00240160"/>
    <w:rsid w:val="002413FD"/>
    <w:rsid w:val="002425D3"/>
    <w:rsid w:val="00242749"/>
    <w:rsid w:val="00242F8A"/>
    <w:rsid w:val="00243677"/>
    <w:rsid w:val="00243938"/>
    <w:rsid w:val="00243DCF"/>
    <w:rsid w:val="00243EA0"/>
    <w:rsid w:val="002440E8"/>
    <w:rsid w:val="00244935"/>
    <w:rsid w:val="00244B61"/>
    <w:rsid w:val="00244C6A"/>
    <w:rsid w:val="00245947"/>
    <w:rsid w:val="00245BB3"/>
    <w:rsid w:val="00245EB2"/>
    <w:rsid w:val="00245F98"/>
    <w:rsid w:val="00247487"/>
    <w:rsid w:val="0024762C"/>
    <w:rsid w:val="0025087B"/>
    <w:rsid w:val="002509FF"/>
    <w:rsid w:val="00251C8E"/>
    <w:rsid w:val="00253FEE"/>
    <w:rsid w:val="0025435B"/>
    <w:rsid w:val="0025469A"/>
    <w:rsid w:val="00254B45"/>
    <w:rsid w:val="0025544A"/>
    <w:rsid w:val="00255647"/>
    <w:rsid w:val="00255B96"/>
    <w:rsid w:val="00255CEB"/>
    <w:rsid w:val="00255D59"/>
    <w:rsid w:val="00255E27"/>
    <w:rsid w:val="00256EF2"/>
    <w:rsid w:val="00260883"/>
    <w:rsid w:val="00260C93"/>
    <w:rsid w:val="0026141D"/>
    <w:rsid w:val="00262E80"/>
    <w:rsid w:val="00262FF9"/>
    <w:rsid w:val="002633A6"/>
    <w:rsid w:val="0026372A"/>
    <w:rsid w:val="00263F1D"/>
    <w:rsid w:val="00264DAA"/>
    <w:rsid w:val="0026621E"/>
    <w:rsid w:val="00266B8E"/>
    <w:rsid w:val="00266EE0"/>
    <w:rsid w:val="002675BA"/>
    <w:rsid w:val="00267F7F"/>
    <w:rsid w:val="00270058"/>
    <w:rsid w:val="0027157F"/>
    <w:rsid w:val="00271AE7"/>
    <w:rsid w:val="00271CC2"/>
    <w:rsid w:val="00274ECD"/>
    <w:rsid w:val="002752B9"/>
    <w:rsid w:val="002752F5"/>
    <w:rsid w:val="00275FCC"/>
    <w:rsid w:val="00276813"/>
    <w:rsid w:val="00276BCB"/>
    <w:rsid w:val="002809C1"/>
    <w:rsid w:val="00280D5E"/>
    <w:rsid w:val="00280FDD"/>
    <w:rsid w:val="00281AEA"/>
    <w:rsid w:val="00281E2F"/>
    <w:rsid w:val="00283021"/>
    <w:rsid w:val="00284688"/>
    <w:rsid w:val="0028539B"/>
    <w:rsid w:val="00285516"/>
    <w:rsid w:val="002859B8"/>
    <w:rsid w:val="00285EAE"/>
    <w:rsid w:val="002861B5"/>
    <w:rsid w:val="0028686A"/>
    <w:rsid w:val="00287121"/>
    <w:rsid w:val="0028799A"/>
    <w:rsid w:val="00287ABF"/>
    <w:rsid w:val="00290ECD"/>
    <w:rsid w:val="002918C8"/>
    <w:rsid w:val="00291E20"/>
    <w:rsid w:val="00292324"/>
    <w:rsid w:val="002932F3"/>
    <w:rsid w:val="00293519"/>
    <w:rsid w:val="0029353E"/>
    <w:rsid w:val="00293CEC"/>
    <w:rsid w:val="0029598A"/>
    <w:rsid w:val="00295E8F"/>
    <w:rsid w:val="00296214"/>
    <w:rsid w:val="00296572"/>
    <w:rsid w:val="002966B6"/>
    <w:rsid w:val="00296B21"/>
    <w:rsid w:val="002A01C6"/>
    <w:rsid w:val="002A0CC4"/>
    <w:rsid w:val="002A0EEE"/>
    <w:rsid w:val="002A1A67"/>
    <w:rsid w:val="002A2AF3"/>
    <w:rsid w:val="002A2E4B"/>
    <w:rsid w:val="002A43D5"/>
    <w:rsid w:val="002A4BA6"/>
    <w:rsid w:val="002A4EFB"/>
    <w:rsid w:val="002A6411"/>
    <w:rsid w:val="002A6518"/>
    <w:rsid w:val="002A705B"/>
    <w:rsid w:val="002A726F"/>
    <w:rsid w:val="002B0BFB"/>
    <w:rsid w:val="002B1012"/>
    <w:rsid w:val="002B1A55"/>
    <w:rsid w:val="002B1D7B"/>
    <w:rsid w:val="002B235A"/>
    <w:rsid w:val="002B241A"/>
    <w:rsid w:val="002B3344"/>
    <w:rsid w:val="002B37A7"/>
    <w:rsid w:val="002B53B8"/>
    <w:rsid w:val="002B63B6"/>
    <w:rsid w:val="002B7B44"/>
    <w:rsid w:val="002C15F7"/>
    <w:rsid w:val="002C16FE"/>
    <w:rsid w:val="002C1DBD"/>
    <w:rsid w:val="002C1F63"/>
    <w:rsid w:val="002C244F"/>
    <w:rsid w:val="002C38D4"/>
    <w:rsid w:val="002C3EB9"/>
    <w:rsid w:val="002C421B"/>
    <w:rsid w:val="002C6E61"/>
    <w:rsid w:val="002C77D6"/>
    <w:rsid w:val="002C79FF"/>
    <w:rsid w:val="002C7E3A"/>
    <w:rsid w:val="002C7E44"/>
    <w:rsid w:val="002D0109"/>
    <w:rsid w:val="002D04FB"/>
    <w:rsid w:val="002D2671"/>
    <w:rsid w:val="002D42C2"/>
    <w:rsid w:val="002D53E7"/>
    <w:rsid w:val="002D567F"/>
    <w:rsid w:val="002D5A0B"/>
    <w:rsid w:val="002D6225"/>
    <w:rsid w:val="002D6E6B"/>
    <w:rsid w:val="002D7272"/>
    <w:rsid w:val="002D732A"/>
    <w:rsid w:val="002D7C2D"/>
    <w:rsid w:val="002E00BA"/>
    <w:rsid w:val="002E0283"/>
    <w:rsid w:val="002E3335"/>
    <w:rsid w:val="002E37CE"/>
    <w:rsid w:val="002E446B"/>
    <w:rsid w:val="002E5D60"/>
    <w:rsid w:val="002E6820"/>
    <w:rsid w:val="002E6FC1"/>
    <w:rsid w:val="002E75D1"/>
    <w:rsid w:val="002E7ABA"/>
    <w:rsid w:val="002F0067"/>
    <w:rsid w:val="002F01D4"/>
    <w:rsid w:val="002F0DF5"/>
    <w:rsid w:val="002F116B"/>
    <w:rsid w:val="002F11F5"/>
    <w:rsid w:val="002F22F1"/>
    <w:rsid w:val="002F262A"/>
    <w:rsid w:val="002F26B3"/>
    <w:rsid w:val="002F3806"/>
    <w:rsid w:val="002F40F7"/>
    <w:rsid w:val="002F4539"/>
    <w:rsid w:val="002F4A84"/>
    <w:rsid w:val="002F5251"/>
    <w:rsid w:val="002F52B1"/>
    <w:rsid w:val="002F52B5"/>
    <w:rsid w:val="002F7298"/>
    <w:rsid w:val="002F7C3D"/>
    <w:rsid w:val="00300F1E"/>
    <w:rsid w:val="0030249E"/>
    <w:rsid w:val="00302947"/>
    <w:rsid w:val="00302992"/>
    <w:rsid w:val="00303318"/>
    <w:rsid w:val="0030462D"/>
    <w:rsid w:val="003048F2"/>
    <w:rsid w:val="00304CD6"/>
    <w:rsid w:val="00306E1A"/>
    <w:rsid w:val="0030729A"/>
    <w:rsid w:val="0030747E"/>
    <w:rsid w:val="00307835"/>
    <w:rsid w:val="00311EBB"/>
    <w:rsid w:val="003122F9"/>
    <w:rsid w:val="003146D4"/>
    <w:rsid w:val="0031486A"/>
    <w:rsid w:val="0031507A"/>
    <w:rsid w:val="003156E1"/>
    <w:rsid w:val="00316CE1"/>
    <w:rsid w:val="00317014"/>
    <w:rsid w:val="00317444"/>
    <w:rsid w:val="0031769D"/>
    <w:rsid w:val="00317B11"/>
    <w:rsid w:val="00317D8D"/>
    <w:rsid w:val="00317EB4"/>
    <w:rsid w:val="0032019A"/>
    <w:rsid w:val="0032143E"/>
    <w:rsid w:val="003216E8"/>
    <w:rsid w:val="00321CCA"/>
    <w:rsid w:val="0032208E"/>
    <w:rsid w:val="00322501"/>
    <w:rsid w:val="00323B7B"/>
    <w:rsid w:val="00324D77"/>
    <w:rsid w:val="00324E05"/>
    <w:rsid w:val="003261DF"/>
    <w:rsid w:val="003262AE"/>
    <w:rsid w:val="0032727A"/>
    <w:rsid w:val="003308BC"/>
    <w:rsid w:val="00330949"/>
    <w:rsid w:val="00330FEF"/>
    <w:rsid w:val="0033258B"/>
    <w:rsid w:val="003329B4"/>
    <w:rsid w:val="00333146"/>
    <w:rsid w:val="0033360F"/>
    <w:rsid w:val="003338A7"/>
    <w:rsid w:val="00333ACB"/>
    <w:rsid w:val="00333F3D"/>
    <w:rsid w:val="0033436B"/>
    <w:rsid w:val="0033479B"/>
    <w:rsid w:val="00335189"/>
    <w:rsid w:val="00335FB5"/>
    <w:rsid w:val="003371D7"/>
    <w:rsid w:val="00337293"/>
    <w:rsid w:val="003402A8"/>
    <w:rsid w:val="00341D1B"/>
    <w:rsid w:val="00341F41"/>
    <w:rsid w:val="00343993"/>
    <w:rsid w:val="00343D9D"/>
    <w:rsid w:val="0034453B"/>
    <w:rsid w:val="003448EF"/>
    <w:rsid w:val="00344A7C"/>
    <w:rsid w:val="00344FCD"/>
    <w:rsid w:val="0034669D"/>
    <w:rsid w:val="00346E25"/>
    <w:rsid w:val="003471C1"/>
    <w:rsid w:val="00351413"/>
    <w:rsid w:val="0035176E"/>
    <w:rsid w:val="0035302C"/>
    <w:rsid w:val="0035354F"/>
    <w:rsid w:val="0035356C"/>
    <w:rsid w:val="0035394F"/>
    <w:rsid w:val="00355632"/>
    <w:rsid w:val="003564D7"/>
    <w:rsid w:val="003573EA"/>
    <w:rsid w:val="00357795"/>
    <w:rsid w:val="00357A98"/>
    <w:rsid w:val="00357F8A"/>
    <w:rsid w:val="00360EEA"/>
    <w:rsid w:val="00361894"/>
    <w:rsid w:val="003618E1"/>
    <w:rsid w:val="00363350"/>
    <w:rsid w:val="00366302"/>
    <w:rsid w:val="003667B1"/>
    <w:rsid w:val="00366E1E"/>
    <w:rsid w:val="00366F08"/>
    <w:rsid w:val="0036722E"/>
    <w:rsid w:val="003672F5"/>
    <w:rsid w:val="003675E0"/>
    <w:rsid w:val="00370AA2"/>
    <w:rsid w:val="00370E2C"/>
    <w:rsid w:val="003714A0"/>
    <w:rsid w:val="003715C0"/>
    <w:rsid w:val="003716A6"/>
    <w:rsid w:val="00372762"/>
    <w:rsid w:val="00373318"/>
    <w:rsid w:val="00374108"/>
    <w:rsid w:val="00374DF4"/>
    <w:rsid w:val="00375528"/>
    <w:rsid w:val="0037556C"/>
    <w:rsid w:val="00375975"/>
    <w:rsid w:val="00375CE3"/>
    <w:rsid w:val="00376364"/>
    <w:rsid w:val="003763B5"/>
    <w:rsid w:val="003768D4"/>
    <w:rsid w:val="00377844"/>
    <w:rsid w:val="003805C7"/>
    <w:rsid w:val="00381073"/>
    <w:rsid w:val="0038198B"/>
    <w:rsid w:val="00381D79"/>
    <w:rsid w:val="0038214E"/>
    <w:rsid w:val="003821C1"/>
    <w:rsid w:val="00385BC6"/>
    <w:rsid w:val="00386E12"/>
    <w:rsid w:val="00387A2A"/>
    <w:rsid w:val="00390278"/>
    <w:rsid w:val="00390633"/>
    <w:rsid w:val="00390A55"/>
    <w:rsid w:val="00390E7A"/>
    <w:rsid w:val="0039135B"/>
    <w:rsid w:val="00391752"/>
    <w:rsid w:val="003925F5"/>
    <w:rsid w:val="00392858"/>
    <w:rsid w:val="00392C1A"/>
    <w:rsid w:val="00393189"/>
    <w:rsid w:val="0039327F"/>
    <w:rsid w:val="0039390D"/>
    <w:rsid w:val="003942EC"/>
    <w:rsid w:val="00394D6A"/>
    <w:rsid w:val="00395B03"/>
    <w:rsid w:val="003960C0"/>
    <w:rsid w:val="0039694C"/>
    <w:rsid w:val="00396A25"/>
    <w:rsid w:val="003978F3"/>
    <w:rsid w:val="003A09E1"/>
    <w:rsid w:val="003A0BFB"/>
    <w:rsid w:val="003A380C"/>
    <w:rsid w:val="003A3C54"/>
    <w:rsid w:val="003A5761"/>
    <w:rsid w:val="003A6174"/>
    <w:rsid w:val="003A6969"/>
    <w:rsid w:val="003A6C08"/>
    <w:rsid w:val="003A74CE"/>
    <w:rsid w:val="003B0844"/>
    <w:rsid w:val="003B09BB"/>
    <w:rsid w:val="003B1157"/>
    <w:rsid w:val="003B3430"/>
    <w:rsid w:val="003B3948"/>
    <w:rsid w:val="003B43D4"/>
    <w:rsid w:val="003B487E"/>
    <w:rsid w:val="003B5327"/>
    <w:rsid w:val="003B5606"/>
    <w:rsid w:val="003B5C17"/>
    <w:rsid w:val="003B60BB"/>
    <w:rsid w:val="003B68E5"/>
    <w:rsid w:val="003B7C06"/>
    <w:rsid w:val="003C147E"/>
    <w:rsid w:val="003C1963"/>
    <w:rsid w:val="003C233A"/>
    <w:rsid w:val="003C2DE9"/>
    <w:rsid w:val="003C387D"/>
    <w:rsid w:val="003C3DC4"/>
    <w:rsid w:val="003C549E"/>
    <w:rsid w:val="003C55A8"/>
    <w:rsid w:val="003C5F5D"/>
    <w:rsid w:val="003C6C7F"/>
    <w:rsid w:val="003C6D18"/>
    <w:rsid w:val="003C7FC1"/>
    <w:rsid w:val="003D0009"/>
    <w:rsid w:val="003D0088"/>
    <w:rsid w:val="003D011A"/>
    <w:rsid w:val="003D08E4"/>
    <w:rsid w:val="003D0961"/>
    <w:rsid w:val="003D0CE4"/>
    <w:rsid w:val="003D0F46"/>
    <w:rsid w:val="003D10B5"/>
    <w:rsid w:val="003D116A"/>
    <w:rsid w:val="003D20A0"/>
    <w:rsid w:val="003D2C1E"/>
    <w:rsid w:val="003D2D54"/>
    <w:rsid w:val="003D3972"/>
    <w:rsid w:val="003D3C52"/>
    <w:rsid w:val="003D44CB"/>
    <w:rsid w:val="003D504C"/>
    <w:rsid w:val="003D6E7C"/>
    <w:rsid w:val="003D71C0"/>
    <w:rsid w:val="003D71FC"/>
    <w:rsid w:val="003D7AB3"/>
    <w:rsid w:val="003E009F"/>
    <w:rsid w:val="003E1814"/>
    <w:rsid w:val="003E196F"/>
    <w:rsid w:val="003E22A1"/>
    <w:rsid w:val="003E32ED"/>
    <w:rsid w:val="003E4827"/>
    <w:rsid w:val="003E5E6C"/>
    <w:rsid w:val="003E6A89"/>
    <w:rsid w:val="003E6EF4"/>
    <w:rsid w:val="003E7110"/>
    <w:rsid w:val="003E7249"/>
    <w:rsid w:val="003E768A"/>
    <w:rsid w:val="003E7998"/>
    <w:rsid w:val="003E7B58"/>
    <w:rsid w:val="003F04EA"/>
    <w:rsid w:val="003F0821"/>
    <w:rsid w:val="003F0A4A"/>
    <w:rsid w:val="003F111E"/>
    <w:rsid w:val="003F15DA"/>
    <w:rsid w:val="003F1A27"/>
    <w:rsid w:val="003F1EDD"/>
    <w:rsid w:val="003F2166"/>
    <w:rsid w:val="003F2593"/>
    <w:rsid w:val="003F3309"/>
    <w:rsid w:val="003F3854"/>
    <w:rsid w:val="003F3C1A"/>
    <w:rsid w:val="003F43F9"/>
    <w:rsid w:val="003F4729"/>
    <w:rsid w:val="003F508B"/>
    <w:rsid w:val="003F5F99"/>
    <w:rsid w:val="003F6E8A"/>
    <w:rsid w:val="00400076"/>
    <w:rsid w:val="00400082"/>
    <w:rsid w:val="00401C97"/>
    <w:rsid w:val="0040265C"/>
    <w:rsid w:val="00402988"/>
    <w:rsid w:val="00402C70"/>
    <w:rsid w:val="00403995"/>
    <w:rsid w:val="00403D70"/>
    <w:rsid w:val="00404610"/>
    <w:rsid w:val="00404939"/>
    <w:rsid w:val="004059D1"/>
    <w:rsid w:val="00406F33"/>
    <w:rsid w:val="004071B9"/>
    <w:rsid w:val="00407624"/>
    <w:rsid w:val="0041057C"/>
    <w:rsid w:val="00410A27"/>
    <w:rsid w:val="004146B8"/>
    <w:rsid w:val="004148CD"/>
    <w:rsid w:val="00415B85"/>
    <w:rsid w:val="00416B6C"/>
    <w:rsid w:val="00416D76"/>
    <w:rsid w:val="00416E2A"/>
    <w:rsid w:val="004170E6"/>
    <w:rsid w:val="004172D1"/>
    <w:rsid w:val="00417673"/>
    <w:rsid w:val="00417E9E"/>
    <w:rsid w:val="004200D0"/>
    <w:rsid w:val="00420577"/>
    <w:rsid w:val="00420B6C"/>
    <w:rsid w:val="00421108"/>
    <w:rsid w:val="00421167"/>
    <w:rsid w:val="004236B2"/>
    <w:rsid w:val="00423B11"/>
    <w:rsid w:val="0042571E"/>
    <w:rsid w:val="00426F93"/>
    <w:rsid w:val="00427C29"/>
    <w:rsid w:val="00430345"/>
    <w:rsid w:val="00431262"/>
    <w:rsid w:val="004316CA"/>
    <w:rsid w:val="004323AC"/>
    <w:rsid w:val="00432BCC"/>
    <w:rsid w:val="00433771"/>
    <w:rsid w:val="004338F5"/>
    <w:rsid w:val="00434453"/>
    <w:rsid w:val="00434C4E"/>
    <w:rsid w:val="00435F15"/>
    <w:rsid w:val="00437B77"/>
    <w:rsid w:val="00437C4A"/>
    <w:rsid w:val="00437D4E"/>
    <w:rsid w:val="00437ECB"/>
    <w:rsid w:val="0044039A"/>
    <w:rsid w:val="004411E0"/>
    <w:rsid w:val="00442BDA"/>
    <w:rsid w:val="004448A4"/>
    <w:rsid w:val="00444926"/>
    <w:rsid w:val="00444F25"/>
    <w:rsid w:val="00445C9F"/>
    <w:rsid w:val="00447598"/>
    <w:rsid w:val="00447684"/>
    <w:rsid w:val="00447A95"/>
    <w:rsid w:val="004507D6"/>
    <w:rsid w:val="004519CE"/>
    <w:rsid w:val="00451A15"/>
    <w:rsid w:val="00451B18"/>
    <w:rsid w:val="00452829"/>
    <w:rsid w:val="00454100"/>
    <w:rsid w:val="00454B0E"/>
    <w:rsid w:val="00454E0B"/>
    <w:rsid w:val="00454F28"/>
    <w:rsid w:val="00456562"/>
    <w:rsid w:val="00457C4D"/>
    <w:rsid w:val="00457D9E"/>
    <w:rsid w:val="0046069B"/>
    <w:rsid w:val="00461529"/>
    <w:rsid w:val="00461632"/>
    <w:rsid w:val="00462DA9"/>
    <w:rsid w:val="004649E1"/>
    <w:rsid w:val="00464A4F"/>
    <w:rsid w:val="0046579A"/>
    <w:rsid w:val="0046621D"/>
    <w:rsid w:val="004665FE"/>
    <w:rsid w:val="00466D61"/>
    <w:rsid w:val="00466E9D"/>
    <w:rsid w:val="004671FE"/>
    <w:rsid w:val="00467242"/>
    <w:rsid w:val="00467393"/>
    <w:rsid w:val="0046743C"/>
    <w:rsid w:val="0046746A"/>
    <w:rsid w:val="00467E71"/>
    <w:rsid w:val="00467FF9"/>
    <w:rsid w:val="00470476"/>
    <w:rsid w:val="00471C7F"/>
    <w:rsid w:val="00471E9B"/>
    <w:rsid w:val="00472A85"/>
    <w:rsid w:val="00472DCE"/>
    <w:rsid w:val="00473087"/>
    <w:rsid w:val="00473ADB"/>
    <w:rsid w:val="00474145"/>
    <w:rsid w:val="00474319"/>
    <w:rsid w:val="0047476B"/>
    <w:rsid w:val="004752D4"/>
    <w:rsid w:val="00477F30"/>
    <w:rsid w:val="004802B7"/>
    <w:rsid w:val="004806B1"/>
    <w:rsid w:val="004812AB"/>
    <w:rsid w:val="004819D8"/>
    <w:rsid w:val="00483619"/>
    <w:rsid w:val="00483751"/>
    <w:rsid w:val="00483AB4"/>
    <w:rsid w:val="00484232"/>
    <w:rsid w:val="00484463"/>
    <w:rsid w:val="0048457F"/>
    <w:rsid w:val="00484AC8"/>
    <w:rsid w:val="00484CF0"/>
    <w:rsid w:val="004852CE"/>
    <w:rsid w:val="0048532F"/>
    <w:rsid w:val="00485552"/>
    <w:rsid w:val="00485A1A"/>
    <w:rsid w:val="00485F5F"/>
    <w:rsid w:val="0048660D"/>
    <w:rsid w:val="00486CA3"/>
    <w:rsid w:val="0048755A"/>
    <w:rsid w:val="004913ED"/>
    <w:rsid w:val="00491A7D"/>
    <w:rsid w:val="004921E5"/>
    <w:rsid w:val="00492435"/>
    <w:rsid w:val="00492E5D"/>
    <w:rsid w:val="0049334B"/>
    <w:rsid w:val="00493388"/>
    <w:rsid w:val="0049584F"/>
    <w:rsid w:val="00496BFE"/>
    <w:rsid w:val="00497A62"/>
    <w:rsid w:val="004A0E71"/>
    <w:rsid w:val="004A13A2"/>
    <w:rsid w:val="004A1B0F"/>
    <w:rsid w:val="004A223A"/>
    <w:rsid w:val="004A2CBE"/>
    <w:rsid w:val="004A2E78"/>
    <w:rsid w:val="004A5391"/>
    <w:rsid w:val="004A5F32"/>
    <w:rsid w:val="004B0E3E"/>
    <w:rsid w:val="004B0EF4"/>
    <w:rsid w:val="004B26B6"/>
    <w:rsid w:val="004B2745"/>
    <w:rsid w:val="004B29D4"/>
    <w:rsid w:val="004B4893"/>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4E25"/>
    <w:rsid w:val="004C4E67"/>
    <w:rsid w:val="004C54DC"/>
    <w:rsid w:val="004C5E2C"/>
    <w:rsid w:val="004C71FA"/>
    <w:rsid w:val="004C730A"/>
    <w:rsid w:val="004C738E"/>
    <w:rsid w:val="004C75F8"/>
    <w:rsid w:val="004C7BD0"/>
    <w:rsid w:val="004D2137"/>
    <w:rsid w:val="004D32E2"/>
    <w:rsid w:val="004D3DF0"/>
    <w:rsid w:val="004D4C2D"/>
    <w:rsid w:val="004D5A0E"/>
    <w:rsid w:val="004D61C3"/>
    <w:rsid w:val="004D7029"/>
    <w:rsid w:val="004D7453"/>
    <w:rsid w:val="004D7565"/>
    <w:rsid w:val="004D75D0"/>
    <w:rsid w:val="004D767D"/>
    <w:rsid w:val="004E0A7C"/>
    <w:rsid w:val="004E11AA"/>
    <w:rsid w:val="004E202C"/>
    <w:rsid w:val="004E2098"/>
    <w:rsid w:val="004E3138"/>
    <w:rsid w:val="004E3E76"/>
    <w:rsid w:val="004E4161"/>
    <w:rsid w:val="004E4C09"/>
    <w:rsid w:val="004E50EB"/>
    <w:rsid w:val="004E5171"/>
    <w:rsid w:val="004E5265"/>
    <w:rsid w:val="004E5301"/>
    <w:rsid w:val="004E6081"/>
    <w:rsid w:val="004F0375"/>
    <w:rsid w:val="004F0791"/>
    <w:rsid w:val="004F0C22"/>
    <w:rsid w:val="004F0D02"/>
    <w:rsid w:val="004F2683"/>
    <w:rsid w:val="004F4027"/>
    <w:rsid w:val="004F6006"/>
    <w:rsid w:val="004F67AE"/>
    <w:rsid w:val="004F7949"/>
    <w:rsid w:val="004F7A9F"/>
    <w:rsid w:val="005006A3"/>
    <w:rsid w:val="005010B5"/>
    <w:rsid w:val="00501242"/>
    <w:rsid w:val="00501364"/>
    <w:rsid w:val="00502264"/>
    <w:rsid w:val="00502C9B"/>
    <w:rsid w:val="00502F0A"/>
    <w:rsid w:val="005037B6"/>
    <w:rsid w:val="005038C6"/>
    <w:rsid w:val="00506887"/>
    <w:rsid w:val="005068B9"/>
    <w:rsid w:val="00506EDF"/>
    <w:rsid w:val="005110C5"/>
    <w:rsid w:val="005122D3"/>
    <w:rsid w:val="005124C4"/>
    <w:rsid w:val="00512EDA"/>
    <w:rsid w:val="0051359D"/>
    <w:rsid w:val="00513FD7"/>
    <w:rsid w:val="005149B7"/>
    <w:rsid w:val="00515612"/>
    <w:rsid w:val="00515CDB"/>
    <w:rsid w:val="0051606B"/>
    <w:rsid w:val="005172FE"/>
    <w:rsid w:val="00517AD8"/>
    <w:rsid w:val="00517B39"/>
    <w:rsid w:val="00517DE6"/>
    <w:rsid w:val="005203FC"/>
    <w:rsid w:val="0052090B"/>
    <w:rsid w:val="005245D6"/>
    <w:rsid w:val="0052567F"/>
    <w:rsid w:val="00525DE5"/>
    <w:rsid w:val="0052636E"/>
    <w:rsid w:val="005275E6"/>
    <w:rsid w:val="00527B91"/>
    <w:rsid w:val="00530296"/>
    <w:rsid w:val="00531262"/>
    <w:rsid w:val="0053128E"/>
    <w:rsid w:val="00531EB1"/>
    <w:rsid w:val="005324AF"/>
    <w:rsid w:val="005324D4"/>
    <w:rsid w:val="00532EF1"/>
    <w:rsid w:val="00534358"/>
    <w:rsid w:val="005349E3"/>
    <w:rsid w:val="005350A5"/>
    <w:rsid w:val="00535673"/>
    <w:rsid w:val="00535CF2"/>
    <w:rsid w:val="00535E7A"/>
    <w:rsid w:val="0053633D"/>
    <w:rsid w:val="00537B2F"/>
    <w:rsid w:val="005409E6"/>
    <w:rsid w:val="0054152F"/>
    <w:rsid w:val="005415A7"/>
    <w:rsid w:val="0054200F"/>
    <w:rsid w:val="0054290E"/>
    <w:rsid w:val="00543D37"/>
    <w:rsid w:val="00544158"/>
    <w:rsid w:val="00544476"/>
    <w:rsid w:val="00544D24"/>
    <w:rsid w:val="00545D8A"/>
    <w:rsid w:val="0054729D"/>
    <w:rsid w:val="0054733C"/>
    <w:rsid w:val="00547693"/>
    <w:rsid w:val="005506FF"/>
    <w:rsid w:val="00552075"/>
    <w:rsid w:val="00552B33"/>
    <w:rsid w:val="00552E10"/>
    <w:rsid w:val="00552ED5"/>
    <w:rsid w:val="00553B40"/>
    <w:rsid w:val="00553BBA"/>
    <w:rsid w:val="00554536"/>
    <w:rsid w:val="00555093"/>
    <w:rsid w:val="00555297"/>
    <w:rsid w:val="00555A64"/>
    <w:rsid w:val="00555B1F"/>
    <w:rsid w:val="005576DD"/>
    <w:rsid w:val="005602A5"/>
    <w:rsid w:val="00560676"/>
    <w:rsid w:val="00560872"/>
    <w:rsid w:val="00560DE9"/>
    <w:rsid w:val="0056128C"/>
    <w:rsid w:val="00562121"/>
    <w:rsid w:val="0056237A"/>
    <w:rsid w:val="00563948"/>
    <w:rsid w:val="00563FDB"/>
    <w:rsid w:val="0056458C"/>
    <w:rsid w:val="0056505D"/>
    <w:rsid w:val="005653CB"/>
    <w:rsid w:val="005657E2"/>
    <w:rsid w:val="00566A96"/>
    <w:rsid w:val="00567052"/>
    <w:rsid w:val="00567306"/>
    <w:rsid w:val="0056776D"/>
    <w:rsid w:val="00571140"/>
    <w:rsid w:val="0057119D"/>
    <w:rsid w:val="0057122A"/>
    <w:rsid w:val="005726D6"/>
    <w:rsid w:val="005727C8"/>
    <w:rsid w:val="00572BBF"/>
    <w:rsid w:val="0057327C"/>
    <w:rsid w:val="00574089"/>
    <w:rsid w:val="005742FA"/>
    <w:rsid w:val="0057486C"/>
    <w:rsid w:val="00575881"/>
    <w:rsid w:val="00576260"/>
    <w:rsid w:val="00576649"/>
    <w:rsid w:val="00576768"/>
    <w:rsid w:val="00576C2B"/>
    <w:rsid w:val="00576D7E"/>
    <w:rsid w:val="00577234"/>
    <w:rsid w:val="0057768D"/>
    <w:rsid w:val="00580141"/>
    <w:rsid w:val="00581DC2"/>
    <w:rsid w:val="00581FE5"/>
    <w:rsid w:val="005828A1"/>
    <w:rsid w:val="00582F1F"/>
    <w:rsid w:val="005830DD"/>
    <w:rsid w:val="00583A0B"/>
    <w:rsid w:val="00584279"/>
    <w:rsid w:val="00584E83"/>
    <w:rsid w:val="0058555C"/>
    <w:rsid w:val="005856E9"/>
    <w:rsid w:val="00585721"/>
    <w:rsid w:val="00585C65"/>
    <w:rsid w:val="005863CF"/>
    <w:rsid w:val="005875C1"/>
    <w:rsid w:val="00587E74"/>
    <w:rsid w:val="00587E85"/>
    <w:rsid w:val="00590254"/>
    <w:rsid w:val="005908D7"/>
    <w:rsid w:val="00590B35"/>
    <w:rsid w:val="0059101F"/>
    <w:rsid w:val="0059305A"/>
    <w:rsid w:val="005933E1"/>
    <w:rsid w:val="00593879"/>
    <w:rsid w:val="00593B79"/>
    <w:rsid w:val="00594093"/>
    <w:rsid w:val="00594739"/>
    <w:rsid w:val="0059544E"/>
    <w:rsid w:val="00595FBF"/>
    <w:rsid w:val="00596485"/>
    <w:rsid w:val="005979AC"/>
    <w:rsid w:val="005A043B"/>
    <w:rsid w:val="005A0CB7"/>
    <w:rsid w:val="005A0EB6"/>
    <w:rsid w:val="005A16AE"/>
    <w:rsid w:val="005A1C4F"/>
    <w:rsid w:val="005A2130"/>
    <w:rsid w:val="005A236D"/>
    <w:rsid w:val="005A2FCF"/>
    <w:rsid w:val="005A403C"/>
    <w:rsid w:val="005A4658"/>
    <w:rsid w:val="005A5223"/>
    <w:rsid w:val="005A60D1"/>
    <w:rsid w:val="005A6717"/>
    <w:rsid w:val="005A6723"/>
    <w:rsid w:val="005A7DFB"/>
    <w:rsid w:val="005B018A"/>
    <w:rsid w:val="005B0CF5"/>
    <w:rsid w:val="005B0E0D"/>
    <w:rsid w:val="005B1B41"/>
    <w:rsid w:val="005B2665"/>
    <w:rsid w:val="005B30B3"/>
    <w:rsid w:val="005B315F"/>
    <w:rsid w:val="005B340C"/>
    <w:rsid w:val="005B376D"/>
    <w:rsid w:val="005B3854"/>
    <w:rsid w:val="005B387B"/>
    <w:rsid w:val="005B5735"/>
    <w:rsid w:val="005B59EB"/>
    <w:rsid w:val="005B63F2"/>
    <w:rsid w:val="005B6DE8"/>
    <w:rsid w:val="005B6F8B"/>
    <w:rsid w:val="005B70BC"/>
    <w:rsid w:val="005B75DF"/>
    <w:rsid w:val="005C0071"/>
    <w:rsid w:val="005C008C"/>
    <w:rsid w:val="005C06DA"/>
    <w:rsid w:val="005C0A5C"/>
    <w:rsid w:val="005C31DE"/>
    <w:rsid w:val="005C356D"/>
    <w:rsid w:val="005C367E"/>
    <w:rsid w:val="005C3D08"/>
    <w:rsid w:val="005C528E"/>
    <w:rsid w:val="005C5319"/>
    <w:rsid w:val="005C5F9D"/>
    <w:rsid w:val="005C720F"/>
    <w:rsid w:val="005D0154"/>
    <w:rsid w:val="005D055A"/>
    <w:rsid w:val="005D1A9D"/>
    <w:rsid w:val="005D3D18"/>
    <w:rsid w:val="005D4A87"/>
    <w:rsid w:val="005D4C88"/>
    <w:rsid w:val="005D5041"/>
    <w:rsid w:val="005D64DD"/>
    <w:rsid w:val="005D6C58"/>
    <w:rsid w:val="005D6D8C"/>
    <w:rsid w:val="005D6EB6"/>
    <w:rsid w:val="005D6F4A"/>
    <w:rsid w:val="005D7381"/>
    <w:rsid w:val="005D7F53"/>
    <w:rsid w:val="005E0073"/>
    <w:rsid w:val="005E03E4"/>
    <w:rsid w:val="005E0663"/>
    <w:rsid w:val="005E083E"/>
    <w:rsid w:val="005E09AE"/>
    <w:rsid w:val="005E10FB"/>
    <w:rsid w:val="005E1925"/>
    <w:rsid w:val="005E2ACA"/>
    <w:rsid w:val="005E2C2F"/>
    <w:rsid w:val="005E331C"/>
    <w:rsid w:val="005E3E4E"/>
    <w:rsid w:val="005E5D59"/>
    <w:rsid w:val="005E64BD"/>
    <w:rsid w:val="005E69ED"/>
    <w:rsid w:val="005E6C95"/>
    <w:rsid w:val="005E7F8B"/>
    <w:rsid w:val="005F0291"/>
    <w:rsid w:val="005F151F"/>
    <w:rsid w:val="005F1709"/>
    <w:rsid w:val="005F1786"/>
    <w:rsid w:val="005F1BB5"/>
    <w:rsid w:val="005F1C8A"/>
    <w:rsid w:val="005F1EFC"/>
    <w:rsid w:val="005F2634"/>
    <w:rsid w:val="005F2EC9"/>
    <w:rsid w:val="005F2F1F"/>
    <w:rsid w:val="005F4208"/>
    <w:rsid w:val="005F4926"/>
    <w:rsid w:val="005F4F28"/>
    <w:rsid w:val="005F5381"/>
    <w:rsid w:val="005F6B4D"/>
    <w:rsid w:val="005F7B3B"/>
    <w:rsid w:val="0060078F"/>
    <w:rsid w:val="00601AA1"/>
    <w:rsid w:val="00601EA4"/>
    <w:rsid w:val="0060202A"/>
    <w:rsid w:val="0060304B"/>
    <w:rsid w:val="0060319F"/>
    <w:rsid w:val="00603D6D"/>
    <w:rsid w:val="0060467B"/>
    <w:rsid w:val="0060708E"/>
    <w:rsid w:val="006100D1"/>
    <w:rsid w:val="00610279"/>
    <w:rsid w:val="00610814"/>
    <w:rsid w:val="00611955"/>
    <w:rsid w:val="00611D19"/>
    <w:rsid w:val="00611D46"/>
    <w:rsid w:val="0061218B"/>
    <w:rsid w:val="006128FF"/>
    <w:rsid w:val="00612914"/>
    <w:rsid w:val="00612A94"/>
    <w:rsid w:val="006133F5"/>
    <w:rsid w:val="00614066"/>
    <w:rsid w:val="00614302"/>
    <w:rsid w:val="00614637"/>
    <w:rsid w:val="00614B03"/>
    <w:rsid w:val="00615A93"/>
    <w:rsid w:val="0061623E"/>
    <w:rsid w:val="006205BA"/>
    <w:rsid w:val="006209AC"/>
    <w:rsid w:val="00620FF4"/>
    <w:rsid w:val="00622418"/>
    <w:rsid w:val="006238FE"/>
    <w:rsid w:val="00623C30"/>
    <w:rsid w:val="006244A2"/>
    <w:rsid w:val="00625512"/>
    <w:rsid w:val="00625A6B"/>
    <w:rsid w:val="006262D3"/>
    <w:rsid w:val="00626477"/>
    <w:rsid w:val="00626E6E"/>
    <w:rsid w:val="006275F2"/>
    <w:rsid w:val="00627C7A"/>
    <w:rsid w:val="00627EB8"/>
    <w:rsid w:val="00630665"/>
    <w:rsid w:val="00630853"/>
    <w:rsid w:val="006327DE"/>
    <w:rsid w:val="00632A96"/>
    <w:rsid w:val="00632C91"/>
    <w:rsid w:val="006335E0"/>
    <w:rsid w:val="00633D4B"/>
    <w:rsid w:val="006341AA"/>
    <w:rsid w:val="006344DB"/>
    <w:rsid w:val="00635552"/>
    <w:rsid w:val="00635681"/>
    <w:rsid w:val="0063570C"/>
    <w:rsid w:val="00635A96"/>
    <w:rsid w:val="00635F83"/>
    <w:rsid w:val="006366BE"/>
    <w:rsid w:val="006410FC"/>
    <w:rsid w:val="006412B1"/>
    <w:rsid w:val="00641404"/>
    <w:rsid w:val="006415E7"/>
    <w:rsid w:val="0064262C"/>
    <w:rsid w:val="00642E33"/>
    <w:rsid w:val="00643D41"/>
    <w:rsid w:val="00645F4B"/>
    <w:rsid w:val="0064617B"/>
    <w:rsid w:val="006473E8"/>
    <w:rsid w:val="0064780E"/>
    <w:rsid w:val="006478CE"/>
    <w:rsid w:val="00650A65"/>
    <w:rsid w:val="00650CDA"/>
    <w:rsid w:val="00651116"/>
    <w:rsid w:val="00651F71"/>
    <w:rsid w:val="00653209"/>
    <w:rsid w:val="0065462D"/>
    <w:rsid w:val="00654E09"/>
    <w:rsid w:val="006552F0"/>
    <w:rsid w:val="006553B0"/>
    <w:rsid w:val="0065558C"/>
    <w:rsid w:val="00655CE8"/>
    <w:rsid w:val="00655E24"/>
    <w:rsid w:val="006561F6"/>
    <w:rsid w:val="00656A5C"/>
    <w:rsid w:val="00656F84"/>
    <w:rsid w:val="0065726E"/>
    <w:rsid w:val="006573DB"/>
    <w:rsid w:val="00657548"/>
    <w:rsid w:val="0066086C"/>
    <w:rsid w:val="00661330"/>
    <w:rsid w:val="00662331"/>
    <w:rsid w:val="006626AB"/>
    <w:rsid w:val="00663186"/>
    <w:rsid w:val="00663276"/>
    <w:rsid w:val="00664239"/>
    <w:rsid w:val="00664C3E"/>
    <w:rsid w:val="00664DDD"/>
    <w:rsid w:val="0066564D"/>
    <w:rsid w:val="00665B59"/>
    <w:rsid w:val="00666105"/>
    <w:rsid w:val="0066770A"/>
    <w:rsid w:val="00667868"/>
    <w:rsid w:val="00667931"/>
    <w:rsid w:val="006707CB"/>
    <w:rsid w:val="00670852"/>
    <w:rsid w:val="00670B3B"/>
    <w:rsid w:val="00670CC8"/>
    <w:rsid w:val="00670D40"/>
    <w:rsid w:val="00671243"/>
    <w:rsid w:val="006728D7"/>
    <w:rsid w:val="00673812"/>
    <w:rsid w:val="00674736"/>
    <w:rsid w:val="006750F0"/>
    <w:rsid w:val="006767BA"/>
    <w:rsid w:val="00676C19"/>
    <w:rsid w:val="00676D4F"/>
    <w:rsid w:val="0068137E"/>
    <w:rsid w:val="006819B0"/>
    <w:rsid w:val="00681A1E"/>
    <w:rsid w:val="00681C14"/>
    <w:rsid w:val="00683A42"/>
    <w:rsid w:val="00683AFD"/>
    <w:rsid w:val="006859D8"/>
    <w:rsid w:val="00686706"/>
    <w:rsid w:val="006867FF"/>
    <w:rsid w:val="006869AE"/>
    <w:rsid w:val="00686DC0"/>
    <w:rsid w:val="0068725F"/>
    <w:rsid w:val="00687A1D"/>
    <w:rsid w:val="00687B32"/>
    <w:rsid w:val="00687FC5"/>
    <w:rsid w:val="006901FC"/>
    <w:rsid w:val="00690C5D"/>
    <w:rsid w:val="00691424"/>
    <w:rsid w:val="00691502"/>
    <w:rsid w:val="00691DE4"/>
    <w:rsid w:val="006928F9"/>
    <w:rsid w:val="00692968"/>
    <w:rsid w:val="00693A6F"/>
    <w:rsid w:val="00693C1F"/>
    <w:rsid w:val="00693F69"/>
    <w:rsid w:val="006942FF"/>
    <w:rsid w:val="00694562"/>
    <w:rsid w:val="00695287"/>
    <w:rsid w:val="00695F43"/>
    <w:rsid w:val="006960E4"/>
    <w:rsid w:val="00696F66"/>
    <w:rsid w:val="006A0575"/>
    <w:rsid w:val="006A0BF8"/>
    <w:rsid w:val="006A0E60"/>
    <w:rsid w:val="006A2186"/>
    <w:rsid w:val="006A229E"/>
    <w:rsid w:val="006A23E2"/>
    <w:rsid w:val="006A2ABE"/>
    <w:rsid w:val="006A3C08"/>
    <w:rsid w:val="006A4253"/>
    <w:rsid w:val="006A4EE1"/>
    <w:rsid w:val="006A5EC7"/>
    <w:rsid w:val="006A737D"/>
    <w:rsid w:val="006A7B4D"/>
    <w:rsid w:val="006B1116"/>
    <w:rsid w:val="006B23EF"/>
    <w:rsid w:val="006B2729"/>
    <w:rsid w:val="006B2982"/>
    <w:rsid w:val="006B2C1C"/>
    <w:rsid w:val="006B5B69"/>
    <w:rsid w:val="006B62D8"/>
    <w:rsid w:val="006B6D53"/>
    <w:rsid w:val="006B7D89"/>
    <w:rsid w:val="006C0563"/>
    <w:rsid w:val="006C1305"/>
    <w:rsid w:val="006C281B"/>
    <w:rsid w:val="006C2898"/>
    <w:rsid w:val="006C2C2D"/>
    <w:rsid w:val="006C4029"/>
    <w:rsid w:val="006C4F72"/>
    <w:rsid w:val="006C53CD"/>
    <w:rsid w:val="006C547E"/>
    <w:rsid w:val="006C601D"/>
    <w:rsid w:val="006C7013"/>
    <w:rsid w:val="006C7974"/>
    <w:rsid w:val="006C7B53"/>
    <w:rsid w:val="006D0620"/>
    <w:rsid w:val="006D06C9"/>
    <w:rsid w:val="006D0811"/>
    <w:rsid w:val="006D0C05"/>
    <w:rsid w:val="006D1380"/>
    <w:rsid w:val="006D144D"/>
    <w:rsid w:val="006D1452"/>
    <w:rsid w:val="006D180E"/>
    <w:rsid w:val="006D1B2E"/>
    <w:rsid w:val="006D34FE"/>
    <w:rsid w:val="006D6DC3"/>
    <w:rsid w:val="006D734C"/>
    <w:rsid w:val="006D7475"/>
    <w:rsid w:val="006D747F"/>
    <w:rsid w:val="006D7669"/>
    <w:rsid w:val="006D772E"/>
    <w:rsid w:val="006D7865"/>
    <w:rsid w:val="006E0287"/>
    <w:rsid w:val="006E05DB"/>
    <w:rsid w:val="006E0854"/>
    <w:rsid w:val="006E09EC"/>
    <w:rsid w:val="006E107D"/>
    <w:rsid w:val="006E24E5"/>
    <w:rsid w:val="006E2931"/>
    <w:rsid w:val="006E29C6"/>
    <w:rsid w:val="006E2A6B"/>
    <w:rsid w:val="006E3179"/>
    <w:rsid w:val="006E322B"/>
    <w:rsid w:val="006E3F5C"/>
    <w:rsid w:val="006E4B35"/>
    <w:rsid w:val="006E50AB"/>
    <w:rsid w:val="006E50B7"/>
    <w:rsid w:val="006E5DF3"/>
    <w:rsid w:val="006E7541"/>
    <w:rsid w:val="006F0EB8"/>
    <w:rsid w:val="006F14FE"/>
    <w:rsid w:val="006F15F6"/>
    <w:rsid w:val="006F2ACB"/>
    <w:rsid w:val="006F33FF"/>
    <w:rsid w:val="006F41BE"/>
    <w:rsid w:val="006F458F"/>
    <w:rsid w:val="006F4FCC"/>
    <w:rsid w:val="006F598D"/>
    <w:rsid w:val="006F5AB5"/>
    <w:rsid w:val="006F627B"/>
    <w:rsid w:val="006F6568"/>
    <w:rsid w:val="006F731C"/>
    <w:rsid w:val="006F73CF"/>
    <w:rsid w:val="00700B92"/>
    <w:rsid w:val="0070150D"/>
    <w:rsid w:val="00701ED7"/>
    <w:rsid w:val="00702405"/>
    <w:rsid w:val="007036E2"/>
    <w:rsid w:val="007039C4"/>
    <w:rsid w:val="00703BAC"/>
    <w:rsid w:val="00704A64"/>
    <w:rsid w:val="00705881"/>
    <w:rsid w:val="00705A6E"/>
    <w:rsid w:val="00705B51"/>
    <w:rsid w:val="00706500"/>
    <w:rsid w:val="00706511"/>
    <w:rsid w:val="00706DEB"/>
    <w:rsid w:val="007073DE"/>
    <w:rsid w:val="007078B8"/>
    <w:rsid w:val="0071004B"/>
    <w:rsid w:val="00710E31"/>
    <w:rsid w:val="00710E5E"/>
    <w:rsid w:val="0071235D"/>
    <w:rsid w:val="007128EB"/>
    <w:rsid w:val="00712C28"/>
    <w:rsid w:val="007136AB"/>
    <w:rsid w:val="007141AB"/>
    <w:rsid w:val="0071427A"/>
    <w:rsid w:val="0071472F"/>
    <w:rsid w:val="0071475F"/>
    <w:rsid w:val="00714D46"/>
    <w:rsid w:val="007155E0"/>
    <w:rsid w:val="00717D83"/>
    <w:rsid w:val="00717EED"/>
    <w:rsid w:val="00720460"/>
    <w:rsid w:val="007209B8"/>
    <w:rsid w:val="007227EE"/>
    <w:rsid w:val="00723AC7"/>
    <w:rsid w:val="00723B8C"/>
    <w:rsid w:val="00723E77"/>
    <w:rsid w:val="00724308"/>
    <w:rsid w:val="00725434"/>
    <w:rsid w:val="0072557B"/>
    <w:rsid w:val="00726EA4"/>
    <w:rsid w:val="0072765F"/>
    <w:rsid w:val="007303DD"/>
    <w:rsid w:val="00730D16"/>
    <w:rsid w:val="00731996"/>
    <w:rsid w:val="007325D2"/>
    <w:rsid w:val="00732909"/>
    <w:rsid w:val="00733F77"/>
    <w:rsid w:val="00734B18"/>
    <w:rsid w:val="00735A70"/>
    <w:rsid w:val="00735C71"/>
    <w:rsid w:val="00737659"/>
    <w:rsid w:val="00737D54"/>
    <w:rsid w:val="00740505"/>
    <w:rsid w:val="00741383"/>
    <w:rsid w:val="00742C96"/>
    <w:rsid w:val="00743759"/>
    <w:rsid w:val="00743EDA"/>
    <w:rsid w:val="007455EA"/>
    <w:rsid w:val="00745AC0"/>
    <w:rsid w:val="007478F8"/>
    <w:rsid w:val="0075044D"/>
    <w:rsid w:val="00750850"/>
    <w:rsid w:val="007513BA"/>
    <w:rsid w:val="00751F61"/>
    <w:rsid w:val="00752A18"/>
    <w:rsid w:val="00753CB4"/>
    <w:rsid w:val="00754013"/>
    <w:rsid w:val="007546EB"/>
    <w:rsid w:val="00754873"/>
    <w:rsid w:val="00755C80"/>
    <w:rsid w:val="00755D38"/>
    <w:rsid w:val="0075747F"/>
    <w:rsid w:val="00757695"/>
    <w:rsid w:val="00761A57"/>
    <w:rsid w:val="00761B8A"/>
    <w:rsid w:val="00762044"/>
    <w:rsid w:val="00763544"/>
    <w:rsid w:val="00763D5B"/>
    <w:rsid w:val="00764FFA"/>
    <w:rsid w:val="00765510"/>
    <w:rsid w:val="0076697A"/>
    <w:rsid w:val="00766BBE"/>
    <w:rsid w:val="00766EEC"/>
    <w:rsid w:val="007678BC"/>
    <w:rsid w:val="00767F54"/>
    <w:rsid w:val="0077091D"/>
    <w:rsid w:val="00770E0B"/>
    <w:rsid w:val="0077307A"/>
    <w:rsid w:val="00773128"/>
    <w:rsid w:val="00773372"/>
    <w:rsid w:val="00774A97"/>
    <w:rsid w:val="0077599E"/>
    <w:rsid w:val="00775D16"/>
    <w:rsid w:val="007769C1"/>
    <w:rsid w:val="007808D1"/>
    <w:rsid w:val="00780C4A"/>
    <w:rsid w:val="00781DDA"/>
    <w:rsid w:val="007820D9"/>
    <w:rsid w:val="00782600"/>
    <w:rsid w:val="00782FEF"/>
    <w:rsid w:val="00783386"/>
    <w:rsid w:val="007905CE"/>
    <w:rsid w:val="00790ECC"/>
    <w:rsid w:val="00791707"/>
    <w:rsid w:val="00791AFA"/>
    <w:rsid w:val="00791EE8"/>
    <w:rsid w:val="00791F04"/>
    <w:rsid w:val="0079279D"/>
    <w:rsid w:val="007933B5"/>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A2"/>
    <w:rsid w:val="007A3786"/>
    <w:rsid w:val="007A46B5"/>
    <w:rsid w:val="007A4B52"/>
    <w:rsid w:val="007A52C2"/>
    <w:rsid w:val="007A59CC"/>
    <w:rsid w:val="007A69F2"/>
    <w:rsid w:val="007A6B29"/>
    <w:rsid w:val="007A6FE4"/>
    <w:rsid w:val="007A7886"/>
    <w:rsid w:val="007B0DA2"/>
    <w:rsid w:val="007B113B"/>
    <w:rsid w:val="007B34E2"/>
    <w:rsid w:val="007B352A"/>
    <w:rsid w:val="007B3AAE"/>
    <w:rsid w:val="007B56B8"/>
    <w:rsid w:val="007B63C9"/>
    <w:rsid w:val="007B686F"/>
    <w:rsid w:val="007B6DEA"/>
    <w:rsid w:val="007C09E8"/>
    <w:rsid w:val="007C16B5"/>
    <w:rsid w:val="007C18F9"/>
    <w:rsid w:val="007C20D4"/>
    <w:rsid w:val="007C2E72"/>
    <w:rsid w:val="007C2EF1"/>
    <w:rsid w:val="007C374D"/>
    <w:rsid w:val="007C3A10"/>
    <w:rsid w:val="007C40CF"/>
    <w:rsid w:val="007C4129"/>
    <w:rsid w:val="007C4E0B"/>
    <w:rsid w:val="007C569B"/>
    <w:rsid w:val="007C6358"/>
    <w:rsid w:val="007C6D75"/>
    <w:rsid w:val="007C7983"/>
    <w:rsid w:val="007C7C23"/>
    <w:rsid w:val="007D0546"/>
    <w:rsid w:val="007D069E"/>
    <w:rsid w:val="007D1EE0"/>
    <w:rsid w:val="007D229E"/>
    <w:rsid w:val="007D22BE"/>
    <w:rsid w:val="007D356E"/>
    <w:rsid w:val="007D38F1"/>
    <w:rsid w:val="007D3C6C"/>
    <w:rsid w:val="007D52AF"/>
    <w:rsid w:val="007D5669"/>
    <w:rsid w:val="007D5FA3"/>
    <w:rsid w:val="007D678E"/>
    <w:rsid w:val="007D6ABA"/>
    <w:rsid w:val="007D7C19"/>
    <w:rsid w:val="007E03BF"/>
    <w:rsid w:val="007E03C3"/>
    <w:rsid w:val="007E0482"/>
    <w:rsid w:val="007E1D46"/>
    <w:rsid w:val="007E40C7"/>
    <w:rsid w:val="007E42FC"/>
    <w:rsid w:val="007E5BF9"/>
    <w:rsid w:val="007E5FA7"/>
    <w:rsid w:val="007E710F"/>
    <w:rsid w:val="007E7642"/>
    <w:rsid w:val="007F059B"/>
    <w:rsid w:val="007F1278"/>
    <w:rsid w:val="007F228C"/>
    <w:rsid w:val="007F2B6D"/>
    <w:rsid w:val="007F2C76"/>
    <w:rsid w:val="007F31D3"/>
    <w:rsid w:val="007F4BC9"/>
    <w:rsid w:val="007F52D4"/>
    <w:rsid w:val="007F53AF"/>
    <w:rsid w:val="007F588A"/>
    <w:rsid w:val="007F58AF"/>
    <w:rsid w:val="007F59CE"/>
    <w:rsid w:val="007F766F"/>
    <w:rsid w:val="007F7F8A"/>
    <w:rsid w:val="00801422"/>
    <w:rsid w:val="008019D8"/>
    <w:rsid w:val="0080202A"/>
    <w:rsid w:val="008025BB"/>
    <w:rsid w:val="00804D2D"/>
    <w:rsid w:val="00805068"/>
    <w:rsid w:val="00805307"/>
    <w:rsid w:val="0080742F"/>
    <w:rsid w:val="00807768"/>
    <w:rsid w:val="00807FD7"/>
    <w:rsid w:val="00810B8D"/>
    <w:rsid w:val="00810F8C"/>
    <w:rsid w:val="008112A8"/>
    <w:rsid w:val="0081137D"/>
    <w:rsid w:val="00813A65"/>
    <w:rsid w:val="00814352"/>
    <w:rsid w:val="008144EF"/>
    <w:rsid w:val="008146FF"/>
    <w:rsid w:val="00814824"/>
    <w:rsid w:val="00814C5A"/>
    <w:rsid w:val="00815674"/>
    <w:rsid w:val="008159E9"/>
    <w:rsid w:val="00816403"/>
    <w:rsid w:val="008166E7"/>
    <w:rsid w:val="00817785"/>
    <w:rsid w:val="008177D4"/>
    <w:rsid w:val="00820C90"/>
    <w:rsid w:val="0082168C"/>
    <w:rsid w:val="0082267F"/>
    <w:rsid w:val="00822F92"/>
    <w:rsid w:val="0082390F"/>
    <w:rsid w:val="008248E9"/>
    <w:rsid w:val="00825273"/>
    <w:rsid w:val="0082559F"/>
    <w:rsid w:val="008257B6"/>
    <w:rsid w:val="00826171"/>
    <w:rsid w:val="008308FC"/>
    <w:rsid w:val="008326A7"/>
    <w:rsid w:val="008326C2"/>
    <w:rsid w:val="00832C9E"/>
    <w:rsid w:val="0083351F"/>
    <w:rsid w:val="008356A0"/>
    <w:rsid w:val="00835723"/>
    <w:rsid w:val="00835816"/>
    <w:rsid w:val="00835B10"/>
    <w:rsid w:val="00836191"/>
    <w:rsid w:val="00836631"/>
    <w:rsid w:val="00836BCE"/>
    <w:rsid w:val="00836C51"/>
    <w:rsid w:val="00837624"/>
    <w:rsid w:val="00840210"/>
    <w:rsid w:val="008420C9"/>
    <w:rsid w:val="00842488"/>
    <w:rsid w:val="00842793"/>
    <w:rsid w:val="00843A93"/>
    <w:rsid w:val="008440CD"/>
    <w:rsid w:val="00844D33"/>
    <w:rsid w:val="00846812"/>
    <w:rsid w:val="00846B0B"/>
    <w:rsid w:val="0084705F"/>
    <w:rsid w:val="00847C82"/>
    <w:rsid w:val="00850177"/>
    <w:rsid w:val="00851046"/>
    <w:rsid w:val="008511EE"/>
    <w:rsid w:val="00851B42"/>
    <w:rsid w:val="0085437F"/>
    <w:rsid w:val="008550DE"/>
    <w:rsid w:val="00855A83"/>
    <w:rsid w:val="00855B00"/>
    <w:rsid w:val="00856B25"/>
    <w:rsid w:val="00857DB9"/>
    <w:rsid w:val="00860495"/>
    <w:rsid w:val="00860BC3"/>
    <w:rsid w:val="0086129D"/>
    <w:rsid w:val="008615E9"/>
    <w:rsid w:val="00861FE4"/>
    <w:rsid w:val="00862334"/>
    <w:rsid w:val="00862452"/>
    <w:rsid w:val="00862E6A"/>
    <w:rsid w:val="00862FCD"/>
    <w:rsid w:val="008649AA"/>
    <w:rsid w:val="00865C0E"/>
    <w:rsid w:val="0086674E"/>
    <w:rsid w:val="008669E6"/>
    <w:rsid w:val="00866F32"/>
    <w:rsid w:val="0086725C"/>
    <w:rsid w:val="008673CD"/>
    <w:rsid w:val="008700CB"/>
    <w:rsid w:val="00870298"/>
    <w:rsid w:val="0087049C"/>
    <w:rsid w:val="00870818"/>
    <w:rsid w:val="0087283D"/>
    <w:rsid w:val="00873670"/>
    <w:rsid w:val="00873CF1"/>
    <w:rsid w:val="00874E02"/>
    <w:rsid w:val="00874FA9"/>
    <w:rsid w:val="0087510C"/>
    <w:rsid w:val="008755C2"/>
    <w:rsid w:val="00875B18"/>
    <w:rsid w:val="00876082"/>
    <w:rsid w:val="00880640"/>
    <w:rsid w:val="00881561"/>
    <w:rsid w:val="008826C4"/>
    <w:rsid w:val="00882C31"/>
    <w:rsid w:val="00883007"/>
    <w:rsid w:val="00883589"/>
    <w:rsid w:val="008837F8"/>
    <w:rsid w:val="00884068"/>
    <w:rsid w:val="008855A4"/>
    <w:rsid w:val="008863C3"/>
    <w:rsid w:val="0088773E"/>
    <w:rsid w:val="0089080F"/>
    <w:rsid w:val="00891F4A"/>
    <w:rsid w:val="00892054"/>
    <w:rsid w:val="00892A70"/>
    <w:rsid w:val="008937F2"/>
    <w:rsid w:val="00893F02"/>
    <w:rsid w:val="008942A1"/>
    <w:rsid w:val="008942E4"/>
    <w:rsid w:val="00894746"/>
    <w:rsid w:val="00894C64"/>
    <w:rsid w:val="0089613B"/>
    <w:rsid w:val="00896544"/>
    <w:rsid w:val="00897796"/>
    <w:rsid w:val="008A1017"/>
    <w:rsid w:val="008A1CC0"/>
    <w:rsid w:val="008A2938"/>
    <w:rsid w:val="008A2C07"/>
    <w:rsid w:val="008A2D85"/>
    <w:rsid w:val="008A4B71"/>
    <w:rsid w:val="008A4E85"/>
    <w:rsid w:val="008A52B8"/>
    <w:rsid w:val="008A52BC"/>
    <w:rsid w:val="008A547B"/>
    <w:rsid w:val="008A5FAC"/>
    <w:rsid w:val="008B0EB5"/>
    <w:rsid w:val="008B15B5"/>
    <w:rsid w:val="008B19B7"/>
    <w:rsid w:val="008B340B"/>
    <w:rsid w:val="008B350F"/>
    <w:rsid w:val="008B3C31"/>
    <w:rsid w:val="008B3F4E"/>
    <w:rsid w:val="008B4602"/>
    <w:rsid w:val="008B4685"/>
    <w:rsid w:val="008B574C"/>
    <w:rsid w:val="008B579B"/>
    <w:rsid w:val="008B5C8E"/>
    <w:rsid w:val="008B6294"/>
    <w:rsid w:val="008B659A"/>
    <w:rsid w:val="008B6E2C"/>
    <w:rsid w:val="008B6F4F"/>
    <w:rsid w:val="008B7A8D"/>
    <w:rsid w:val="008B7B37"/>
    <w:rsid w:val="008B7D96"/>
    <w:rsid w:val="008B7F22"/>
    <w:rsid w:val="008C0565"/>
    <w:rsid w:val="008C0C68"/>
    <w:rsid w:val="008C0F1F"/>
    <w:rsid w:val="008C2554"/>
    <w:rsid w:val="008C25F9"/>
    <w:rsid w:val="008C2E9D"/>
    <w:rsid w:val="008C32B1"/>
    <w:rsid w:val="008C3A70"/>
    <w:rsid w:val="008C4BC0"/>
    <w:rsid w:val="008C4BE9"/>
    <w:rsid w:val="008C654D"/>
    <w:rsid w:val="008C7070"/>
    <w:rsid w:val="008C7FD1"/>
    <w:rsid w:val="008D0718"/>
    <w:rsid w:val="008D195B"/>
    <w:rsid w:val="008D1CFA"/>
    <w:rsid w:val="008D23CC"/>
    <w:rsid w:val="008D2CEE"/>
    <w:rsid w:val="008D345E"/>
    <w:rsid w:val="008D4F82"/>
    <w:rsid w:val="008D511C"/>
    <w:rsid w:val="008D6B08"/>
    <w:rsid w:val="008D6CCF"/>
    <w:rsid w:val="008D7A3F"/>
    <w:rsid w:val="008E0192"/>
    <w:rsid w:val="008E20CE"/>
    <w:rsid w:val="008E233E"/>
    <w:rsid w:val="008E2E24"/>
    <w:rsid w:val="008E2F45"/>
    <w:rsid w:val="008E325D"/>
    <w:rsid w:val="008E3475"/>
    <w:rsid w:val="008E4358"/>
    <w:rsid w:val="008E4688"/>
    <w:rsid w:val="008E5C99"/>
    <w:rsid w:val="008E5E2F"/>
    <w:rsid w:val="008E6C86"/>
    <w:rsid w:val="008E6FCE"/>
    <w:rsid w:val="008E7DA8"/>
    <w:rsid w:val="008F07CC"/>
    <w:rsid w:val="008F1C12"/>
    <w:rsid w:val="008F240B"/>
    <w:rsid w:val="008F2429"/>
    <w:rsid w:val="008F26F1"/>
    <w:rsid w:val="008F379F"/>
    <w:rsid w:val="008F3D84"/>
    <w:rsid w:val="008F48FB"/>
    <w:rsid w:val="008F7C43"/>
    <w:rsid w:val="009009D6"/>
    <w:rsid w:val="00901204"/>
    <w:rsid w:val="00901472"/>
    <w:rsid w:val="009020B7"/>
    <w:rsid w:val="00903406"/>
    <w:rsid w:val="009037CA"/>
    <w:rsid w:val="009041A3"/>
    <w:rsid w:val="0090475C"/>
    <w:rsid w:val="009049D7"/>
    <w:rsid w:val="009057C0"/>
    <w:rsid w:val="00906812"/>
    <w:rsid w:val="00907E66"/>
    <w:rsid w:val="00910B4E"/>
    <w:rsid w:val="009115F4"/>
    <w:rsid w:val="00912221"/>
    <w:rsid w:val="00912687"/>
    <w:rsid w:val="00912754"/>
    <w:rsid w:val="00913302"/>
    <w:rsid w:val="009147AE"/>
    <w:rsid w:val="00914845"/>
    <w:rsid w:val="0091561C"/>
    <w:rsid w:val="009158FA"/>
    <w:rsid w:val="00916DDE"/>
    <w:rsid w:val="009173F5"/>
    <w:rsid w:val="00920F01"/>
    <w:rsid w:val="009222AD"/>
    <w:rsid w:val="0092244F"/>
    <w:rsid w:val="0092254D"/>
    <w:rsid w:val="00922CD3"/>
    <w:rsid w:val="00922F2F"/>
    <w:rsid w:val="0092524E"/>
    <w:rsid w:val="0092608C"/>
    <w:rsid w:val="009261E4"/>
    <w:rsid w:val="00926844"/>
    <w:rsid w:val="00930149"/>
    <w:rsid w:val="00930CFE"/>
    <w:rsid w:val="009310B7"/>
    <w:rsid w:val="00932237"/>
    <w:rsid w:val="00933610"/>
    <w:rsid w:val="0093365A"/>
    <w:rsid w:val="00933876"/>
    <w:rsid w:val="00933CF9"/>
    <w:rsid w:val="00934020"/>
    <w:rsid w:val="00934B10"/>
    <w:rsid w:val="00934C8D"/>
    <w:rsid w:val="00934FDA"/>
    <w:rsid w:val="00935472"/>
    <w:rsid w:val="009364AC"/>
    <w:rsid w:val="00936836"/>
    <w:rsid w:val="00936875"/>
    <w:rsid w:val="009370C8"/>
    <w:rsid w:val="00937884"/>
    <w:rsid w:val="00940304"/>
    <w:rsid w:val="009403A6"/>
    <w:rsid w:val="0094094B"/>
    <w:rsid w:val="00940A36"/>
    <w:rsid w:val="00940F67"/>
    <w:rsid w:val="00941B76"/>
    <w:rsid w:val="00941C1C"/>
    <w:rsid w:val="00941F8F"/>
    <w:rsid w:val="00942C2F"/>
    <w:rsid w:val="00943414"/>
    <w:rsid w:val="0094394A"/>
    <w:rsid w:val="00943D13"/>
    <w:rsid w:val="00944813"/>
    <w:rsid w:val="00944B20"/>
    <w:rsid w:val="00944DD3"/>
    <w:rsid w:val="00944EAC"/>
    <w:rsid w:val="009476EF"/>
    <w:rsid w:val="00947DE2"/>
    <w:rsid w:val="009512D9"/>
    <w:rsid w:val="00951C70"/>
    <w:rsid w:val="00952A84"/>
    <w:rsid w:val="00952B27"/>
    <w:rsid w:val="00952D57"/>
    <w:rsid w:val="0095340E"/>
    <w:rsid w:val="00953A1F"/>
    <w:rsid w:val="009543D1"/>
    <w:rsid w:val="0095464D"/>
    <w:rsid w:val="0095602A"/>
    <w:rsid w:val="009577A6"/>
    <w:rsid w:val="0095782E"/>
    <w:rsid w:val="00957C39"/>
    <w:rsid w:val="00957CD7"/>
    <w:rsid w:val="00960F57"/>
    <w:rsid w:val="0096131C"/>
    <w:rsid w:val="009617D3"/>
    <w:rsid w:val="00961BC5"/>
    <w:rsid w:val="00961D0F"/>
    <w:rsid w:val="00961F53"/>
    <w:rsid w:val="00962C4C"/>
    <w:rsid w:val="009631CA"/>
    <w:rsid w:val="00963679"/>
    <w:rsid w:val="00964CE0"/>
    <w:rsid w:val="00965329"/>
    <w:rsid w:val="00965B0A"/>
    <w:rsid w:val="00965E42"/>
    <w:rsid w:val="00966796"/>
    <w:rsid w:val="00966B8C"/>
    <w:rsid w:val="00966DE9"/>
    <w:rsid w:val="00966F23"/>
    <w:rsid w:val="00967408"/>
    <w:rsid w:val="00970042"/>
    <w:rsid w:val="0097048C"/>
    <w:rsid w:val="00971335"/>
    <w:rsid w:val="009714A9"/>
    <w:rsid w:val="00972511"/>
    <w:rsid w:val="00972737"/>
    <w:rsid w:val="00972878"/>
    <w:rsid w:val="00972AB9"/>
    <w:rsid w:val="00973837"/>
    <w:rsid w:val="00974AA0"/>
    <w:rsid w:val="00975A77"/>
    <w:rsid w:val="00975AEB"/>
    <w:rsid w:val="00975EF0"/>
    <w:rsid w:val="00976311"/>
    <w:rsid w:val="0097679B"/>
    <w:rsid w:val="0097695E"/>
    <w:rsid w:val="00976EE0"/>
    <w:rsid w:val="009777B0"/>
    <w:rsid w:val="009802DB"/>
    <w:rsid w:val="009804A0"/>
    <w:rsid w:val="009806A4"/>
    <w:rsid w:val="0098070B"/>
    <w:rsid w:val="0098099C"/>
    <w:rsid w:val="0098119C"/>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26F4"/>
    <w:rsid w:val="00993B20"/>
    <w:rsid w:val="00993B2D"/>
    <w:rsid w:val="00993D49"/>
    <w:rsid w:val="00994D53"/>
    <w:rsid w:val="009951C2"/>
    <w:rsid w:val="00997EA3"/>
    <w:rsid w:val="009A12E5"/>
    <w:rsid w:val="009A16DA"/>
    <w:rsid w:val="009A1C59"/>
    <w:rsid w:val="009A21EF"/>
    <w:rsid w:val="009A2238"/>
    <w:rsid w:val="009A276B"/>
    <w:rsid w:val="009A2EBE"/>
    <w:rsid w:val="009A2EC5"/>
    <w:rsid w:val="009A3395"/>
    <w:rsid w:val="009A3EB8"/>
    <w:rsid w:val="009A43FF"/>
    <w:rsid w:val="009A6ABB"/>
    <w:rsid w:val="009A6F3B"/>
    <w:rsid w:val="009A71B3"/>
    <w:rsid w:val="009B05E2"/>
    <w:rsid w:val="009B0B5E"/>
    <w:rsid w:val="009B139F"/>
    <w:rsid w:val="009B176B"/>
    <w:rsid w:val="009B25BD"/>
    <w:rsid w:val="009B2623"/>
    <w:rsid w:val="009B2FE1"/>
    <w:rsid w:val="009B3ECD"/>
    <w:rsid w:val="009B428F"/>
    <w:rsid w:val="009B4623"/>
    <w:rsid w:val="009B4B7B"/>
    <w:rsid w:val="009B4FAA"/>
    <w:rsid w:val="009B58AF"/>
    <w:rsid w:val="009B5AB2"/>
    <w:rsid w:val="009B5CAD"/>
    <w:rsid w:val="009B6495"/>
    <w:rsid w:val="009B6A84"/>
    <w:rsid w:val="009B6B6B"/>
    <w:rsid w:val="009B6B9C"/>
    <w:rsid w:val="009B72CC"/>
    <w:rsid w:val="009B72D0"/>
    <w:rsid w:val="009B780D"/>
    <w:rsid w:val="009C17E8"/>
    <w:rsid w:val="009C32D8"/>
    <w:rsid w:val="009C3C6F"/>
    <w:rsid w:val="009C3CE0"/>
    <w:rsid w:val="009C506B"/>
    <w:rsid w:val="009C56EB"/>
    <w:rsid w:val="009C6365"/>
    <w:rsid w:val="009C6660"/>
    <w:rsid w:val="009C67AD"/>
    <w:rsid w:val="009C68CB"/>
    <w:rsid w:val="009D1093"/>
    <w:rsid w:val="009D14B0"/>
    <w:rsid w:val="009D2262"/>
    <w:rsid w:val="009D36D7"/>
    <w:rsid w:val="009D3E90"/>
    <w:rsid w:val="009D50E9"/>
    <w:rsid w:val="009D5A86"/>
    <w:rsid w:val="009D6F39"/>
    <w:rsid w:val="009E027F"/>
    <w:rsid w:val="009E0555"/>
    <w:rsid w:val="009E0CF5"/>
    <w:rsid w:val="009E193F"/>
    <w:rsid w:val="009E1DB8"/>
    <w:rsid w:val="009E20F4"/>
    <w:rsid w:val="009E21B0"/>
    <w:rsid w:val="009E2615"/>
    <w:rsid w:val="009E270A"/>
    <w:rsid w:val="009E2C61"/>
    <w:rsid w:val="009E366A"/>
    <w:rsid w:val="009E3A7E"/>
    <w:rsid w:val="009E47DA"/>
    <w:rsid w:val="009E55ED"/>
    <w:rsid w:val="009E5B99"/>
    <w:rsid w:val="009E6E19"/>
    <w:rsid w:val="009E787A"/>
    <w:rsid w:val="009F03E3"/>
    <w:rsid w:val="009F1014"/>
    <w:rsid w:val="009F1562"/>
    <w:rsid w:val="009F15D5"/>
    <w:rsid w:val="009F1634"/>
    <w:rsid w:val="009F1CAF"/>
    <w:rsid w:val="009F31EC"/>
    <w:rsid w:val="009F3902"/>
    <w:rsid w:val="009F3947"/>
    <w:rsid w:val="009F442E"/>
    <w:rsid w:val="009F4741"/>
    <w:rsid w:val="009F500E"/>
    <w:rsid w:val="009F590D"/>
    <w:rsid w:val="009F7717"/>
    <w:rsid w:val="009F7D86"/>
    <w:rsid w:val="00A00061"/>
    <w:rsid w:val="00A0115E"/>
    <w:rsid w:val="00A0130B"/>
    <w:rsid w:val="00A02943"/>
    <w:rsid w:val="00A02E65"/>
    <w:rsid w:val="00A03BEC"/>
    <w:rsid w:val="00A03DF6"/>
    <w:rsid w:val="00A047F0"/>
    <w:rsid w:val="00A059CA"/>
    <w:rsid w:val="00A05ACF"/>
    <w:rsid w:val="00A05FC8"/>
    <w:rsid w:val="00A07EB8"/>
    <w:rsid w:val="00A109CB"/>
    <w:rsid w:val="00A119F0"/>
    <w:rsid w:val="00A12440"/>
    <w:rsid w:val="00A12AA4"/>
    <w:rsid w:val="00A12BE5"/>
    <w:rsid w:val="00A13FB4"/>
    <w:rsid w:val="00A14310"/>
    <w:rsid w:val="00A14D08"/>
    <w:rsid w:val="00A150E6"/>
    <w:rsid w:val="00A17BDB"/>
    <w:rsid w:val="00A2024F"/>
    <w:rsid w:val="00A2137E"/>
    <w:rsid w:val="00A21BEF"/>
    <w:rsid w:val="00A223BE"/>
    <w:rsid w:val="00A24057"/>
    <w:rsid w:val="00A2452F"/>
    <w:rsid w:val="00A24971"/>
    <w:rsid w:val="00A24DF2"/>
    <w:rsid w:val="00A25B00"/>
    <w:rsid w:val="00A25B45"/>
    <w:rsid w:val="00A26B02"/>
    <w:rsid w:val="00A26C14"/>
    <w:rsid w:val="00A27983"/>
    <w:rsid w:val="00A279DB"/>
    <w:rsid w:val="00A27C79"/>
    <w:rsid w:val="00A27FBC"/>
    <w:rsid w:val="00A30443"/>
    <w:rsid w:val="00A30952"/>
    <w:rsid w:val="00A30A79"/>
    <w:rsid w:val="00A30F62"/>
    <w:rsid w:val="00A31107"/>
    <w:rsid w:val="00A31A5E"/>
    <w:rsid w:val="00A32385"/>
    <w:rsid w:val="00A34272"/>
    <w:rsid w:val="00A34E28"/>
    <w:rsid w:val="00A356B1"/>
    <w:rsid w:val="00A364EF"/>
    <w:rsid w:val="00A3659A"/>
    <w:rsid w:val="00A37722"/>
    <w:rsid w:val="00A37E70"/>
    <w:rsid w:val="00A40323"/>
    <w:rsid w:val="00A41F4C"/>
    <w:rsid w:val="00A42348"/>
    <w:rsid w:val="00A42C07"/>
    <w:rsid w:val="00A42E26"/>
    <w:rsid w:val="00A439C4"/>
    <w:rsid w:val="00A4456C"/>
    <w:rsid w:val="00A4687D"/>
    <w:rsid w:val="00A46EB5"/>
    <w:rsid w:val="00A474F5"/>
    <w:rsid w:val="00A4779A"/>
    <w:rsid w:val="00A47851"/>
    <w:rsid w:val="00A47912"/>
    <w:rsid w:val="00A50553"/>
    <w:rsid w:val="00A50AE6"/>
    <w:rsid w:val="00A50F87"/>
    <w:rsid w:val="00A514AF"/>
    <w:rsid w:val="00A52BF2"/>
    <w:rsid w:val="00A5367F"/>
    <w:rsid w:val="00A538C7"/>
    <w:rsid w:val="00A53947"/>
    <w:rsid w:val="00A53BC2"/>
    <w:rsid w:val="00A55740"/>
    <w:rsid w:val="00A56079"/>
    <w:rsid w:val="00A560A9"/>
    <w:rsid w:val="00A5611F"/>
    <w:rsid w:val="00A56E0A"/>
    <w:rsid w:val="00A60B9A"/>
    <w:rsid w:val="00A61CEB"/>
    <w:rsid w:val="00A62A07"/>
    <w:rsid w:val="00A6310A"/>
    <w:rsid w:val="00A64328"/>
    <w:rsid w:val="00A646DF"/>
    <w:rsid w:val="00A64D08"/>
    <w:rsid w:val="00A654A5"/>
    <w:rsid w:val="00A65C6E"/>
    <w:rsid w:val="00A6602E"/>
    <w:rsid w:val="00A67552"/>
    <w:rsid w:val="00A706E2"/>
    <w:rsid w:val="00A7114B"/>
    <w:rsid w:val="00A71934"/>
    <w:rsid w:val="00A71C8C"/>
    <w:rsid w:val="00A721D3"/>
    <w:rsid w:val="00A72241"/>
    <w:rsid w:val="00A73098"/>
    <w:rsid w:val="00A736B2"/>
    <w:rsid w:val="00A73B48"/>
    <w:rsid w:val="00A754BA"/>
    <w:rsid w:val="00A76185"/>
    <w:rsid w:val="00A76283"/>
    <w:rsid w:val="00A767E9"/>
    <w:rsid w:val="00A8124C"/>
    <w:rsid w:val="00A82480"/>
    <w:rsid w:val="00A8335B"/>
    <w:rsid w:val="00A834AA"/>
    <w:rsid w:val="00A84D68"/>
    <w:rsid w:val="00A8519E"/>
    <w:rsid w:val="00A856C0"/>
    <w:rsid w:val="00A85C40"/>
    <w:rsid w:val="00A862F8"/>
    <w:rsid w:val="00A87D73"/>
    <w:rsid w:val="00A90DF3"/>
    <w:rsid w:val="00A910E0"/>
    <w:rsid w:val="00A91A33"/>
    <w:rsid w:val="00A91DE5"/>
    <w:rsid w:val="00A920F5"/>
    <w:rsid w:val="00A93003"/>
    <w:rsid w:val="00A9427E"/>
    <w:rsid w:val="00A943BD"/>
    <w:rsid w:val="00A94AA2"/>
    <w:rsid w:val="00A96259"/>
    <w:rsid w:val="00A96F60"/>
    <w:rsid w:val="00AA0A18"/>
    <w:rsid w:val="00AA1ED5"/>
    <w:rsid w:val="00AA2E93"/>
    <w:rsid w:val="00AA415C"/>
    <w:rsid w:val="00AA48BF"/>
    <w:rsid w:val="00AA560B"/>
    <w:rsid w:val="00AA58AB"/>
    <w:rsid w:val="00AA601C"/>
    <w:rsid w:val="00AB031F"/>
    <w:rsid w:val="00AB0335"/>
    <w:rsid w:val="00AB232B"/>
    <w:rsid w:val="00AB3D9A"/>
    <w:rsid w:val="00AB3F17"/>
    <w:rsid w:val="00AB4876"/>
    <w:rsid w:val="00AB5BFC"/>
    <w:rsid w:val="00AB6727"/>
    <w:rsid w:val="00AB69AC"/>
    <w:rsid w:val="00AB7F32"/>
    <w:rsid w:val="00AC058D"/>
    <w:rsid w:val="00AC19F9"/>
    <w:rsid w:val="00AC1F56"/>
    <w:rsid w:val="00AC266D"/>
    <w:rsid w:val="00AC3EDC"/>
    <w:rsid w:val="00AC404A"/>
    <w:rsid w:val="00AC4BB0"/>
    <w:rsid w:val="00AC518E"/>
    <w:rsid w:val="00AC5275"/>
    <w:rsid w:val="00AC5FC9"/>
    <w:rsid w:val="00AC6221"/>
    <w:rsid w:val="00AC62D9"/>
    <w:rsid w:val="00AC6688"/>
    <w:rsid w:val="00AC6706"/>
    <w:rsid w:val="00AC6DB0"/>
    <w:rsid w:val="00AD0F1C"/>
    <w:rsid w:val="00AD1447"/>
    <w:rsid w:val="00AD1500"/>
    <w:rsid w:val="00AD3871"/>
    <w:rsid w:val="00AD50C4"/>
    <w:rsid w:val="00AD5A69"/>
    <w:rsid w:val="00AD5CEE"/>
    <w:rsid w:val="00AD5D94"/>
    <w:rsid w:val="00AD6055"/>
    <w:rsid w:val="00AD6896"/>
    <w:rsid w:val="00AD6EB0"/>
    <w:rsid w:val="00AD7149"/>
    <w:rsid w:val="00AD7CED"/>
    <w:rsid w:val="00AD7F8D"/>
    <w:rsid w:val="00AE0188"/>
    <w:rsid w:val="00AE1AF9"/>
    <w:rsid w:val="00AE1B63"/>
    <w:rsid w:val="00AE2F80"/>
    <w:rsid w:val="00AE2F96"/>
    <w:rsid w:val="00AE3662"/>
    <w:rsid w:val="00AE3C4B"/>
    <w:rsid w:val="00AE4153"/>
    <w:rsid w:val="00AE455B"/>
    <w:rsid w:val="00AE4652"/>
    <w:rsid w:val="00AE532D"/>
    <w:rsid w:val="00AE5360"/>
    <w:rsid w:val="00AE551B"/>
    <w:rsid w:val="00AE7370"/>
    <w:rsid w:val="00AF09DC"/>
    <w:rsid w:val="00AF0D68"/>
    <w:rsid w:val="00AF1867"/>
    <w:rsid w:val="00AF309A"/>
    <w:rsid w:val="00AF3328"/>
    <w:rsid w:val="00AF35B0"/>
    <w:rsid w:val="00AF3E50"/>
    <w:rsid w:val="00AF4B12"/>
    <w:rsid w:val="00AF5D4A"/>
    <w:rsid w:val="00AF6041"/>
    <w:rsid w:val="00AF6AF3"/>
    <w:rsid w:val="00AF74B0"/>
    <w:rsid w:val="00AF7A9D"/>
    <w:rsid w:val="00B02581"/>
    <w:rsid w:val="00B04BAE"/>
    <w:rsid w:val="00B051E8"/>
    <w:rsid w:val="00B05B83"/>
    <w:rsid w:val="00B060EC"/>
    <w:rsid w:val="00B0624B"/>
    <w:rsid w:val="00B0763A"/>
    <w:rsid w:val="00B105C1"/>
    <w:rsid w:val="00B10CAE"/>
    <w:rsid w:val="00B10F7A"/>
    <w:rsid w:val="00B11AF5"/>
    <w:rsid w:val="00B120FB"/>
    <w:rsid w:val="00B127E2"/>
    <w:rsid w:val="00B12A40"/>
    <w:rsid w:val="00B12C4A"/>
    <w:rsid w:val="00B14288"/>
    <w:rsid w:val="00B1483E"/>
    <w:rsid w:val="00B14FDC"/>
    <w:rsid w:val="00B1582E"/>
    <w:rsid w:val="00B17FE3"/>
    <w:rsid w:val="00B204DE"/>
    <w:rsid w:val="00B2167F"/>
    <w:rsid w:val="00B21737"/>
    <w:rsid w:val="00B21EBB"/>
    <w:rsid w:val="00B2294E"/>
    <w:rsid w:val="00B23519"/>
    <w:rsid w:val="00B23733"/>
    <w:rsid w:val="00B23973"/>
    <w:rsid w:val="00B247A4"/>
    <w:rsid w:val="00B25096"/>
    <w:rsid w:val="00B26E31"/>
    <w:rsid w:val="00B27A4C"/>
    <w:rsid w:val="00B27C9E"/>
    <w:rsid w:val="00B30482"/>
    <w:rsid w:val="00B30783"/>
    <w:rsid w:val="00B3086E"/>
    <w:rsid w:val="00B31097"/>
    <w:rsid w:val="00B32399"/>
    <w:rsid w:val="00B3247E"/>
    <w:rsid w:val="00B32F82"/>
    <w:rsid w:val="00B33B0C"/>
    <w:rsid w:val="00B33D51"/>
    <w:rsid w:val="00B3553F"/>
    <w:rsid w:val="00B369BE"/>
    <w:rsid w:val="00B40593"/>
    <w:rsid w:val="00B415AB"/>
    <w:rsid w:val="00B416FF"/>
    <w:rsid w:val="00B41C72"/>
    <w:rsid w:val="00B429B1"/>
    <w:rsid w:val="00B4323D"/>
    <w:rsid w:val="00B43660"/>
    <w:rsid w:val="00B43978"/>
    <w:rsid w:val="00B44107"/>
    <w:rsid w:val="00B45789"/>
    <w:rsid w:val="00B458D3"/>
    <w:rsid w:val="00B45EA8"/>
    <w:rsid w:val="00B4706A"/>
    <w:rsid w:val="00B47787"/>
    <w:rsid w:val="00B50B51"/>
    <w:rsid w:val="00B50D9E"/>
    <w:rsid w:val="00B520BF"/>
    <w:rsid w:val="00B53AD5"/>
    <w:rsid w:val="00B53AF8"/>
    <w:rsid w:val="00B5401A"/>
    <w:rsid w:val="00B54161"/>
    <w:rsid w:val="00B54B9F"/>
    <w:rsid w:val="00B554CD"/>
    <w:rsid w:val="00B55A29"/>
    <w:rsid w:val="00B55F31"/>
    <w:rsid w:val="00B56206"/>
    <w:rsid w:val="00B5684A"/>
    <w:rsid w:val="00B56B17"/>
    <w:rsid w:val="00B56FE7"/>
    <w:rsid w:val="00B571E9"/>
    <w:rsid w:val="00B5730C"/>
    <w:rsid w:val="00B574CC"/>
    <w:rsid w:val="00B60451"/>
    <w:rsid w:val="00B6045B"/>
    <w:rsid w:val="00B607DC"/>
    <w:rsid w:val="00B60EEB"/>
    <w:rsid w:val="00B619B5"/>
    <w:rsid w:val="00B626B2"/>
    <w:rsid w:val="00B628C1"/>
    <w:rsid w:val="00B63D68"/>
    <w:rsid w:val="00B65863"/>
    <w:rsid w:val="00B65C02"/>
    <w:rsid w:val="00B66538"/>
    <w:rsid w:val="00B67774"/>
    <w:rsid w:val="00B70678"/>
    <w:rsid w:val="00B70FF5"/>
    <w:rsid w:val="00B71302"/>
    <w:rsid w:val="00B72332"/>
    <w:rsid w:val="00B72DEB"/>
    <w:rsid w:val="00B72FAA"/>
    <w:rsid w:val="00B744DA"/>
    <w:rsid w:val="00B74659"/>
    <w:rsid w:val="00B74C72"/>
    <w:rsid w:val="00B75132"/>
    <w:rsid w:val="00B75E0D"/>
    <w:rsid w:val="00B7637A"/>
    <w:rsid w:val="00B768E2"/>
    <w:rsid w:val="00B76EAC"/>
    <w:rsid w:val="00B7767A"/>
    <w:rsid w:val="00B77899"/>
    <w:rsid w:val="00B77AB3"/>
    <w:rsid w:val="00B80AD7"/>
    <w:rsid w:val="00B81CAC"/>
    <w:rsid w:val="00B82786"/>
    <w:rsid w:val="00B83DED"/>
    <w:rsid w:val="00B841CF"/>
    <w:rsid w:val="00B857CF"/>
    <w:rsid w:val="00B85819"/>
    <w:rsid w:val="00B85C92"/>
    <w:rsid w:val="00B85D65"/>
    <w:rsid w:val="00B86284"/>
    <w:rsid w:val="00B91344"/>
    <w:rsid w:val="00B9169D"/>
    <w:rsid w:val="00B92A33"/>
    <w:rsid w:val="00B92C4F"/>
    <w:rsid w:val="00B92E02"/>
    <w:rsid w:val="00B95064"/>
    <w:rsid w:val="00B95453"/>
    <w:rsid w:val="00B95E41"/>
    <w:rsid w:val="00BA0E2B"/>
    <w:rsid w:val="00BA1441"/>
    <w:rsid w:val="00BA1851"/>
    <w:rsid w:val="00BA19AA"/>
    <w:rsid w:val="00BA2F55"/>
    <w:rsid w:val="00BA418C"/>
    <w:rsid w:val="00BA447B"/>
    <w:rsid w:val="00BA4BC2"/>
    <w:rsid w:val="00BA6000"/>
    <w:rsid w:val="00BA6A8D"/>
    <w:rsid w:val="00BA7A53"/>
    <w:rsid w:val="00BA7F56"/>
    <w:rsid w:val="00BA7FAC"/>
    <w:rsid w:val="00BB00A5"/>
    <w:rsid w:val="00BB117C"/>
    <w:rsid w:val="00BB1A52"/>
    <w:rsid w:val="00BB2ACF"/>
    <w:rsid w:val="00BB338F"/>
    <w:rsid w:val="00BB3909"/>
    <w:rsid w:val="00BB3F0F"/>
    <w:rsid w:val="00BB453D"/>
    <w:rsid w:val="00BB661A"/>
    <w:rsid w:val="00BB6671"/>
    <w:rsid w:val="00BB6793"/>
    <w:rsid w:val="00BB6B2A"/>
    <w:rsid w:val="00BB7138"/>
    <w:rsid w:val="00BB7393"/>
    <w:rsid w:val="00BB7A8D"/>
    <w:rsid w:val="00BB7C9A"/>
    <w:rsid w:val="00BB7E4A"/>
    <w:rsid w:val="00BC099B"/>
    <w:rsid w:val="00BC0A55"/>
    <w:rsid w:val="00BC27C0"/>
    <w:rsid w:val="00BC3812"/>
    <w:rsid w:val="00BC459A"/>
    <w:rsid w:val="00BC47F8"/>
    <w:rsid w:val="00BC4FC2"/>
    <w:rsid w:val="00BC54A1"/>
    <w:rsid w:val="00BC604A"/>
    <w:rsid w:val="00BC7A83"/>
    <w:rsid w:val="00BD050C"/>
    <w:rsid w:val="00BD0BCE"/>
    <w:rsid w:val="00BD24D7"/>
    <w:rsid w:val="00BD350C"/>
    <w:rsid w:val="00BD37C6"/>
    <w:rsid w:val="00BD4A90"/>
    <w:rsid w:val="00BD56EB"/>
    <w:rsid w:val="00BD5F30"/>
    <w:rsid w:val="00BD6171"/>
    <w:rsid w:val="00BE0D0E"/>
    <w:rsid w:val="00BE0F29"/>
    <w:rsid w:val="00BE10E2"/>
    <w:rsid w:val="00BE10F0"/>
    <w:rsid w:val="00BE1853"/>
    <w:rsid w:val="00BE1EB4"/>
    <w:rsid w:val="00BE5EB4"/>
    <w:rsid w:val="00BE6290"/>
    <w:rsid w:val="00BE6782"/>
    <w:rsid w:val="00BE6FB1"/>
    <w:rsid w:val="00BE716E"/>
    <w:rsid w:val="00BE7226"/>
    <w:rsid w:val="00BE72AA"/>
    <w:rsid w:val="00BE7A12"/>
    <w:rsid w:val="00BF030F"/>
    <w:rsid w:val="00BF1290"/>
    <w:rsid w:val="00BF216C"/>
    <w:rsid w:val="00BF302D"/>
    <w:rsid w:val="00BF3CB7"/>
    <w:rsid w:val="00BF4580"/>
    <w:rsid w:val="00BF479C"/>
    <w:rsid w:val="00BF4AE2"/>
    <w:rsid w:val="00BF4E61"/>
    <w:rsid w:val="00BF51C9"/>
    <w:rsid w:val="00BF5C4B"/>
    <w:rsid w:val="00BF5E6D"/>
    <w:rsid w:val="00BF6A3C"/>
    <w:rsid w:val="00BF7AD3"/>
    <w:rsid w:val="00BF7E6C"/>
    <w:rsid w:val="00C00538"/>
    <w:rsid w:val="00C005CC"/>
    <w:rsid w:val="00C01B08"/>
    <w:rsid w:val="00C01C2C"/>
    <w:rsid w:val="00C01C79"/>
    <w:rsid w:val="00C02862"/>
    <w:rsid w:val="00C030FD"/>
    <w:rsid w:val="00C0353E"/>
    <w:rsid w:val="00C03DB4"/>
    <w:rsid w:val="00C03F6F"/>
    <w:rsid w:val="00C10A89"/>
    <w:rsid w:val="00C10C1C"/>
    <w:rsid w:val="00C1131E"/>
    <w:rsid w:val="00C1149F"/>
    <w:rsid w:val="00C124D2"/>
    <w:rsid w:val="00C12FA4"/>
    <w:rsid w:val="00C13C2D"/>
    <w:rsid w:val="00C1410D"/>
    <w:rsid w:val="00C141FB"/>
    <w:rsid w:val="00C1576C"/>
    <w:rsid w:val="00C162F6"/>
    <w:rsid w:val="00C163AB"/>
    <w:rsid w:val="00C164F1"/>
    <w:rsid w:val="00C16668"/>
    <w:rsid w:val="00C20916"/>
    <w:rsid w:val="00C20A19"/>
    <w:rsid w:val="00C218A4"/>
    <w:rsid w:val="00C21A02"/>
    <w:rsid w:val="00C21C4A"/>
    <w:rsid w:val="00C2214A"/>
    <w:rsid w:val="00C24AA7"/>
    <w:rsid w:val="00C25E1E"/>
    <w:rsid w:val="00C26362"/>
    <w:rsid w:val="00C264B6"/>
    <w:rsid w:val="00C26555"/>
    <w:rsid w:val="00C2786C"/>
    <w:rsid w:val="00C27AF1"/>
    <w:rsid w:val="00C27DA2"/>
    <w:rsid w:val="00C3151A"/>
    <w:rsid w:val="00C32378"/>
    <w:rsid w:val="00C32BF4"/>
    <w:rsid w:val="00C32DAB"/>
    <w:rsid w:val="00C343C1"/>
    <w:rsid w:val="00C344A9"/>
    <w:rsid w:val="00C34721"/>
    <w:rsid w:val="00C34E91"/>
    <w:rsid w:val="00C34FFF"/>
    <w:rsid w:val="00C356C0"/>
    <w:rsid w:val="00C35796"/>
    <w:rsid w:val="00C3587D"/>
    <w:rsid w:val="00C35DA4"/>
    <w:rsid w:val="00C35E30"/>
    <w:rsid w:val="00C36298"/>
    <w:rsid w:val="00C366D0"/>
    <w:rsid w:val="00C36F2B"/>
    <w:rsid w:val="00C41A21"/>
    <w:rsid w:val="00C43813"/>
    <w:rsid w:val="00C44255"/>
    <w:rsid w:val="00C44466"/>
    <w:rsid w:val="00C445B9"/>
    <w:rsid w:val="00C448F1"/>
    <w:rsid w:val="00C45B65"/>
    <w:rsid w:val="00C46324"/>
    <w:rsid w:val="00C50367"/>
    <w:rsid w:val="00C51AD3"/>
    <w:rsid w:val="00C529A2"/>
    <w:rsid w:val="00C532B6"/>
    <w:rsid w:val="00C546F7"/>
    <w:rsid w:val="00C55973"/>
    <w:rsid w:val="00C55BF9"/>
    <w:rsid w:val="00C56236"/>
    <w:rsid w:val="00C5665D"/>
    <w:rsid w:val="00C56F19"/>
    <w:rsid w:val="00C56F26"/>
    <w:rsid w:val="00C571C7"/>
    <w:rsid w:val="00C574D9"/>
    <w:rsid w:val="00C575C4"/>
    <w:rsid w:val="00C579A8"/>
    <w:rsid w:val="00C615BB"/>
    <w:rsid w:val="00C6295B"/>
    <w:rsid w:val="00C63DCF"/>
    <w:rsid w:val="00C64042"/>
    <w:rsid w:val="00C64CDA"/>
    <w:rsid w:val="00C64E53"/>
    <w:rsid w:val="00C66088"/>
    <w:rsid w:val="00C6713E"/>
    <w:rsid w:val="00C67771"/>
    <w:rsid w:val="00C7093A"/>
    <w:rsid w:val="00C70FC3"/>
    <w:rsid w:val="00C71FDA"/>
    <w:rsid w:val="00C72088"/>
    <w:rsid w:val="00C734B3"/>
    <w:rsid w:val="00C73C4E"/>
    <w:rsid w:val="00C73C98"/>
    <w:rsid w:val="00C7411A"/>
    <w:rsid w:val="00C74E0A"/>
    <w:rsid w:val="00C75220"/>
    <w:rsid w:val="00C7760E"/>
    <w:rsid w:val="00C804B2"/>
    <w:rsid w:val="00C808B2"/>
    <w:rsid w:val="00C80B10"/>
    <w:rsid w:val="00C81D8C"/>
    <w:rsid w:val="00C826D8"/>
    <w:rsid w:val="00C82B26"/>
    <w:rsid w:val="00C8315B"/>
    <w:rsid w:val="00C8422E"/>
    <w:rsid w:val="00C865D0"/>
    <w:rsid w:val="00C873F0"/>
    <w:rsid w:val="00C874C4"/>
    <w:rsid w:val="00C87DBC"/>
    <w:rsid w:val="00C87FF5"/>
    <w:rsid w:val="00C90136"/>
    <w:rsid w:val="00C90616"/>
    <w:rsid w:val="00C90A79"/>
    <w:rsid w:val="00C9155A"/>
    <w:rsid w:val="00C93887"/>
    <w:rsid w:val="00C93AF4"/>
    <w:rsid w:val="00C94E1F"/>
    <w:rsid w:val="00C95628"/>
    <w:rsid w:val="00C95A5E"/>
    <w:rsid w:val="00C95A72"/>
    <w:rsid w:val="00C964B5"/>
    <w:rsid w:val="00C964FC"/>
    <w:rsid w:val="00C973BA"/>
    <w:rsid w:val="00C979EF"/>
    <w:rsid w:val="00CA0815"/>
    <w:rsid w:val="00CA08FD"/>
    <w:rsid w:val="00CA1E8E"/>
    <w:rsid w:val="00CA490E"/>
    <w:rsid w:val="00CA52C4"/>
    <w:rsid w:val="00CA54DE"/>
    <w:rsid w:val="00CA638C"/>
    <w:rsid w:val="00CA67B4"/>
    <w:rsid w:val="00CA7112"/>
    <w:rsid w:val="00CA73CC"/>
    <w:rsid w:val="00CA76A6"/>
    <w:rsid w:val="00CB0297"/>
    <w:rsid w:val="00CB0D54"/>
    <w:rsid w:val="00CB1B8E"/>
    <w:rsid w:val="00CB2382"/>
    <w:rsid w:val="00CB2958"/>
    <w:rsid w:val="00CB3190"/>
    <w:rsid w:val="00CB391E"/>
    <w:rsid w:val="00CB3CD2"/>
    <w:rsid w:val="00CB3E5F"/>
    <w:rsid w:val="00CB6656"/>
    <w:rsid w:val="00CB6A55"/>
    <w:rsid w:val="00CB6DE5"/>
    <w:rsid w:val="00CC0089"/>
    <w:rsid w:val="00CC0988"/>
    <w:rsid w:val="00CC0ADA"/>
    <w:rsid w:val="00CC1569"/>
    <w:rsid w:val="00CC1BA3"/>
    <w:rsid w:val="00CC3B83"/>
    <w:rsid w:val="00CC3CE3"/>
    <w:rsid w:val="00CC4601"/>
    <w:rsid w:val="00CC5871"/>
    <w:rsid w:val="00CC6541"/>
    <w:rsid w:val="00CC70B4"/>
    <w:rsid w:val="00CC76FC"/>
    <w:rsid w:val="00CC7807"/>
    <w:rsid w:val="00CC789B"/>
    <w:rsid w:val="00CC7FF5"/>
    <w:rsid w:val="00CD086B"/>
    <w:rsid w:val="00CD1464"/>
    <w:rsid w:val="00CD276D"/>
    <w:rsid w:val="00CD4511"/>
    <w:rsid w:val="00CD4683"/>
    <w:rsid w:val="00CD5EB4"/>
    <w:rsid w:val="00CD5F39"/>
    <w:rsid w:val="00CD60B6"/>
    <w:rsid w:val="00CD66EC"/>
    <w:rsid w:val="00CD6F9C"/>
    <w:rsid w:val="00CD7569"/>
    <w:rsid w:val="00CD762F"/>
    <w:rsid w:val="00CD7C25"/>
    <w:rsid w:val="00CE0E19"/>
    <w:rsid w:val="00CE116A"/>
    <w:rsid w:val="00CE1A42"/>
    <w:rsid w:val="00CE1CBF"/>
    <w:rsid w:val="00CE2102"/>
    <w:rsid w:val="00CE3FDA"/>
    <w:rsid w:val="00CE42FF"/>
    <w:rsid w:val="00CE4E75"/>
    <w:rsid w:val="00CE52BC"/>
    <w:rsid w:val="00CE5BE7"/>
    <w:rsid w:val="00CE5EBD"/>
    <w:rsid w:val="00CE73CF"/>
    <w:rsid w:val="00CE7A3B"/>
    <w:rsid w:val="00CE7F68"/>
    <w:rsid w:val="00CF04F3"/>
    <w:rsid w:val="00CF0FA5"/>
    <w:rsid w:val="00CF11D4"/>
    <w:rsid w:val="00CF24BC"/>
    <w:rsid w:val="00CF26F5"/>
    <w:rsid w:val="00CF3746"/>
    <w:rsid w:val="00CF41E5"/>
    <w:rsid w:val="00CF4338"/>
    <w:rsid w:val="00CF4F33"/>
    <w:rsid w:val="00CF54E2"/>
    <w:rsid w:val="00CF597D"/>
    <w:rsid w:val="00CF6CE6"/>
    <w:rsid w:val="00D0079D"/>
    <w:rsid w:val="00D0095C"/>
    <w:rsid w:val="00D00C1B"/>
    <w:rsid w:val="00D02541"/>
    <w:rsid w:val="00D02D39"/>
    <w:rsid w:val="00D03C5B"/>
    <w:rsid w:val="00D03F58"/>
    <w:rsid w:val="00D04744"/>
    <w:rsid w:val="00D05366"/>
    <w:rsid w:val="00D05A23"/>
    <w:rsid w:val="00D078D8"/>
    <w:rsid w:val="00D10332"/>
    <w:rsid w:val="00D10740"/>
    <w:rsid w:val="00D10877"/>
    <w:rsid w:val="00D1157B"/>
    <w:rsid w:val="00D12751"/>
    <w:rsid w:val="00D135CE"/>
    <w:rsid w:val="00D139A0"/>
    <w:rsid w:val="00D13C5C"/>
    <w:rsid w:val="00D13ECC"/>
    <w:rsid w:val="00D14A14"/>
    <w:rsid w:val="00D14C6D"/>
    <w:rsid w:val="00D14D8D"/>
    <w:rsid w:val="00D15973"/>
    <w:rsid w:val="00D168E6"/>
    <w:rsid w:val="00D16F2B"/>
    <w:rsid w:val="00D172D3"/>
    <w:rsid w:val="00D17A28"/>
    <w:rsid w:val="00D17A5A"/>
    <w:rsid w:val="00D218DC"/>
    <w:rsid w:val="00D23512"/>
    <w:rsid w:val="00D25354"/>
    <w:rsid w:val="00D2584E"/>
    <w:rsid w:val="00D25A79"/>
    <w:rsid w:val="00D25E86"/>
    <w:rsid w:val="00D26462"/>
    <w:rsid w:val="00D2665F"/>
    <w:rsid w:val="00D27A85"/>
    <w:rsid w:val="00D3003A"/>
    <w:rsid w:val="00D30317"/>
    <w:rsid w:val="00D30EB4"/>
    <w:rsid w:val="00D31A7D"/>
    <w:rsid w:val="00D31FE7"/>
    <w:rsid w:val="00D3220D"/>
    <w:rsid w:val="00D33FBA"/>
    <w:rsid w:val="00D34391"/>
    <w:rsid w:val="00D34C12"/>
    <w:rsid w:val="00D3565A"/>
    <w:rsid w:val="00D35A79"/>
    <w:rsid w:val="00D35E96"/>
    <w:rsid w:val="00D35FDC"/>
    <w:rsid w:val="00D40097"/>
    <w:rsid w:val="00D401E0"/>
    <w:rsid w:val="00D40425"/>
    <w:rsid w:val="00D40CB7"/>
    <w:rsid w:val="00D40FEA"/>
    <w:rsid w:val="00D415C8"/>
    <w:rsid w:val="00D42244"/>
    <w:rsid w:val="00D423D9"/>
    <w:rsid w:val="00D43DDE"/>
    <w:rsid w:val="00D44123"/>
    <w:rsid w:val="00D442B0"/>
    <w:rsid w:val="00D444DF"/>
    <w:rsid w:val="00D44A35"/>
    <w:rsid w:val="00D44D85"/>
    <w:rsid w:val="00D4503D"/>
    <w:rsid w:val="00D45101"/>
    <w:rsid w:val="00D45358"/>
    <w:rsid w:val="00D45864"/>
    <w:rsid w:val="00D459DB"/>
    <w:rsid w:val="00D46674"/>
    <w:rsid w:val="00D466D7"/>
    <w:rsid w:val="00D47097"/>
    <w:rsid w:val="00D4781F"/>
    <w:rsid w:val="00D47DED"/>
    <w:rsid w:val="00D50115"/>
    <w:rsid w:val="00D50394"/>
    <w:rsid w:val="00D50973"/>
    <w:rsid w:val="00D50F13"/>
    <w:rsid w:val="00D50F17"/>
    <w:rsid w:val="00D51E83"/>
    <w:rsid w:val="00D520A5"/>
    <w:rsid w:val="00D524D7"/>
    <w:rsid w:val="00D541CD"/>
    <w:rsid w:val="00D54B7E"/>
    <w:rsid w:val="00D5527D"/>
    <w:rsid w:val="00D55D79"/>
    <w:rsid w:val="00D55DAA"/>
    <w:rsid w:val="00D56E3B"/>
    <w:rsid w:val="00D57287"/>
    <w:rsid w:val="00D600EB"/>
    <w:rsid w:val="00D62F1E"/>
    <w:rsid w:val="00D63427"/>
    <w:rsid w:val="00D64FB6"/>
    <w:rsid w:val="00D65386"/>
    <w:rsid w:val="00D65D65"/>
    <w:rsid w:val="00D668C6"/>
    <w:rsid w:val="00D66BF8"/>
    <w:rsid w:val="00D67FE1"/>
    <w:rsid w:val="00D701FB"/>
    <w:rsid w:val="00D702EE"/>
    <w:rsid w:val="00D70C79"/>
    <w:rsid w:val="00D71275"/>
    <w:rsid w:val="00D7136C"/>
    <w:rsid w:val="00D71911"/>
    <w:rsid w:val="00D71E3A"/>
    <w:rsid w:val="00D72011"/>
    <w:rsid w:val="00D727CD"/>
    <w:rsid w:val="00D73DD6"/>
    <w:rsid w:val="00D741ED"/>
    <w:rsid w:val="00D75186"/>
    <w:rsid w:val="00D75536"/>
    <w:rsid w:val="00D75677"/>
    <w:rsid w:val="00D75A95"/>
    <w:rsid w:val="00D75C0B"/>
    <w:rsid w:val="00D75C2C"/>
    <w:rsid w:val="00D76E6E"/>
    <w:rsid w:val="00D77302"/>
    <w:rsid w:val="00D77951"/>
    <w:rsid w:val="00D77AC1"/>
    <w:rsid w:val="00D80B65"/>
    <w:rsid w:val="00D82631"/>
    <w:rsid w:val="00D82E2D"/>
    <w:rsid w:val="00D831FE"/>
    <w:rsid w:val="00D83599"/>
    <w:rsid w:val="00D836E1"/>
    <w:rsid w:val="00D8394C"/>
    <w:rsid w:val="00D83B93"/>
    <w:rsid w:val="00D84503"/>
    <w:rsid w:val="00D84862"/>
    <w:rsid w:val="00D84D65"/>
    <w:rsid w:val="00D8653D"/>
    <w:rsid w:val="00D86581"/>
    <w:rsid w:val="00D866D6"/>
    <w:rsid w:val="00D86B7F"/>
    <w:rsid w:val="00D87B47"/>
    <w:rsid w:val="00D902B0"/>
    <w:rsid w:val="00D908FF"/>
    <w:rsid w:val="00D91215"/>
    <w:rsid w:val="00D91434"/>
    <w:rsid w:val="00D925B4"/>
    <w:rsid w:val="00D93C49"/>
    <w:rsid w:val="00D94876"/>
    <w:rsid w:val="00D95AE4"/>
    <w:rsid w:val="00D96307"/>
    <w:rsid w:val="00D963F7"/>
    <w:rsid w:val="00D9672B"/>
    <w:rsid w:val="00DA03AF"/>
    <w:rsid w:val="00DA16CC"/>
    <w:rsid w:val="00DA23EC"/>
    <w:rsid w:val="00DA3086"/>
    <w:rsid w:val="00DA3370"/>
    <w:rsid w:val="00DA35F9"/>
    <w:rsid w:val="00DA36BC"/>
    <w:rsid w:val="00DA4797"/>
    <w:rsid w:val="00DA4DA5"/>
    <w:rsid w:val="00DA585E"/>
    <w:rsid w:val="00DA59E4"/>
    <w:rsid w:val="00DA5F86"/>
    <w:rsid w:val="00DA6083"/>
    <w:rsid w:val="00DA649F"/>
    <w:rsid w:val="00DA7837"/>
    <w:rsid w:val="00DA7E32"/>
    <w:rsid w:val="00DB09D3"/>
    <w:rsid w:val="00DB0A52"/>
    <w:rsid w:val="00DB0A72"/>
    <w:rsid w:val="00DB0EFE"/>
    <w:rsid w:val="00DB2C75"/>
    <w:rsid w:val="00DB2E6C"/>
    <w:rsid w:val="00DB54D9"/>
    <w:rsid w:val="00DB5BCB"/>
    <w:rsid w:val="00DB5D14"/>
    <w:rsid w:val="00DB6957"/>
    <w:rsid w:val="00DB6BED"/>
    <w:rsid w:val="00DB6EEE"/>
    <w:rsid w:val="00DB7360"/>
    <w:rsid w:val="00DB74D3"/>
    <w:rsid w:val="00DB750C"/>
    <w:rsid w:val="00DB7C1B"/>
    <w:rsid w:val="00DC0223"/>
    <w:rsid w:val="00DC087D"/>
    <w:rsid w:val="00DC0BBF"/>
    <w:rsid w:val="00DC1F6A"/>
    <w:rsid w:val="00DC3AA9"/>
    <w:rsid w:val="00DC4F6B"/>
    <w:rsid w:val="00DC78E8"/>
    <w:rsid w:val="00DC7A83"/>
    <w:rsid w:val="00DD0525"/>
    <w:rsid w:val="00DD0B5C"/>
    <w:rsid w:val="00DD22E5"/>
    <w:rsid w:val="00DD2516"/>
    <w:rsid w:val="00DD2E8E"/>
    <w:rsid w:val="00DD351E"/>
    <w:rsid w:val="00DD42E5"/>
    <w:rsid w:val="00DD4B93"/>
    <w:rsid w:val="00DD6404"/>
    <w:rsid w:val="00DD6E5B"/>
    <w:rsid w:val="00DD6ED4"/>
    <w:rsid w:val="00DD74F4"/>
    <w:rsid w:val="00DE05E8"/>
    <w:rsid w:val="00DE0916"/>
    <w:rsid w:val="00DE0BA5"/>
    <w:rsid w:val="00DE1018"/>
    <w:rsid w:val="00DE1353"/>
    <w:rsid w:val="00DE1A19"/>
    <w:rsid w:val="00DE1E02"/>
    <w:rsid w:val="00DE2286"/>
    <w:rsid w:val="00DE3CA7"/>
    <w:rsid w:val="00DE4316"/>
    <w:rsid w:val="00DE5774"/>
    <w:rsid w:val="00DE731B"/>
    <w:rsid w:val="00DE7498"/>
    <w:rsid w:val="00DF0966"/>
    <w:rsid w:val="00DF0AA9"/>
    <w:rsid w:val="00DF1FC2"/>
    <w:rsid w:val="00DF24CD"/>
    <w:rsid w:val="00DF2DB6"/>
    <w:rsid w:val="00DF3D17"/>
    <w:rsid w:val="00DF3EFC"/>
    <w:rsid w:val="00DF5065"/>
    <w:rsid w:val="00DF6131"/>
    <w:rsid w:val="00DF64B9"/>
    <w:rsid w:val="00DF67FC"/>
    <w:rsid w:val="00DF6CD4"/>
    <w:rsid w:val="00DF74F2"/>
    <w:rsid w:val="00DF7CAF"/>
    <w:rsid w:val="00E006DB"/>
    <w:rsid w:val="00E0108F"/>
    <w:rsid w:val="00E01A8E"/>
    <w:rsid w:val="00E0245D"/>
    <w:rsid w:val="00E02892"/>
    <w:rsid w:val="00E02E6A"/>
    <w:rsid w:val="00E02F2C"/>
    <w:rsid w:val="00E02F34"/>
    <w:rsid w:val="00E07BED"/>
    <w:rsid w:val="00E10C8E"/>
    <w:rsid w:val="00E113AF"/>
    <w:rsid w:val="00E11E39"/>
    <w:rsid w:val="00E128FB"/>
    <w:rsid w:val="00E136F0"/>
    <w:rsid w:val="00E13A57"/>
    <w:rsid w:val="00E15109"/>
    <w:rsid w:val="00E15AA4"/>
    <w:rsid w:val="00E15B3C"/>
    <w:rsid w:val="00E169FA"/>
    <w:rsid w:val="00E1748D"/>
    <w:rsid w:val="00E17916"/>
    <w:rsid w:val="00E20367"/>
    <w:rsid w:val="00E208E7"/>
    <w:rsid w:val="00E20AEE"/>
    <w:rsid w:val="00E21391"/>
    <w:rsid w:val="00E223FC"/>
    <w:rsid w:val="00E23AA8"/>
    <w:rsid w:val="00E23BFC"/>
    <w:rsid w:val="00E257EA"/>
    <w:rsid w:val="00E25BEF"/>
    <w:rsid w:val="00E25F1F"/>
    <w:rsid w:val="00E264D4"/>
    <w:rsid w:val="00E27141"/>
    <w:rsid w:val="00E272E3"/>
    <w:rsid w:val="00E27318"/>
    <w:rsid w:val="00E27FEE"/>
    <w:rsid w:val="00E30B4E"/>
    <w:rsid w:val="00E31B48"/>
    <w:rsid w:val="00E32237"/>
    <w:rsid w:val="00E32AE5"/>
    <w:rsid w:val="00E333BB"/>
    <w:rsid w:val="00E33DAD"/>
    <w:rsid w:val="00E34AB6"/>
    <w:rsid w:val="00E34EB5"/>
    <w:rsid w:val="00E36A8F"/>
    <w:rsid w:val="00E37578"/>
    <w:rsid w:val="00E37BD9"/>
    <w:rsid w:val="00E414F3"/>
    <w:rsid w:val="00E41D15"/>
    <w:rsid w:val="00E424E5"/>
    <w:rsid w:val="00E43828"/>
    <w:rsid w:val="00E4400A"/>
    <w:rsid w:val="00E44754"/>
    <w:rsid w:val="00E46368"/>
    <w:rsid w:val="00E46587"/>
    <w:rsid w:val="00E47DF5"/>
    <w:rsid w:val="00E47E36"/>
    <w:rsid w:val="00E501CC"/>
    <w:rsid w:val="00E51684"/>
    <w:rsid w:val="00E51AA0"/>
    <w:rsid w:val="00E51BF9"/>
    <w:rsid w:val="00E54043"/>
    <w:rsid w:val="00E54668"/>
    <w:rsid w:val="00E54FA6"/>
    <w:rsid w:val="00E55C32"/>
    <w:rsid w:val="00E564B2"/>
    <w:rsid w:val="00E56D5D"/>
    <w:rsid w:val="00E57909"/>
    <w:rsid w:val="00E60C41"/>
    <w:rsid w:val="00E62249"/>
    <w:rsid w:val="00E62A5A"/>
    <w:rsid w:val="00E632C9"/>
    <w:rsid w:val="00E64008"/>
    <w:rsid w:val="00E6450B"/>
    <w:rsid w:val="00E66410"/>
    <w:rsid w:val="00E66689"/>
    <w:rsid w:val="00E66CF0"/>
    <w:rsid w:val="00E70231"/>
    <w:rsid w:val="00E702E5"/>
    <w:rsid w:val="00E70B2F"/>
    <w:rsid w:val="00E70FFD"/>
    <w:rsid w:val="00E717FF"/>
    <w:rsid w:val="00E7222A"/>
    <w:rsid w:val="00E729DA"/>
    <w:rsid w:val="00E72DB8"/>
    <w:rsid w:val="00E73921"/>
    <w:rsid w:val="00E745CC"/>
    <w:rsid w:val="00E760B5"/>
    <w:rsid w:val="00E76D0E"/>
    <w:rsid w:val="00E77F1C"/>
    <w:rsid w:val="00E77F73"/>
    <w:rsid w:val="00E804B6"/>
    <w:rsid w:val="00E8141C"/>
    <w:rsid w:val="00E84B69"/>
    <w:rsid w:val="00E84F20"/>
    <w:rsid w:val="00E869CC"/>
    <w:rsid w:val="00E86E98"/>
    <w:rsid w:val="00E87BC4"/>
    <w:rsid w:val="00E906DE"/>
    <w:rsid w:val="00E90CCE"/>
    <w:rsid w:val="00E91405"/>
    <w:rsid w:val="00E91A47"/>
    <w:rsid w:val="00E91BF5"/>
    <w:rsid w:val="00E930FB"/>
    <w:rsid w:val="00E93337"/>
    <w:rsid w:val="00E93ECB"/>
    <w:rsid w:val="00E94558"/>
    <w:rsid w:val="00E94590"/>
    <w:rsid w:val="00E94B75"/>
    <w:rsid w:val="00E95D63"/>
    <w:rsid w:val="00E95D74"/>
    <w:rsid w:val="00E9634B"/>
    <w:rsid w:val="00E978EB"/>
    <w:rsid w:val="00E97E94"/>
    <w:rsid w:val="00EA0CD2"/>
    <w:rsid w:val="00EA133D"/>
    <w:rsid w:val="00EA143D"/>
    <w:rsid w:val="00EA1E54"/>
    <w:rsid w:val="00EA2BF7"/>
    <w:rsid w:val="00EA2D2B"/>
    <w:rsid w:val="00EA2D4D"/>
    <w:rsid w:val="00EA431A"/>
    <w:rsid w:val="00EA458F"/>
    <w:rsid w:val="00EA4D7B"/>
    <w:rsid w:val="00EA68BA"/>
    <w:rsid w:val="00EA6EDC"/>
    <w:rsid w:val="00EA7675"/>
    <w:rsid w:val="00EB1A5B"/>
    <w:rsid w:val="00EB2663"/>
    <w:rsid w:val="00EB2B6E"/>
    <w:rsid w:val="00EB3843"/>
    <w:rsid w:val="00EB4CDD"/>
    <w:rsid w:val="00EB5DBF"/>
    <w:rsid w:val="00EB61B0"/>
    <w:rsid w:val="00EB63B0"/>
    <w:rsid w:val="00EB7B43"/>
    <w:rsid w:val="00EC0845"/>
    <w:rsid w:val="00EC08E6"/>
    <w:rsid w:val="00EC0F45"/>
    <w:rsid w:val="00EC1A2E"/>
    <w:rsid w:val="00EC1D8C"/>
    <w:rsid w:val="00EC2F20"/>
    <w:rsid w:val="00EC3909"/>
    <w:rsid w:val="00EC6836"/>
    <w:rsid w:val="00EC6C2D"/>
    <w:rsid w:val="00EC79BE"/>
    <w:rsid w:val="00ED0270"/>
    <w:rsid w:val="00ED0554"/>
    <w:rsid w:val="00ED0B2C"/>
    <w:rsid w:val="00ED1230"/>
    <w:rsid w:val="00ED15CA"/>
    <w:rsid w:val="00ED1D0C"/>
    <w:rsid w:val="00ED3D62"/>
    <w:rsid w:val="00ED60DB"/>
    <w:rsid w:val="00ED79E1"/>
    <w:rsid w:val="00ED7E73"/>
    <w:rsid w:val="00EE0A18"/>
    <w:rsid w:val="00EE0AFE"/>
    <w:rsid w:val="00EE0E0D"/>
    <w:rsid w:val="00EE1AE3"/>
    <w:rsid w:val="00EE256A"/>
    <w:rsid w:val="00EE29AD"/>
    <w:rsid w:val="00EE2DD6"/>
    <w:rsid w:val="00EE31D9"/>
    <w:rsid w:val="00EE320E"/>
    <w:rsid w:val="00EE4D6D"/>
    <w:rsid w:val="00EE53A9"/>
    <w:rsid w:val="00EE55A4"/>
    <w:rsid w:val="00EE5E7D"/>
    <w:rsid w:val="00EE635B"/>
    <w:rsid w:val="00EE67E3"/>
    <w:rsid w:val="00EE6816"/>
    <w:rsid w:val="00EE6C4B"/>
    <w:rsid w:val="00EE7CE1"/>
    <w:rsid w:val="00EF03AF"/>
    <w:rsid w:val="00EF0AEC"/>
    <w:rsid w:val="00EF144F"/>
    <w:rsid w:val="00EF1504"/>
    <w:rsid w:val="00EF207F"/>
    <w:rsid w:val="00EF2AF2"/>
    <w:rsid w:val="00EF2FBF"/>
    <w:rsid w:val="00EF323F"/>
    <w:rsid w:val="00EF32F5"/>
    <w:rsid w:val="00EF34A9"/>
    <w:rsid w:val="00EF3C5B"/>
    <w:rsid w:val="00EF3D1F"/>
    <w:rsid w:val="00EF4050"/>
    <w:rsid w:val="00EF40C7"/>
    <w:rsid w:val="00EF492E"/>
    <w:rsid w:val="00EF4A17"/>
    <w:rsid w:val="00EF4A29"/>
    <w:rsid w:val="00EF689D"/>
    <w:rsid w:val="00EF6C17"/>
    <w:rsid w:val="00EF7E9C"/>
    <w:rsid w:val="00F004A8"/>
    <w:rsid w:val="00F005A0"/>
    <w:rsid w:val="00F02455"/>
    <w:rsid w:val="00F024E2"/>
    <w:rsid w:val="00F02C14"/>
    <w:rsid w:val="00F02E8A"/>
    <w:rsid w:val="00F03558"/>
    <w:rsid w:val="00F04524"/>
    <w:rsid w:val="00F073BB"/>
    <w:rsid w:val="00F07C78"/>
    <w:rsid w:val="00F102B6"/>
    <w:rsid w:val="00F10703"/>
    <w:rsid w:val="00F10DF7"/>
    <w:rsid w:val="00F1166C"/>
    <w:rsid w:val="00F11919"/>
    <w:rsid w:val="00F11B65"/>
    <w:rsid w:val="00F12190"/>
    <w:rsid w:val="00F1237F"/>
    <w:rsid w:val="00F1245E"/>
    <w:rsid w:val="00F143A1"/>
    <w:rsid w:val="00F146E9"/>
    <w:rsid w:val="00F14D52"/>
    <w:rsid w:val="00F16440"/>
    <w:rsid w:val="00F16A4E"/>
    <w:rsid w:val="00F174A7"/>
    <w:rsid w:val="00F208B6"/>
    <w:rsid w:val="00F20D05"/>
    <w:rsid w:val="00F2122A"/>
    <w:rsid w:val="00F2217E"/>
    <w:rsid w:val="00F223C7"/>
    <w:rsid w:val="00F231FB"/>
    <w:rsid w:val="00F23317"/>
    <w:rsid w:val="00F23BF6"/>
    <w:rsid w:val="00F245D9"/>
    <w:rsid w:val="00F249B2"/>
    <w:rsid w:val="00F24D95"/>
    <w:rsid w:val="00F24E4A"/>
    <w:rsid w:val="00F272D9"/>
    <w:rsid w:val="00F277D6"/>
    <w:rsid w:val="00F27DA5"/>
    <w:rsid w:val="00F27F3F"/>
    <w:rsid w:val="00F27F51"/>
    <w:rsid w:val="00F30017"/>
    <w:rsid w:val="00F30549"/>
    <w:rsid w:val="00F30F71"/>
    <w:rsid w:val="00F3265C"/>
    <w:rsid w:val="00F32968"/>
    <w:rsid w:val="00F338F8"/>
    <w:rsid w:val="00F33FAB"/>
    <w:rsid w:val="00F34890"/>
    <w:rsid w:val="00F35DD4"/>
    <w:rsid w:val="00F35E1D"/>
    <w:rsid w:val="00F36E63"/>
    <w:rsid w:val="00F37309"/>
    <w:rsid w:val="00F37E56"/>
    <w:rsid w:val="00F4226B"/>
    <w:rsid w:val="00F42B0F"/>
    <w:rsid w:val="00F42E6B"/>
    <w:rsid w:val="00F43CB2"/>
    <w:rsid w:val="00F43F61"/>
    <w:rsid w:val="00F4423B"/>
    <w:rsid w:val="00F448C3"/>
    <w:rsid w:val="00F44DC8"/>
    <w:rsid w:val="00F453BD"/>
    <w:rsid w:val="00F45E06"/>
    <w:rsid w:val="00F46184"/>
    <w:rsid w:val="00F462CB"/>
    <w:rsid w:val="00F466FC"/>
    <w:rsid w:val="00F46FD5"/>
    <w:rsid w:val="00F477FF"/>
    <w:rsid w:val="00F47BB6"/>
    <w:rsid w:val="00F50CD6"/>
    <w:rsid w:val="00F51035"/>
    <w:rsid w:val="00F513F9"/>
    <w:rsid w:val="00F518CE"/>
    <w:rsid w:val="00F51AD2"/>
    <w:rsid w:val="00F51F54"/>
    <w:rsid w:val="00F5207C"/>
    <w:rsid w:val="00F54296"/>
    <w:rsid w:val="00F545D9"/>
    <w:rsid w:val="00F55560"/>
    <w:rsid w:val="00F56A9C"/>
    <w:rsid w:val="00F57462"/>
    <w:rsid w:val="00F57869"/>
    <w:rsid w:val="00F60AF6"/>
    <w:rsid w:val="00F60F7F"/>
    <w:rsid w:val="00F60FEF"/>
    <w:rsid w:val="00F616C4"/>
    <w:rsid w:val="00F6215C"/>
    <w:rsid w:val="00F62275"/>
    <w:rsid w:val="00F62518"/>
    <w:rsid w:val="00F62C66"/>
    <w:rsid w:val="00F62DB2"/>
    <w:rsid w:val="00F63032"/>
    <w:rsid w:val="00F63394"/>
    <w:rsid w:val="00F64528"/>
    <w:rsid w:val="00F64ADA"/>
    <w:rsid w:val="00F65462"/>
    <w:rsid w:val="00F66EF4"/>
    <w:rsid w:val="00F671F4"/>
    <w:rsid w:val="00F7051F"/>
    <w:rsid w:val="00F70D20"/>
    <w:rsid w:val="00F71547"/>
    <w:rsid w:val="00F71B54"/>
    <w:rsid w:val="00F71B60"/>
    <w:rsid w:val="00F728AF"/>
    <w:rsid w:val="00F730E2"/>
    <w:rsid w:val="00F7313D"/>
    <w:rsid w:val="00F73469"/>
    <w:rsid w:val="00F734E4"/>
    <w:rsid w:val="00F7359B"/>
    <w:rsid w:val="00F7365B"/>
    <w:rsid w:val="00F73EAE"/>
    <w:rsid w:val="00F75006"/>
    <w:rsid w:val="00F751D0"/>
    <w:rsid w:val="00F75D1C"/>
    <w:rsid w:val="00F76038"/>
    <w:rsid w:val="00F761E5"/>
    <w:rsid w:val="00F76428"/>
    <w:rsid w:val="00F76E87"/>
    <w:rsid w:val="00F8079D"/>
    <w:rsid w:val="00F817F8"/>
    <w:rsid w:val="00F81C50"/>
    <w:rsid w:val="00F82D34"/>
    <w:rsid w:val="00F82F6D"/>
    <w:rsid w:val="00F83035"/>
    <w:rsid w:val="00F845BD"/>
    <w:rsid w:val="00F8505E"/>
    <w:rsid w:val="00F8706B"/>
    <w:rsid w:val="00F91358"/>
    <w:rsid w:val="00F918D5"/>
    <w:rsid w:val="00F91D0A"/>
    <w:rsid w:val="00F92F30"/>
    <w:rsid w:val="00F936D9"/>
    <w:rsid w:val="00F93A75"/>
    <w:rsid w:val="00F93BAF"/>
    <w:rsid w:val="00F93C22"/>
    <w:rsid w:val="00F941FC"/>
    <w:rsid w:val="00F944B0"/>
    <w:rsid w:val="00F95446"/>
    <w:rsid w:val="00F96229"/>
    <w:rsid w:val="00F9693F"/>
    <w:rsid w:val="00F97567"/>
    <w:rsid w:val="00F97661"/>
    <w:rsid w:val="00F97AA0"/>
    <w:rsid w:val="00FA091E"/>
    <w:rsid w:val="00FA1853"/>
    <w:rsid w:val="00FA1D47"/>
    <w:rsid w:val="00FA20B3"/>
    <w:rsid w:val="00FA3063"/>
    <w:rsid w:val="00FA3FCF"/>
    <w:rsid w:val="00FA4F2E"/>
    <w:rsid w:val="00FA527B"/>
    <w:rsid w:val="00FA597F"/>
    <w:rsid w:val="00FA60E4"/>
    <w:rsid w:val="00FA73A4"/>
    <w:rsid w:val="00FA7621"/>
    <w:rsid w:val="00FA7666"/>
    <w:rsid w:val="00FB05EC"/>
    <w:rsid w:val="00FB2740"/>
    <w:rsid w:val="00FB2EE7"/>
    <w:rsid w:val="00FB31C2"/>
    <w:rsid w:val="00FB3430"/>
    <w:rsid w:val="00FB3E39"/>
    <w:rsid w:val="00FB5E18"/>
    <w:rsid w:val="00FB670C"/>
    <w:rsid w:val="00FB677A"/>
    <w:rsid w:val="00FB6DD9"/>
    <w:rsid w:val="00FC0ED3"/>
    <w:rsid w:val="00FC1197"/>
    <w:rsid w:val="00FC1867"/>
    <w:rsid w:val="00FC23A8"/>
    <w:rsid w:val="00FC2AD5"/>
    <w:rsid w:val="00FC34A2"/>
    <w:rsid w:val="00FC356C"/>
    <w:rsid w:val="00FC37EC"/>
    <w:rsid w:val="00FC39B1"/>
    <w:rsid w:val="00FC4471"/>
    <w:rsid w:val="00FC4EE5"/>
    <w:rsid w:val="00FC51CC"/>
    <w:rsid w:val="00FC53AE"/>
    <w:rsid w:val="00FC5454"/>
    <w:rsid w:val="00FC641F"/>
    <w:rsid w:val="00FC6896"/>
    <w:rsid w:val="00FC6A48"/>
    <w:rsid w:val="00FC6B73"/>
    <w:rsid w:val="00FC7697"/>
    <w:rsid w:val="00FD0199"/>
    <w:rsid w:val="00FD0548"/>
    <w:rsid w:val="00FD06BA"/>
    <w:rsid w:val="00FD0A6B"/>
    <w:rsid w:val="00FD0E3F"/>
    <w:rsid w:val="00FD0F01"/>
    <w:rsid w:val="00FD13B6"/>
    <w:rsid w:val="00FD24D1"/>
    <w:rsid w:val="00FD2903"/>
    <w:rsid w:val="00FD2D6E"/>
    <w:rsid w:val="00FD345F"/>
    <w:rsid w:val="00FD34D3"/>
    <w:rsid w:val="00FD3893"/>
    <w:rsid w:val="00FD3A77"/>
    <w:rsid w:val="00FD3AE4"/>
    <w:rsid w:val="00FD3F73"/>
    <w:rsid w:val="00FD40F1"/>
    <w:rsid w:val="00FD52B3"/>
    <w:rsid w:val="00FD5506"/>
    <w:rsid w:val="00FD5B73"/>
    <w:rsid w:val="00FD68EA"/>
    <w:rsid w:val="00FD7194"/>
    <w:rsid w:val="00FD7F2D"/>
    <w:rsid w:val="00FE0829"/>
    <w:rsid w:val="00FE091B"/>
    <w:rsid w:val="00FE0E2A"/>
    <w:rsid w:val="00FE1774"/>
    <w:rsid w:val="00FE1B2B"/>
    <w:rsid w:val="00FE30BA"/>
    <w:rsid w:val="00FE3625"/>
    <w:rsid w:val="00FE4390"/>
    <w:rsid w:val="00FE5112"/>
    <w:rsid w:val="00FE623D"/>
    <w:rsid w:val="00FE6908"/>
    <w:rsid w:val="00FE759D"/>
    <w:rsid w:val="00FE7FC4"/>
    <w:rsid w:val="00FF02DF"/>
    <w:rsid w:val="00FF034A"/>
    <w:rsid w:val="00FF15F8"/>
    <w:rsid w:val="00FF1867"/>
    <w:rsid w:val="00FF1FA8"/>
    <w:rsid w:val="00FF2158"/>
    <w:rsid w:val="00FF27D5"/>
    <w:rsid w:val="00FF2D3B"/>
    <w:rsid w:val="00FF2DC0"/>
    <w:rsid w:val="00FF31A1"/>
    <w:rsid w:val="00FF4C41"/>
    <w:rsid w:val="00FF558A"/>
    <w:rsid w:val="00FF6670"/>
    <w:rsid w:val="00FF67C3"/>
    <w:rsid w:val="00FF67CF"/>
    <w:rsid w:val="00FF7350"/>
    <w:rsid w:val="01691268"/>
    <w:rsid w:val="019649A6"/>
    <w:rsid w:val="01EF31F2"/>
    <w:rsid w:val="01F6283F"/>
    <w:rsid w:val="02001A0A"/>
    <w:rsid w:val="0226793F"/>
    <w:rsid w:val="02CA483A"/>
    <w:rsid w:val="02CD42BF"/>
    <w:rsid w:val="03797F07"/>
    <w:rsid w:val="03832799"/>
    <w:rsid w:val="03AD4585"/>
    <w:rsid w:val="03E00461"/>
    <w:rsid w:val="040C3655"/>
    <w:rsid w:val="05150564"/>
    <w:rsid w:val="05157257"/>
    <w:rsid w:val="052E0329"/>
    <w:rsid w:val="05332451"/>
    <w:rsid w:val="05CA1A68"/>
    <w:rsid w:val="063B74AF"/>
    <w:rsid w:val="06CC04E7"/>
    <w:rsid w:val="07641A9B"/>
    <w:rsid w:val="077A51A6"/>
    <w:rsid w:val="07C71CB5"/>
    <w:rsid w:val="07E06D3F"/>
    <w:rsid w:val="081A3966"/>
    <w:rsid w:val="085E4C76"/>
    <w:rsid w:val="08B07394"/>
    <w:rsid w:val="08F6559A"/>
    <w:rsid w:val="098D0CA5"/>
    <w:rsid w:val="0A3D5E62"/>
    <w:rsid w:val="0B162A43"/>
    <w:rsid w:val="0C37271E"/>
    <w:rsid w:val="0C3C7773"/>
    <w:rsid w:val="0CA924AC"/>
    <w:rsid w:val="0CDF15A0"/>
    <w:rsid w:val="0D4E7659"/>
    <w:rsid w:val="0D7242A8"/>
    <w:rsid w:val="0D9A5ABB"/>
    <w:rsid w:val="0DA23423"/>
    <w:rsid w:val="0DD92A52"/>
    <w:rsid w:val="0DE13FDD"/>
    <w:rsid w:val="0E4F4695"/>
    <w:rsid w:val="0ED71AD6"/>
    <w:rsid w:val="0FA805C0"/>
    <w:rsid w:val="103A0A85"/>
    <w:rsid w:val="10495372"/>
    <w:rsid w:val="106B35CC"/>
    <w:rsid w:val="10A91716"/>
    <w:rsid w:val="10B12CB0"/>
    <w:rsid w:val="10FF036E"/>
    <w:rsid w:val="1109400F"/>
    <w:rsid w:val="115123EF"/>
    <w:rsid w:val="12131766"/>
    <w:rsid w:val="1277544F"/>
    <w:rsid w:val="12BC1E49"/>
    <w:rsid w:val="13090F4E"/>
    <w:rsid w:val="13822E3F"/>
    <w:rsid w:val="13DC747C"/>
    <w:rsid w:val="140D4D05"/>
    <w:rsid w:val="147F75E5"/>
    <w:rsid w:val="14AF3DCC"/>
    <w:rsid w:val="15163E59"/>
    <w:rsid w:val="15B143D8"/>
    <w:rsid w:val="15DA0704"/>
    <w:rsid w:val="165F0A61"/>
    <w:rsid w:val="17820654"/>
    <w:rsid w:val="17E61D07"/>
    <w:rsid w:val="18093A95"/>
    <w:rsid w:val="181B56C2"/>
    <w:rsid w:val="182C4985"/>
    <w:rsid w:val="18627AC9"/>
    <w:rsid w:val="18AC35F8"/>
    <w:rsid w:val="18AE6978"/>
    <w:rsid w:val="18C63AE9"/>
    <w:rsid w:val="18D00155"/>
    <w:rsid w:val="19107162"/>
    <w:rsid w:val="195B425B"/>
    <w:rsid w:val="195C06C9"/>
    <w:rsid w:val="19CB1F74"/>
    <w:rsid w:val="19E05A7B"/>
    <w:rsid w:val="1A26547A"/>
    <w:rsid w:val="1AA54BBF"/>
    <w:rsid w:val="1AE41EDB"/>
    <w:rsid w:val="1BC06413"/>
    <w:rsid w:val="1C573C24"/>
    <w:rsid w:val="1C6E0067"/>
    <w:rsid w:val="1C7E7F32"/>
    <w:rsid w:val="1CBB08C3"/>
    <w:rsid w:val="1CF14D06"/>
    <w:rsid w:val="1D2E49C9"/>
    <w:rsid w:val="1EA641B8"/>
    <w:rsid w:val="1EAD547F"/>
    <w:rsid w:val="1F227689"/>
    <w:rsid w:val="1FF95442"/>
    <w:rsid w:val="204F5790"/>
    <w:rsid w:val="206F30AD"/>
    <w:rsid w:val="20845A25"/>
    <w:rsid w:val="20872B28"/>
    <w:rsid w:val="20C971E7"/>
    <w:rsid w:val="21171014"/>
    <w:rsid w:val="21692803"/>
    <w:rsid w:val="21B43C7C"/>
    <w:rsid w:val="23250B57"/>
    <w:rsid w:val="25371D8A"/>
    <w:rsid w:val="25415020"/>
    <w:rsid w:val="25682FFA"/>
    <w:rsid w:val="2577353C"/>
    <w:rsid w:val="25DA5F86"/>
    <w:rsid w:val="26A7671B"/>
    <w:rsid w:val="26B042F3"/>
    <w:rsid w:val="26BE045E"/>
    <w:rsid w:val="27DB0C20"/>
    <w:rsid w:val="27E16F8F"/>
    <w:rsid w:val="280E325E"/>
    <w:rsid w:val="288E0E1A"/>
    <w:rsid w:val="28A631A2"/>
    <w:rsid w:val="29737FD5"/>
    <w:rsid w:val="29755510"/>
    <w:rsid w:val="29CA6580"/>
    <w:rsid w:val="2A3E7CC4"/>
    <w:rsid w:val="2A927C4A"/>
    <w:rsid w:val="2A931C08"/>
    <w:rsid w:val="2B2F3898"/>
    <w:rsid w:val="2B6C5CDC"/>
    <w:rsid w:val="2BD9340F"/>
    <w:rsid w:val="2BF11EA2"/>
    <w:rsid w:val="2C015924"/>
    <w:rsid w:val="2C1C6B96"/>
    <w:rsid w:val="2C2F6F81"/>
    <w:rsid w:val="2C581F6B"/>
    <w:rsid w:val="2C6B545B"/>
    <w:rsid w:val="2CDF774E"/>
    <w:rsid w:val="2CE70BD7"/>
    <w:rsid w:val="2CE93C11"/>
    <w:rsid w:val="2D3B4C9D"/>
    <w:rsid w:val="2D6254BD"/>
    <w:rsid w:val="2D7C53E1"/>
    <w:rsid w:val="2D897069"/>
    <w:rsid w:val="2DA01FB3"/>
    <w:rsid w:val="2DE859F9"/>
    <w:rsid w:val="2E5721B7"/>
    <w:rsid w:val="2E9F70F3"/>
    <w:rsid w:val="2ED5056B"/>
    <w:rsid w:val="2F2B684B"/>
    <w:rsid w:val="2F3C370C"/>
    <w:rsid w:val="2F5918F0"/>
    <w:rsid w:val="302570C3"/>
    <w:rsid w:val="30D728B2"/>
    <w:rsid w:val="31241335"/>
    <w:rsid w:val="31F84147"/>
    <w:rsid w:val="321155AD"/>
    <w:rsid w:val="322E3B07"/>
    <w:rsid w:val="32430982"/>
    <w:rsid w:val="33685EDF"/>
    <w:rsid w:val="340F0342"/>
    <w:rsid w:val="349D6B3B"/>
    <w:rsid w:val="34D145D4"/>
    <w:rsid w:val="35192AE7"/>
    <w:rsid w:val="35DC431A"/>
    <w:rsid w:val="363F44C3"/>
    <w:rsid w:val="372E74A9"/>
    <w:rsid w:val="37C31F11"/>
    <w:rsid w:val="37D3119C"/>
    <w:rsid w:val="38015FCD"/>
    <w:rsid w:val="384C1B61"/>
    <w:rsid w:val="384D41EC"/>
    <w:rsid w:val="38814424"/>
    <w:rsid w:val="396D48A4"/>
    <w:rsid w:val="397765A5"/>
    <w:rsid w:val="39A54182"/>
    <w:rsid w:val="3A3178C2"/>
    <w:rsid w:val="3A9F2A57"/>
    <w:rsid w:val="3AB811C9"/>
    <w:rsid w:val="3AD21228"/>
    <w:rsid w:val="3B0B0272"/>
    <w:rsid w:val="3B9019CD"/>
    <w:rsid w:val="3B963B2E"/>
    <w:rsid w:val="3B9956A4"/>
    <w:rsid w:val="3BED040B"/>
    <w:rsid w:val="3C4106EA"/>
    <w:rsid w:val="3C617BAB"/>
    <w:rsid w:val="3CB40E65"/>
    <w:rsid w:val="3D046862"/>
    <w:rsid w:val="3D1E7AAC"/>
    <w:rsid w:val="3D7C460D"/>
    <w:rsid w:val="3E8F22D7"/>
    <w:rsid w:val="3EA83231"/>
    <w:rsid w:val="3EF76609"/>
    <w:rsid w:val="3F894584"/>
    <w:rsid w:val="3FF21FF7"/>
    <w:rsid w:val="403A21F8"/>
    <w:rsid w:val="40451619"/>
    <w:rsid w:val="40B138FD"/>
    <w:rsid w:val="40F06307"/>
    <w:rsid w:val="410A1C4C"/>
    <w:rsid w:val="41112985"/>
    <w:rsid w:val="41F5067E"/>
    <w:rsid w:val="4212218F"/>
    <w:rsid w:val="42A57908"/>
    <w:rsid w:val="42AC5B45"/>
    <w:rsid w:val="437665D2"/>
    <w:rsid w:val="439565A3"/>
    <w:rsid w:val="43EB271C"/>
    <w:rsid w:val="45C946EB"/>
    <w:rsid w:val="465D5705"/>
    <w:rsid w:val="466C25DF"/>
    <w:rsid w:val="46A862DA"/>
    <w:rsid w:val="46D12407"/>
    <w:rsid w:val="47241EC9"/>
    <w:rsid w:val="4738154D"/>
    <w:rsid w:val="478608C1"/>
    <w:rsid w:val="47C86DC5"/>
    <w:rsid w:val="47DB06A1"/>
    <w:rsid w:val="48467747"/>
    <w:rsid w:val="491604B5"/>
    <w:rsid w:val="49434D34"/>
    <w:rsid w:val="498C69C1"/>
    <w:rsid w:val="4A136F1E"/>
    <w:rsid w:val="4ADB08E1"/>
    <w:rsid w:val="4AFF402F"/>
    <w:rsid w:val="4BB80F4E"/>
    <w:rsid w:val="4BD9465F"/>
    <w:rsid w:val="4BDD3BEB"/>
    <w:rsid w:val="4C2C3F9F"/>
    <w:rsid w:val="4C8E570C"/>
    <w:rsid w:val="4D03568A"/>
    <w:rsid w:val="4D2950C7"/>
    <w:rsid w:val="4D987E41"/>
    <w:rsid w:val="4DCA5010"/>
    <w:rsid w:val="4E894EDE"/>
    <w:rsid w:val="4EB16B7D"/>
    <w:rsid w:val="4EBE6BE8"/>
    <w:rsid w:val="4F673030"/>
    <w:rsid w:val="4F9A6F55"/>
    <w:rsid w:val="4FC4043D"/>
    <w:rsid w:val="4FE91606"/>
    <w:rsid w:val="504E4FC4"/>
    <w:rsid w:val="50515126"/>
    <w:rsid w:val="507D11E2"/>
    <w:rsid w:val="50847E7B"/>
    <w:rsid w:val="50D95747"/>
    <w:rsid w:val="51472AD0"/>
    <w:rsid w:val="519F6001"/>
    <w:rsid w:val="51E26577"/>
    <w:rsid w:val="51E30416"/>
    <w:rsid w:val="51EB621C"/>
    <w:rsid w:val="51EF6ECE"/>
    <w:rsid w:val="522A59B9"/>
    <w:rsid w:val="525F2382"/>
    <w:rsid w:val="526B7327"/>
    <w:rsid w:val="52881A27"/>
    <w:rsid w:val="52BA2990"/>
    <w:rsid w:val="52D05AC3"/>
    <w:rsid w:val="53167E18"/>
    <w:rsid w:val="53E205BF"/>
    <w:rsid w:val="54092C9C"/>
    <w:rsid w:val="540C1E80"/>
    <w:rsid w:val="5443040F"/>
    <w:rsid w:val="54453FD8"/>
    <w:rsid w:val="548A6634"/>
    <w:rsid w:val="550B3F4E"/>
    <w:rsid w:val="55584285"/>
    <w:rsid w:val="55D74F47"/>
    <w:rsid w:val="56A44F72"/>
    <w:rsid w:val="56B1569E"/>
    <w:rsid w:val="56B26B6C"/>
    <w:rsid w:val="577C4C4A"/>
    <w:rsid w:val="5837796F"/>
    <w:rsid w:val="584A495A"/>
    <w:rsid w:val="585566EC"/>
    <w:rsid w:val="58A32B61"/>
    <w:rsid w:val="59474555"/>
    <w:rsid w:val="5A37735F"/>
    <w:rsid w:val="5A5B6FF0"/>
    <w:rsid w:val="5A665F64"/>
    <w:rsid w:val="5AF12613"/>
    <w:rsid w:val="5B34386C"/>
    <w:rsid w:val="5B41428A"/>
    <w:rsid w:val="5CB70CA7"/>
    <w:rsid w:val="5CC76F92"/>
    <w:rsid w:val="5D8C1DA9"/>
    <w:rsid w:val="5DEA2D4A"/>
    <w:rsid w:val="5E656CAA"/>
    <w:rsid w:val="5E786F68"/>
    <w:rsid w:val="5E8E79FE"/>
    <w:rsid w:val="5E9355F2"/>
    <w:rsid w:val="5EFA242A"/>
    <w:rsid w:val="6077037E"/>
    <w:rsid w:val="60D80363"/>
    <w:rsid w:val="60F03C86"/>
    <w:rsid w:val="61047DA4"/>
    <w:rsid w:val="61EA3C64"/>
    <w:rsid w:val="622F0706"/>
    <w:rsid w:val="623B4D54"/>
    <w:rsid w:val="62456ADE"/>
    <w:rsid w:val="63126F7C"/>
    <w:rsid w:val="63B13E41"/>
    <w:rsid w:val="63C9759B"/>
    <w:rsid w:val="65116DE6"/>
    <w:rsid w:val="659E769F"/>
    <w:rsid w:val="65E93956"/>
    <w:rsid w:val="662807E9"/>
    <w:rsid w:val="664E380A"/>
    <w:rsid w:val="679E4DCB"/>
    <w:rsid w:val="67BB3ABE"/>
    <w:rsid w:val="680C6F8D"/>
    <w:rsid w:val="684943AD"/>
    <w:rsid w:val="68504A97"/>
    <w:rsid w:val="687F20F0"/>
    <w:rsid w:val="68AD52B5"/>
    <w:rsid w:val="69290D22"/>
    <w:rsid w:val="692A6B7B"/>
    <w:rsid w:val="692F792C"/>
    <w:rsid w:val="69390801"/>
    <w:rsid w:val="6A3B10A2"/>
    <w:rsid w:val="6A3C7CBC"/>
    <w:rsid w:val="6A8A64BB"/>
    <w:rsid w:val="6B7B2903"/>
    <w:rsid w:val="6BAF6231"/>
    <w:rsid w:val="6BEE4FEF"/>
    <w:rsid w:val="6C405603"/>
    <w:rsid w:val="6CDB7466"/>
    <w:rsid w:val="6D95263A"/>
    <w:rsid w:val="6DF258A3"/>
    <w:rsid w:val="6E147506"/>
    <w:rsid w:val="6E2D793E"/>
    <w:rsid w:val="6EC946A0"/>
    <w:rsid w:val="6ED47E97"/>
    <w:rsid w:val="6FC20423"/>
    <w:rsid w:val="6FDE1C37"/>
    <w:rsid w:val="6FF15A51"/>
    <w:rsid w:val="700630E4"/>
    <w:rsid w:val="700D060E"/>
    <w:rsid w:val="706335DA"/>
    <w:rsid w:val="70985D82"/>
    <w:rsid w:val="70C00600"/>
    <w:rsid w:val="71D60C6B"/>
    <w:rsid w:val="720E7B72"/>
    <w:rsid w:val="726A1900"/>
    <w:rsid w:val="72821C55"/>
    <w:rsid w:val="731C0390"/>
    <w:rsid w:val="736E1066"/>
    <w:rsid w:val="73726453"/>
    <w:rsid w:val="739B35DB"/>
    <w:rsid w:val="73FB3BE1"/>
    <w:rsid w:val="74360FF0"/>
    <w:rsid w:val="74761E19"/>
    <w:rsid w:val="75475316"/>
    <w:rsid w:val="75DE17A4"/>
    <w:rsid w:val="75FB063E"/>
    <w:rsid w:val="76112118"/>
    <w:rsid w:val="763201C0"/>
    <w:rsid w:val="766D5115"/>
    <w:rsid w:val="76A609D8"/>
    <w:rsid w:val="76AE2E18"/>
    <w:rsid w:val="77487241"/>
    <w:rsid w:val="77803CD0"/>
    <w:rsid w:val="7846719A"/>
    <w:rsid w:val="79BC329A"/>
    <w:rsid w:val="79CF7A99"/>
    <w:rsid w:val="7A0155FF"/>
    <w:rsid w:val="7A544342"/>
    <w:rsid w:val="7A9E5B7C"/>
    <w:rsid w:val="7AAB081B"/>
    <w:rsid w:val="7B2E1B40"/>
    <w:rsid w:val="7BCD432D"/>
    <w:rsid w:val="7C9436EA"/>
    <w:rsid w:val="7CFA7948"/>
    <w:rsid w:val="7D4B03E2"/>
    <w:rsid w:val="7D513407"/>
    <w:rsid w:val="7EEC44E4"/>
    <w:rsid w:val="7F3B6EC3"/>
    <w:rsid w:val="7F7F6AFE"/>
    <w:rsid w:val="7FB34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4"/>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rPr>
  </w:style>
  <w:style w:type="paragraph" w:styleId="5">
    <w:name w:val="heading 3"/>
    <w:basedOn w:val="1"/>
    <w:next w:val="6"/>
    <w:link w:val="65"/>
    <w:unhideWhenUsed/>
    <w:qFormat/>
    <w:uiPriority w:val="0"/>
    <w:pPr>
      <w:keepNext/>
      <w:keepLines/>
      <w:spacing w:before="260" w:after="260" w:line="416" w:lineRule="auto"/>
      <w:outlineLvl w:val="2"/>
    </w:pPr>
    <w:rPr>
      <w:b/>
      <w:bCs/>
      <w:sz w:val="32"/>
      <w:szCs w:val="32"/>
    </w:rPr>
  </w:style>
  <w:style w:type="paragraph" w:styleId="2">
    <w:name w:val="heading 4"/>
    <w:basedOn w:val="1"/>
    <w:next w:val="1"/>
    <w:link w:val="94"/>
    <w:qFormat/>
    <w:uiPriority w:val="0"/>
    <w:pPr>
      <w:spacing w:before="60" w:after="60" w:line="360" w:lineRule="auto"/>
      <w:outlineLvl w:val="3"/>
    </w:pPr>
    <w:rPr>
      <w:b/>
      <w:bCs/>
      <w:sz w:val="24"/>
    </w:rPr>
  </w:style>
  <w:style w:type="paragraph" w:styleId="7">
    <w:name w:val="heading 5"/>
    <w:basedOn w:val="1"/>
    <w:next w:val="1"/>
    <w:link w:val="119"/>
    <w:qFormat/>
    <w:uiPriority w:val="0"/>
    <w:pPr>
      <w:keepNext/>
      <w:keepLines/>
      <w:spacing w:before="280" w:after="290" w:line="374" w:lineRule="auto"/>
      <w:outlineLvl w:val="4"/>
    </w:pPr>
    <w:rPr>
      <w:rFonts w:ascii="Times New Roman" w:hAnsi="Times New Roman"/>
      <w:b/>
      <w:bCs/>
      <w:sz w:val="28"/>
      <w:szCs w:val="28"/>
    </w:rPr>
  </w:style>
  <w:style w:type="paragraph" w:styleId="8">
    <w:name w:val="heading 6"/>
    <w:basedOn w:val="1"/>
    <w:next w:val="1"/>
    <w:link w:val="155"/>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rPr>
  </w:style>
  <w:style w:type="paragraph" w:styleId="9">
    <w:name w:val="heading 7"/>
    <w:basedOn w:val="1"/>
    <w:next w:val="1"/>
    <w:link w:val="156"/>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10">
    <w:name w:val="heading 8"/>
    <w:basedOn w:val="1"/>
    <w:next w:val="1"/>
    <w:link w:val="157"/>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1">
    <w:name w:val="heading 9"/>
    <w:basedOn w:val="1"/>
    <w:next w:val="1"/>
    <w:link w:val="158"/>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link w:val="175"/>
    <w:qFormat/>
    <w:uiPriority w:val="0"/>
    <w:pPr>
      <w:ind w:firstLine="420" w:firstLineChars="200"/>
    </w:pPr>
    <w:rPr>
      <w:rFonts w:ascii="Times New Roman" w:hAnsi="Times New Roman"/>
    </w:rPr>
  </w:style>
  <w:style w:type="paragraph" w:styleId="12">
    <w:name w:val="toc 7"/>
    <w:basedOn w:val="1"/>
    <w:next w:val="1"/>
    <w:qFormat/>
    <w:uiPriority w:val="39"/>
    <w:pPr>
      <w:ind w:left="2520" w:leftChars="1200"/>
    </w:pPr>
    <w:rPr>
      <w:rFonts w:ascii="Times New Roman" w:hAnsi="Times New Roman"/>
    </w:rPr>
  </w:style>
  <w:style w:type="paragraph" w:styleId="13">
    <w:name w:val="List Bullet 4"/>
    <w:basedOn w:val="1"/>
    <w:qFormat/>
    <w:uiPriority w:val="0"/>
    <w:pPr>
      <w:tabs>
        <w:tab w:val="left" w:pos="1620"/>
      </w:tabs>
      <w:ind w:left="1620" w:hanging="360"/>
    </w:pPr>
    <w:rPr>
      <w:rFonts w:ascii="Times New Roman" w:hAnsi="Times New Roman"/>
    </w:rPr>
  </w:style>
  <w:style w:type="paragraph" w:styleId="14">
    <w:name w:val="index 8"/>
    <w:basedOn w:val="1"/>
    <w:next w:val="1"/>
    <w:qFormat/>
    <w:uiPriority w:val="0"/>
    <w:pPr>
      <w:ind w:left="1400" w:leftChars="1400"/>
    </w:pPr>
    <w:rPr>
      <w:rFonts w:ascii="Times New Roman" w:hAnsi="Times New Roman"/>
    </w:rPr>
  </w:style>
  <w:style w:type="paragraph" w:styleId="15">
    <w:name w:val="caption"/>
    <w:basedOn w:val="1"/>
    <w:next w:val="1"/>
    <w:qFormat/>
    <w:uiPriority w:val="0"/>
    <w:pPr>
      <w:spacing w:before="152" w:after="160" w:line="360" w:lineRule="auto"/>
    </w:pPr>
    <w:rPr>
      <w:rFonts w:ascii="Arial" w:hAnsi="Arial" w:eastAsia="黑体" w:cs="Arial"/>
      <w:sz w:val="20"/>
      <w:szCs w:val="20"/>
    </w:rPr>
  </w:style>
  <w:style w:type="paragraph" w:styleId="16">
    <w:name w:val="Document Map"/>
    <w:basedOn w:val="1"/>
    <w:link w:val="91"/>
    <w:unhideWhenUsed/>
    <w:qFormat/>
    <w:uiPriority w:val="0"/>
    <w:rPr>
      <w:rFonts w:ascii="宋体"/>
      <w:sz w:val="18"/>
      <w:szCs w:val="18"/>
    </w:rPr>
  </w:style>
  <w:style w:type="paragraph" w:styleId="17">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18">
    <w:name w:val="annotation text"/>
    <w:basedOn w:val="1"/>
    <w:link w:val="92"/>
    <w:unhideWhenUsed/>
    <w:qFormat/>
    <w:uiPriority w:val="0"/>
    <w:pPr>
      <w:jc w:val="left"/>
    </w:pPr>
  </w:style>
  <w:style w:type="paragraph" w:styleId="19">
    <w:name w:val="Body Text 3"/>
    <w:basedOn w:val="1"/>
    <w:link w:val="120"/>
    <w:qFormat/>
    <w:uiPriority w:val="0"/>
    <w:pPr>
      <w:spacing w:after="120"/>
    </w:pPr>
    <w:rPr>
      <w:rFonts w:ascii="Times New Roman" w:hAnsi="Times New Roman" w:eastAsiaTheme="minorEastAsia" w:cstheme="minorBidi"/>
      <w:sz w:val="16"/>
      <w:szCs w:val="16"/>
    </w:rPr>
  </w:style>
  <w:style w:type="paragraph" w:styleId="20">
    <w:name w:val="Body Text"/>
    <w:basedOn w:val="1"/>
    <w:next w:val="21"/>
    <w:link w:val="76"/>
    <w:unhideWhenUsed/>
    <w:qFormat/>
    <w:uiPriority w:val="0"/>
    <w:pPr>
      <w:spacing w:after="120"/>
    </w:pPr>
  </w:style>
  <w:style w:type="paragraph" w:styleId="21">
    <w:name w:val="Body Text First Indent"/>
    <w:basedOn w:val="20"/>
    <w:next w:val="22"/>
    <w:link w:val="80"/>
    <w:qFormat/>
    <w:uiPriority w:val="0"/>
    <w:pPr>
      <w:ind w:firstLine="420" w:firstLineChars="100"/>
    </w:pPr>
    <w:rPr>
      <w:rFonts w:ascii="宋体" w:hAnsi="Times New Roman"/>
    </w:rPr>
  </w:style>
  <w:style w:type="paragraph" w:customStyle="1" w:styleId="22">
    <w:name w:val="样式 正文首行缩进 + 首行缩进:  1 字符"/>
    <w:basedOn w:val="1"/>
    <w:next w:val="1"/>
    <w:qFormat/>
    <w:uiPriority w:val="0"/>
    <w:pPr>
      <w:spacing w:line="360" w:lineRule="auto"/>
      <w:ind w:firstLine="200" w:firstLineChars="200"/>
    </w:pPr>
    <w:rPr>
      <w:rFonts w:cs="宋体"/>
      <w:sz w:val="24"/>
      <w:szCs w:val="20"/>
    </w:rPr>
  </w:style>
  <w:style w:type="paragraph" w:styleId="23">
    <w:name w:val="Body Text Indent"/>
    <w:basedOn w:val="1"/>
    <w:link w:val="97"/>
    <w:qFormat/>
    <w:uiPriority w:val="0"/>
    <w:pPr>
      <w:spacing w:after="120"/>
      <w:ind w:left="420" w:leftChars="200"/>
    </w:pPr>
    <w:rPr>
      <w:rFonts w:ascii="Times New Roman" w:hAnsi="Times New Roman" w:eastAsiaTheme="minorEastAsia" w:cstheme="minorBidi"/>
      <w:kern w:val="0"/>
      <w:sz w:val="20"/>
    </w:rPr>
  </w:style>
  <w:style w:type="paragraph" w:styleId="24">
    <w:name w:val="toc 5"/>
    <w:basedOn w:val="1"/>
    <w:next w:val="1"/>
    <w:unhideWhenUsed/>
    <w:qFormat/>
    <w:uiPriority w:val="39"/>
    <w:pPr>
      <w:ind w:left="1680" w:leftChars="800"/>
    </w:pPr>
    <w:rPr>
      <w:szCs w:val="22"/>
    </w:rPr>
  </w:style>
  <w:style w:type="paragraph" w:styleId="25">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26">
    <w:name w:val="Plain Text"/>
    <w:basedOn w:val="1"/>
    <w:link w:val="81"/>
    <w:qFormat/>
    <w:uiPriority w:val="0"/>
    <w:rPr>
      <w:rFonts w:ascii="宋体" w:hAnsi="Courier New" w:cstheme="minorBidi"/>
      <w:szCs w:val="22"/>
    </w:rPr>
  </w:style>
  <w:style w:type="paragraph" w:styleId="27">
    <w:name w:val="toc 8"/>
    <w:basedOn w:val="1"/>
    <w:next w:val="1"/>
    <w:unhideWhenUsed/>
    <w:qFormat/>
    <w:uiPriority w:val="39"/>
    <w:pPr>
      <w:ind w:left="2940" w:leftChars="1400"/>
    </w:pPr>
    <w:rPr>
      <w:szCs w:val="22"/>
    </w:rPr>
  </w:style>
  <w:style w:type="paragraph" w:styleId="28">
    <w:name w:val="Date"/>
    <w:basedOn w:val="1"/>
    <w:next w:val="1"/>
    <w:link w:val="88"/>
    <w:qFormat/>
    <w:uiPriority w:val="99"/>
    <w:pPr>
      <w:autoSpaceDE w:val="0"/>
      <w:autoSpaceDN w:val="0"/>
      <w:adjustRightInd w:val="0"/>
    </w:pPr>
    <w:rPr>
      <w:rFonts w:ascii="宋体" w:hAnsi="Times New Roman"/>
      <w:sz w:val="28"/>
    </w:rPr>
  </w:style>
  <w:style w:type="paragraph" w:styleId="29">
    <w:name w:val="Body Text Indent 2"/>
    <w:basedOn w:val="1"/>
    <w:link w:val="83"/>
    <w:unhideWhenUsed/>
    <w:qFormat/>
    <w:uiPriority w:val="0"/>
    <w:pPr>
      <w:spacing w:after="120" w:line="480" w:lineRule="auto"/>
      <w:ind w:left="420" w:leftChars="200"/>
    </w:pPr>
  </w:style>
  <w:style w:type="paragraph" w:styleId="30">
    <w:name w:val="endnote text"/>
    <w:basedOn w:val="1"/>
    <w:link w:val="125"/>
    <w:qFormat/>
    <w:uiPriority w:val="0"/>
    <w:pPr>
      <w:adjustRightInd w:val="0"/>
      <w:spacing w:line="360" w:lineRule="atLeast"/>
      <w:jc w:val="left"/>
      <w:textAlignment w:val="baseline"/>
    </w:pPr>
    <w:rPr>
      <w:rFonts w:ascii="Times New Roman" w:hAnsi="Times New Roman" w:eastAsiaTheme="minorEastAsia" w:cstheme="minorBidi"/>
      <w:kern w:val="0"/>
      <w:sz w:val="24"/>
      <w:szCs w:val="20"/>
    </w:rPr>
  </w:style>
  <w:style w:type="paragraph" w:styleId="31">
    <w:name w:val="Balloon Text"/>
    <w:basedOn w:val="1"/>
    <w:link w:val="90"/>
    <w:unhideWhenUsed/>
    <w:qFormat/>
    <w:uiPriority w:val="0"/>
    <w:rPr>
      <w:sz w:val="18"/>
      <w:szCs w:val="18"/>
    </w:rPr>
  </w:style>
  <w:style w:type="paragraph" w:styleId="32">
    <w:name w:val="footer"/>
    <w:basedOn w:val="1"/>
    <w:link w:val="67"/>
    <w:unhideWhenUsed/>
    <w:qFormat/>
    <w:uiPriority w:val="99"/>
    <w:pPr>
      <w:tabs>
        <w:tab w:val="center" w:pos="4153"/>
        <w:tab w:val="right" w:pos="8306"/>
      </w:tabs>
      <w:snapToGrid w:val="0"/>
      <w:jc w:val="left"/>
    </w:pPr>
    <w:rPr>
      <w:sz w:val="18"/>
      <w:szCs w:val="18"/>
    </w:rPr>
  </w:style>
  <w:style w:type="paragraph" w:styleId="33">
    <w:name w:val="header"/>
    <w:basedOn w:val="1"/>
    <w:link w:val="66"/>
    <w:unhideWhenUsed/>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39"/>
    <w:rPr>
      <w:rFonts w:ascii="Times New Roman" w:hAnsi="Times New Roman"/>
    </w:rPr>
  </w:style>
  <w:style w:type="paragraph" w:styleId="35">
    <w:name w:val="toc 4"/>
    <w:basedOn w:val="1"/>
    <w:next w:val="1"/>
    <w:unhideWhenUsed/>
    <w:qFormat/>
    <w:uiPriority w:val="39"/>
    <w:pPr>
      <w:ind w:left="1260" w:leftChars="600"/>
    </w:pPr>
    <w:rPr>
      <w:szCs w:val="22"/>
    </w:rPr>
  </w:style>
  <w:style w:type="paragraph" w:styleId="36">
    <w:name w:val="index heading"/>
    <w:basedOn w:val="1"/>
    <w:next w:val="37"/>
    <w:qFormat/>
    <w:uiPriority w:val="0"/>
    <w:rPr>
      <w:rFonts w:ascii="Times New Roman" w:hAnsi="Times New Roman"/>
      <w:szCs w:val="20"/>
    </w:rPr>
  </w:style>
  <w:style w:type="paragraph" w:styleId="37">
    <w:name w:val="index 1"/>
    <w:basedOn w:val="1"/>
    <w:next w:val="1"/>
    <w:qFormat/>
    <w:uiPriority w:val="0"/>
    <w:rPr>
      <w:rFonts w:ascii="Times New Roman" w:hAnsi="Times New Roman"/>
    </w:rPr>
  </w:style>
  <w:style w:type="paragraph" w:styleId="38">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39">
    <w:name w:val="footnote text"/>
    <w:basedOn w:val="1"/>
    <w:link w:val="124"/>
    <w:qFormat/>
    <w:uiPriority w:val="0"/>
    <w:pPr>
      <w:snapToGrid w:val="0"/>
      <w:jc w:val="left"/>
    </w:pPr>
    <w:rPr>
      <w:rFonts w:eastAsiaTheme="minorEastAsia"/>
      <w:sz w:val="18"/>
      <w:szCs w:val="18"/>
    </w:rPr>
  </w:style>
  <w:style w:type="paragraph" w:styleId="40">
    <w:name w:val="toc 6"/>
    <w:basedOn w:val="1"/>
    <w:next w:val="1"/>
    <w:unhideWhenUsed/>
    <w:qFormat/>
    <w:uiPriority w:val="39"/>
    <w:pPr>
      <w:ind w:left="2100" w:leftChars="1000"/>
    </w:pPr>
    <w:rPr>
      <w:szCs w:val="22"/>
    </w:rPr>
  </w:style>
  <w:style w:type="paragraph" w:styleId="41">
    <w:name w:val="Body Text Indent 3"/>
    <w:basedOn w:val="1"/>
    <w:link w:val="126"/>
    <w:qFormat/>
    <w:uiPriority w:val="0"/>
    <w:pPr>
      <w:spacing w:after="120"/>
      <w:ind w:left="420" w:leftChars="200"/>
    </w:pPr>
    <w:rPr>
      <w:sz w:val="16"/>
      <w:szCs w:val="16"/>
    </w:rPr>
  </w:style>
  <w:style w:type="paragraph" w:styleId="42">
    <w:name w:val="table of figures"/>
    <w:basedOn w:val="25"/>
    <w:next w:val="1"/>
    <w:qFormat/>
    <w:uiPriority w:val="0"/>
    <w:pPr>
      <w:widowControl w:val="0"/>
      <w:spacing w:after="0" w:line="360" w:lineRule="auto"/>
      <w:ind w:left="0" w:hanging="420"/>
    </w:pPr>
    <w:rPr>
      <w:rFonts w:ascii="Times New Roman" w:hAnsi="Times New Roman" w:eastAsia="宋体" w:cs="Times New Roman"/>
      <w:iCs/>
      <w:kern w:val="2"/>
      <w:sz w:val="24"/>
      <w:szCs w:val="24"/>
    </w:rPr>
  </w:style>
  <w:style w:type="paragraph" w:styleId="43">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44">
    <w:name w:val="toc 9"/>
    <w:basedOn w:val="1"/>
    <w:next w:val="1"/>
    <w:unhideWhenUsed/>
    <w:qFormat/>
    <w:uiPriority w:val="39"/>
    <w:pPr>
      <w:ind w:left="3360" w:leftChars="1600"/>
    </w:pPr>
    <w:rPr>
      <w:szCs w:val="22"/>
    </w:rPr>
  </w:style>
  <w:style w:type="paragraph" w:styleId="45">
    <w:name w:val="Body Text 2"/>
    <w:basedOn w:val="1"/>
    <w:link w:val="130"/>
    <w:qFormat/>
    <w:uiPriority w:val="0"/>
    <w:pPr>
      <w:spacing w:line="360" w:lineRule="auto"/>
      <w:jc w:val="left"/>
    </w:pPr>
    <w:rPr>
      <w:rFonts w:ascii="Times New Roman" w:hAnsi="Times New Roman" w:eastAsiaTheme="minorEastAsia" w:cstheme="minorBidi"/>
      <w:b/>
      <w:bCs/>
      <w:szCs w:val="21"/>
    </w:rPr>
  </w:style>
  <w:style w:type="paragraph" w:styleId="46">
    <w:name w:val="HTML Preformatted"/>
    <w:basedOn w:val="1"/>
    <w:link w:val="13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kern w:val="0"/>
      <w:sz w:val="24"/>
    </w:rPr>
  </w:style>
  <w:style w:type="paragraph" w:styleId="47">
    <w:name w:val="Normal (Web)"/>
    <w:basedOn w:val="1"/>
    <w:link w:val="154"/>
    <w:qFormat/>
    <w:uiPriority w:val="0"/>
    <w:pPr>
      <w:widowControl/>
      <w:spacing w:before="100" w:beforeAutospacing="1" w:after="100" w:afterAutospacing="1"/>
      <w:jc w:val="left"/>
    </w:pPr>
    <w:rPr>
      <w:rFonts w:ascii="宋体" w:hAnsi="宋体"/>
      <w:kern w:val="0"/>
      <w:sz w:val="15"/>
      <w:szCs w:val="15"/>
    </w:rPr>
  </w:style>
  <w:style w:type="paragraph" w:styleId="48">
    <w:name w:val="Title"/>
    <w:basedOn w:val="1"/>
    <w:link w:val="180"/>
    <w:qFormat/>
    <w:uiPriority w:val="0"/>
    <w:pPr>
      <w:tabs>
        <w:tab w:val="left" w:pos="420"/>
      </w:tabs>
      <w:adjustRightInd w:val="0"/>
      <w:spacing w:before="120" w:line="360" w:lineRule="auto"/>
      <w:ind w:left="420" w:hanging="420"/>
      <w:textAlignment w:val="baseline"/>
    </w:pPr>
    <w:rPr>
      <w:rFonts w:eastAsia="隶书_GB2312" w:asciiTheme="minorHAnsi" w:hAnsiTheme="minorHAnsi" w:cstheme="minorBidi"/>
      <w:b/>
      <w:kern w:val="0"/>
      <w:sz w:val="48"/>
      <w:szCs w:val="20"/>
    </w:rPr>
  </w:style>
  <w:style w:type="paragraph" w:styleId="49">
    <w:name w:val="annotation subject"/>
    <w:basedOn w:val="18"/>
    <w:next w:val="18"/>
    <w:link w:val="93"/>
    <w:unhideWhenUsed/>
    <w:qFormat/>
    <w:uiPriority w:val="99"/>
    <w:rPr>
      <w:b/>
      <w:bCs/>
    </w:rPr>
  </w:style>
  <w:style w:type="paragraph" w:styleId="50">
    <w:name w:val="Body Text First Indent 2"/>
    <w:basedOn w:val="23"/>
    <w:link w:val="218"/>
    <w:qFormat/>
    <w:uiPriority w:val="0"/>
    <w:pPr>
      <w:snapToGrid w:val="0"/>
      <w:spacing w:line="360" w:lineRule="auto"/>
      <w:ind w:left="0" w:leftChars="0" w:firstLine="420" w:firstLineChars="200"/>
    </w:pPr>
    <w:rPr>
      <w:rFonts w:ascii="Tahoma" w:hAnsi="Tahoma" w:eastAsia="宋体"/>
      <w:sz w:val="28"/>
    </w:rPr>
  </w:style>
  <w:style w:type="table" w:styleId="52">
    <w:name w:val="Table Grid"/>
    <w:basedOn w:val="5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basedOn w:val="53"/>
    <w:unhideWhenUsed/>
    <w:qFormat/>
    <w:uiPriority w:val="0"/>
    <w:rPr>
      <w:color w:val="800080" w:themeColor="followedHyperlink"/>
      <w:u w:val="single"/>
      <w14:textFill>
        <w14:solidFill>
          <w14:schemeClr w14:val="folHlink"/>
        </w14:solidFill>
      </w14:textFill>
    </w:rPr>
  </w:style>
  <w:style w:type="character" w:styleId="57">
    <w:name w:val="Emphasis"/>
    <w:basedOn w:val="53"/>
    <w:qFormat/>
    <w:uiPriority w:val="0"/>
    <w:rPr>
      <w:i/>
      <w:iCs/>
    </w:rPr>
  </w:style>
  <w:style w:type="character" w:styleId="58">
    <w:name w:val="HTML Typewriter"/>
    <w:qFormat/>
    <w:uiPriority w:val="0"/>
    <w:rPr>
      <w:rFonts w:ascii="宋体" w:hAnsi="宋体" w:eastAsia="宋体" w:cs="宋体"/>
      <w:sz w:val="24"/>
      <w:szCs w:val="24"/>
    </w:rPr>
  </w:style>
  <w:style w:type="character" w:styleId="59">
    <w:name w:val="Hyperlink"/>
    <w:basedOn w:val="53"/>
    <w:unhideWhenUsed/>
    <w:qFormat/>
    <w:uiPriority w:val="99"/>
    <w:rPr>
      <w:color w:val="0000FF" w:themeColor="hyperlink"/>
      <w:u w:val="single"/>
      <w14:textFill>
        <w14:solidFill>
          <w14:schemeClr w14:val="hlink"/>
        </w14:solidFill>
      </w14:textFill>
    </w:rPr>
  </w:style>
  <w:style w:type="character" w:styleId="60">
    <w:name w:val="annotation reference"/>
    <w:qFormat/>
    <w:uiPriority w:val="0"/>
    <w:rPr>
      <w:rFonts w:ascii="Verdana" w:hAnsi="Verdana" w:eastAsia="仿宋_GB2312"/>
      <w:kern w:val="0"/>
      <w:sz w:val="21"/>
      <w:szCs w:val="21"/>
      <w:lang w:eastAsia="en-US"/>
    </w:rPr>
  </w:style>
  <w:style w:type="character" w:styleId="61">
    <w:name w:val="footnote reference"/>
    <w:qFormat/>
    <w:uiPriority w:val="0"/>
    <w:rPr>
      <w:vertAlign w:val="superscript"/>
    </w:rPr>
  </w:style>
  <w:style w:type="paragraph" w:customStyle="1" w:styleId="62">
    <w:name w:val="表格文字"/>
    <w:basedOn w:val="1"/>
    <w:qFormat/>
    <w:uiPriority w:val="0"/>
    <w:pPr>
      <w:spacing w:before="25" w:after="25" w:line="300" w:lineRule="auto"/>
    </w:pPr>
    <w:rPr>
      <w:rFonts w:ascii="Times" w:hAnsi="Times"/>
      <w:spacing w:val="10"/>
      <w:kern w:val="0"/>
      <w:sz w:val="24"/>
      <w:szCs w:val="20"/>
    </w:rPr>
  </w:style>
  <w:style w:type="character" w:customStyle="1" w:styleId="63">
    <w:name w:val="标题 1 字符"/>
    <w:basedOn w:val="53"/>
    <w:link w:val="3"/>
    <w:qFormat/>
    <w:uiPriority w:val="0"/>
    <w:rPr>
      <w:rFonts w:ascii="Calibri" w:hAnsi="Calibri" w:eastAsia="宋体" w:cs="Times New Roman"/>
      <w:b/>
      <w:bCs/>
      <w:kern w:val="44"/>
      <w:sz w:val="44"/>
      <w:szCs w:val="44"/>
    </w:rPr>
  </w:style>
  <w:style w:type="character" w:customStyle="1" w:styleId="64">
    <w:name w:val="标题 2 字符"/>
    <w:basedOn w:val="53"/>
    <w:link w:val="4"/>
    <w:qFormat/>
    <w:uiPriority w:val="0"/>
    <w:rPr>
      <w:rFonts w:ascii="Arial" w:hAnsi="Arial" w:eastAsia="黑体" w:cs="Times New Roman"/>
      <w:b/>
      <w:kern w:val="0"/>
      <w:sz w:val="32"/>
      <w:szCs w:val="20"/>
    </w:rPr>
  </w:style>
  <w:style w:type="character" w:customStyle="1" w:styleId="65">
    <w:name w:val="标题 3 字符"/>
    <w:basedOn w:val="53"/>
    <w:link w:val="5"/>
    <w:qFormat/>
    <w:uiPriority w:val="0"/>
    <w:rPr>
      <w:rFonts w:ascii="Calibri" w:hAnsi="Calibri" w:eastAsia="宋体" w:cs="Times New Roman"/>
      <w:b/>
      <w:bCs/>
      <w:sz w:val="32"/>
      <w:szCs w:val="32"/>
    </w:rPr>
  </w:style>
  <w:style w:type="character" w:customStyle="1" w:styleId="66">
    <w:name w:val="页眉 字符"/>
    <w:basedOn w:val="53"/>
    <w:link w:val="33"/>
    <w:qFormat/>
    <w:uiPriority w:val="99"/>
    <w:rPr>
      <w:sz w:val="18"/>
      <w:szCs w:val="18"/>
    </w:rPr>
  </w:style>
  <w:style w:type="character" w:customStyle="1" w:styleId="67">
    <w:name w:val="页脚 字符"/>
    <w:basedOn w:val="53"/>
    <w:link w:val="32"/>
    <w:qFormat/>
    <w:uiPriority w:val="99"/>
    <w:rPr>
      <w:sz w:val="18"/>
      <w:szCs w:val="18"/>
    </w:rPr>
  </w:style>
  <w:style w:type="paragraph" w:customStyle="1" w:styleId="68">
    <w:name w:val="列出段落1"/>
    <w:basedOn w:val="1"/>
    <w:qFormat/>
    <w:uiPriority w:val="0"/>
    <w:pPr>
      <w:ind w:firstLine="420" w:firstLineChars="200"/>
    </w:pPr>
  </w:style>
  <w:style w:type="paragraph" w:customStyle="1" w:styleId="69">
    <w:name w:val="正文缩进2格"/>
    <w:basedOn w:val="1"/>
    <w:link w:val="70"/>
    <w:qFormat/>
    <w:uiPriority w:val="0"/>
    <w:pPr>
      <w:spacing w:line="600" w:lineRule="exact"/>
      <w:ind w:firstLine="639" w:firstLineChars="206"/>
    </w:pPr>
    <w:rPr>
      <w:rFonts w:ascii="仿宋_GB2312" w:hAnsi="宋体" w:eastAsia="仿宋_GB2312"/>
      <w:sz w:val="31"/>
      <w:szCs w:val="28"/>
    </w:rPr>
  </w:style>
  <w:style w:type="character" w:customStyle="1" w:styleId="70">
    <w:name w:val="正文缩进2格 Char"/>
    <w:link w:val="69"/>
    <w:qFormat/>
    <w:uiPriority w:val="0"/>
    <w:rPr>
      <w:rFonts w:ascii="仿宋_GB2312" w:hAnsi="宋体" w:eastAsia="仿宋_GB2312" w:cs="Times New Roman"/>
      <w:sz w:val="31"/>
      <w:szCs w:val="28"/>
    </w:rPr>
  </w:style>
  <w:style w:type="paragraph" w:customStyle="1" w:styleId="71">
    <w:name w:val="标题 3.1"/>
    <w:basedOn w:val="5"/>
    <w:link w:val="72"/>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72">
    <w:name w:val="标题 3.1 Char"/>
    <w:link w:val="71"/>
    <w:qFormat/>
    <w:uiPriority w:val="0"/>
    <w:rPr>
      <w:rFonts w:ascii="黑体" w:hAnsi="华文仿宋" w:eastAsia="黑体" w:cs="Times New Roman"/>
      <w:b/>
      <w:sz w:val="24"/>
      <w:szCs w:val="24"/>
    </w:rPr>
  </w:style>
  <w:style w:type="paragraph" w:customStyle="1" w:styleId="73">
    <w:name w:val="正文缩进4格"/>
    <w:basedOn w:val="69"/>
    <w:qFormat/>
    <w:uiPriority w:val="0"/>
    <w:pPr>
      <w:ind w:left="2" w:firstLine="403" w:firstLineChars="192"/>
    </w:pPr>
    <w:rPr>
      <w:sz w:val="21"/>
      <w:szCs w:val="21"/>
    </w:rPr>
  </w:style>
  <w:style w:type="character" w:customStyle="1" w:styleId="74">
    <w:name w:val="正文缩进 Char"/>
    <w:qFormat/>
    <w:uiPriority w:val="0"/>
    <w:rPr>
      <w:rFonts w:eastAsia="宋体"/>
      <w:lang w:val="en-US" w:eastAsia="zh-CN" w:bidi="ar-SA"/>
    </w:rPr>
  </w:style>
  <w:style w:type="paragraph" w:customStyle="1" w:styleId="75">
    <w:name w:val="保留正文"/>
    <w:basedOn w:val="20"/>
    <w:qFormat/>
    <w:uiPriority w:val="0"/>
    <w:pPr>
      <w:keepNext/>
      <w:spacing w:after="160"/>
    </w:pPr>
    <w:rPr>
      <w:rFonts w:ascii="Times New Roman" w:hAnsi="Times New Roman"/>
    </w:rPr>
  </w:style>
  <w:style w:type="character" w:customStyle="1" w:styleId="76">
    <w:name w:val="正文文本 字符"/>
    <w:basedOn w:val="53"/>
    <w:link w:val="20"/>
    <w:qFormat/>
    <w:uiPriority w:val="0"/>
    <w:rPr>
      <w:rFonts w:ascii="Calibri" w:hAnsi="Calibri" w:eastAsia="宋体" w:cs="Times New Roman"/>
      <w:szCs w:val="24"/>
    </w:rPr>
  </w:style>
  <w:style w:type="paragraph" w:customStyle="1" w:styleId="77">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78">
    <w:name w:val="Char Char Char Char"/>
    <w:basedOn w:val="1"/>
    <w:qFormat/>
    <w:uiPriority w:val="0"/>
    <w:rPr>
      <w:rFonts w:ascii="Tahoma" w:hAnsi="Tahoma"/>
      <w:sz w:val="24"/>
      <w:szCs w:val="20"/>
    </w:rPr>
  </w:style>
  <w:style w:type="character" w:customStyle="1" w:styleId="79">
    <w:name w:val="标题1"/>
    <w:basedOn w:val="53"/>
    <w:qFormat/>
    <w:uiPriority w:val="0"/>
  </w:style>
  <w:style w:type="character" w:customStyle="1" w:styleId="80">
    <w:name w:val="正文文本首行缩进 字符"/>
    <w:basedOn w:val="76"/>
    <w:link w:val="21"/>
    <w:qFormat/>
    <w:uiPriority w:val="0"/>
    <w:rPr>
      <w:rFonts w:ascii="宋体" w:hAnsi="Times New Roman" w:eastAsia="宋体" w:cs="Times New Roman"/>
      <w:szCs w:val="24"/>
    </w:rPr>
  </w:style>
  <w:style w:type="character" w:customStyle="1" w:styleId="81">
    <w:name w:val="纯文本 字符"/>
    <w:link w:val="26"/>
    <w:qFormat/>
    <w:uiPriority w:val="99"/>
    <w:rPr>
      <w:rFonts w:ascii="宋体" w:hAnsi="Courier New" w:eastAsia="宋体"/>
    </w:rPr>
  </w:style>
  <w:style w:type="character" w:customStyle="1" w:styleId="82">
    <w:name w:val="纯文本 Char1"/>
    <w:basedOn w:val="53"/>
    <w:semiHidden/>
    <w:qFormat/>
    <w:uiPriority w:val="99"/>
    <w:rPr>
      <w:rFonts w:ascii="宋体" w:hAnsi="Courier New" w:eastAsia="宋体" w:cs="Courier New"/>
      <w:szCs w:val="21"/>
    </w:rPr>
  </w:style>
  <w:style w:type="character" w:customStyle="1" w:styleId="83">
    <w:name w:val="正文文本缩进 2 字符"/>
    <w:basedOn w:val="53"/>
    <w:link w:val="29"/>
    <w:qFormat/>
    <w:uiPriority w:val="0"/>
    <w:rPr>
      <w:rFonts w:ascii="Calibri" w:hAnsi="Calibri" w:eastAsia="宋体" w:cs="Times New Roman"/>
      <w:szCs w:val="24"/>
    </w:rPr>
  </w:style>
  <w:style w:type="character" w:customStyle="1" w:styleId="84">
    <w:name w:val="标题 2 Char1"/>
    <w:qFormat/>
    <w:locked/>
    <w:uiPriority w:val="0"/>
    <w:rPr>
      <w:rFonts w:ascii="Arial" w:hAnsi="Arial" w:eastAsia="黑体"/>
      <w:b/>
      <w:sz w:val="32"/>
      <w:lang w:val="en-US" w:eastAsia="zh-CN" w:bidi="ar-SA"/>
    </w:rPr>
  </w:style>
  <w:style w:type="paragraph" w:customStyle="1" w:styleId="85">
    <w:name w:val="正文无缩进"/>
    <w:basedOn w:val="69"/>
    <w:link w:val="86"/>
    <w:qFormat/>
    <w:uiPriority w:val="0"/>
    <w:pPr>
      <w:ind w:firstLine="0" w:firstLineChars="0"/>
    </w:pPr>
  </w:style>
  <w:style w:type="character" w:customStyle="1" w:styleId="86">
    <w:name w:val="正文无缩进 Char"/>
    <w:link w:val="85"/>
    <w:qFormat/>
    <w:locked/>
    <w:uiPriority w:val="0"/>
    <w:rPr>
      <w:rFonts w:ascii="仿宋_GB2312" w:hAnsi="宋体" w:eastAsia="仿宋_GB2312" w:cs="Times New Roman"/>
      <w:sz w:val="31"/>
      <w:szCs w:val="28"/>
    </w:rPr>
  </w:style>
  <w:style w:type="paragraph" w:customStyle="1" w:styleId="87">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88">
    <w:name w:val="日期 字符"/>
    <w:basedOn w:val="53"/>
    <w:link w:val="28"/>
    <w:qFormat/>
    <w:uiPriority w:val="99"/>
    <w:rPr>
      <w:rFonts w:ascii="宋体" w:hAnsi="Times New Roman" w:eastAsia="宋体" w:cs="Times New Roman"/>
      <w:sz w:val="28"/>
      <w:szCs w:val="24"/>
    </w:rPr>
  </w:style>
  <w:style w:type="paragraph" w:customStyle="1" w:styleId="89">
    <w:name w:val="TOC 标题1"/>
    <w:basedOn w:val="3"/>
    <w:next w:val="1"/>
    <w:unhideWhenUsed/>
    <w:qFormat/>
    <w:uiPriority w:val="0"/>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90">
    <w:name w:val="批注框文本 字符"/>
    <w:basedOn w:val="53"/>
    <w:link w:val="31"/>
    <w:qFormat/>
    <w:uiPriority w:val="0"/>
    <w:rPr>
      <w:rFonts w:ascii="Calibri" w:hAnsi="Calibri" w:eastAsia="宋体" w:cs="Times New Roman"/>
      <w:sz w:val="18"/>
      <w:szCs w:val="18"/>
    </w:rPr>
  </w:style>
  <w:style w:type="character" w:customStyle="1" w:styleId="91">
    <w:name w:val="文档结构图 字符"/>
    <w:basedOn w:val="53"/>
    <w:link w:val="16"/>
    <w:qFormat/>
    <w:uiPriority w:val="0"/>
    <w:rPr>
      <w:rFonts w:ascii="宋体" w:hAnsi="Calibri" w:eastAsia="宋体" w:cs="Times New Roman"/>
      <w:sz w:val="18"/>
      <w:szCs w:val="18"/>
    </w:rPr>
  </w:style>
  <w:style w:type="character" w:customStyle="1" w:styleId="92">
    <w:name w:val="批注文字 字符"/>
    <w:basedOn w:val="53"/>
    <w:link w:val="18"/>
    <w:qFormat/>
    <w:uiPriority w:val="0"/>
    <w:rPr>
      <w:rFonts w:ascii="Calibri" w:hAnsi="Calibri" w:eastAsia="宋体" w:cs="Times New Roman"/>
      <w:szCs w:val="24"/>
    </w:rPr>
  </w:style>
  <w:style w:type="character" w:customStyle="1" w:styleId="93">
    <w:name w:val="批注主题 字符"/>
    <w:basedOn w:val="92"/>
    <w:link w:val="49"/>
    <w:qFormat/>
    <w:uiPriority w:val="99"/>
    <w:rPr>
      <w:rFonts w:ascii="Calibri" w:hAnsi="Calibri" w:eastAsia="宋体" w:cs="Times New Roman"/>
      <w:b/>
      <w:bCs/>
      <w:szCs w:val="24"/>
    </w:rPr>
  </w:style>
  <w:style w:type="character" w:customStyle="1" w:styleId="94">
    <w:name w:val="标题 4 字符"/>
    <w:basedOn w:val="53"/>
    <w:link w:val="2"/>
    <w:qFormat/>
    <w:uiPriority w:val="0"/>
    <w:rPr>
      <w:rFonts w:ascii="Calibri" w:hAnsi="Calibri" w:eastAsia="宋体" w:cs="Times New Roman"/>
      <w:b/>
      <w:bCs/>
      <w:kern w:val="2"/>
      <w:sz w:val="24"/>
      <w:szCs w:val="24"/>
    </w:rPr>
  </w:style>
  <w:style w:type="character" w:customStyle="1" w:styleId="95">
    <w:name w:val="Font Style21"/>
    <w:qFormat/>
    <w:uiPriority w:val="0"/>
    <w:rPr>
      <w:rFonts w:ascii="Arial Narrow" w:hAnsi="Arial Narrow" w:cs="Arial Narrow"/>
      <w:sz w:val="16"/>
      <w:szCs w:val="16"/>
    </w:rPr>
  </w:style>
  <w:style w:type="character" w:customStyle="1" w:styleId="96">
    <w:name w:val="bumpedfont15"/>
    <w:qFormat/>
    <w:uiPriority w:val="0"/>
    <w:rPr>
      <w:rFonts w:cs="Times New Roman"/>
    </w:rPr>
  </w:style>
  <w:style w:type="character" w:customStyle="1" w:styleId="97">
    <w:name w:val="正文文本缩进 字符"/>
    <w:link w:val="23"/>
    <w:qFormat/>
    <w:uiPriority w:val="0"/>
    <w:rPr>
      <w:rFonts w:ascii="Times New Roman" w:hAnsi="Times New Roman"/>
      <w:szCs w:val="24"/>
    </w:rPr>
  </w:style>
  <w:style w:type="character" w:customStyle="1" w:styleId="98">
    <w:name w:val="列出段落 Char"/>
    <w:link w:val="99"/>
    <w:qFormat/>
    <w:uiPriority w:val="0"/>
    <w:rPr>
      <w:rFonts w:ascii="Times New Roman" w:hAnsi="Times New Roman"/>
      <w:szCs w:val="24"/>
    </w:rPr>
  </w:style>
  <w:style w:type="paragraph" w:customStyle="1" w:styleId="99">
    <w:name w:val="列出段落2"/>
    <w:basedOn w:val="1"/>
    <w:link w:val="98"/>
    <w:qFormat/>
    <w:uiPriority w:val="99"/>
    <w:pPr>
      <w:ind w:firstLine="420" w:firstLineChars="200"/>
    </w:pPr>
    <w:rPr>
      <w:rFonts w:ascii="Times New Roman" w:hAnsi="Times New Roman" w:eastAsiaTheme="minorEastAsia" w:cstheme="minorBidi"/>
      <w:kern w:val="0"/>
      <w:sz w:val="20"/>
    </w:rPr>
  </w:style>
  <w:style w:type="character" w:customStyle="1" w:styleId="100">
    <w:name w:val="正文文本缩进 Char1"/>
    <w:basedOn w:val="53"/>
    <w:semiHidden/>
    <w:qFormat/>
    <w:uiPriority w:val="99"/>
    <w:rPr>
      <w:rFonts w:ascii="Calibri" w:hAnsi="Calibri" w:eastAsia="宋体" w:cs="Times New Roman"/>
      <w:kern w:val="2"/>
      <w:sz w:val="21"/>
      <w:szCs w:val="24"/>
    </w:rPr>
  </w:style>
  <w:style w:type="paragraph" w:customStyle="1" w:styleId="101">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105">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6">
    <w:name w:val="列出段落11"/>
    <w:basedOn w:val="1"/>
    <w:qFormat/>
    <w:uiPriority w:val="99"/>
    <w:pPr>
      <w:ind w:firstLine="420" w:firstLineChars="200"/>
    </w:pPr>
  </w:style>
  <w:style w:type="paragraph" w:customStyle="1" w:styleId="107">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108">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Char Char3"/>
    <w:basedOn w:val="1"/>
    <w:qFormat/>
    <w:uiPriority w:val="0"/>
    <w:pPr>
      <w:widowControl/>
      <w:spacing w:after="160" w:line="240" w:lineRule="exact"/>
      <w:jc w:val="center"/>
    </w:pPr>
    <w:rPr>
      <w:rFonts w:ascii="Times New Roman" w:hAnsi="Times New Roman"/>
    </w:rPr>
  </w:style>
  <w:style w:type="paragraph" w:customStyle="1" w:styleId="110">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1">
    <w:name w:val="修订1"/>
    <w:unhideWhenUsed/>
    <w:qFormat/>
    <w:uiPriority w:val="99"/>
    <w:rPr>
      <w:rFonts w:ascii="Calibri" w:hAnsi="Calibri" w:eastAsia="宋体" w:cs="Times New Roman"/>
      <w:kern w:val="2"/>
      <w:sz w:val="21"/>
      <w:szCs w:val="24"/>
      <w:lang w:val="en-US" w:eastAsia="zh-CN" w:bidi="ar-SA"/>
    </w:rPr>
  </w:style>
  <w:style w:type="paragraph" w:customStyle="1" w:styleId="112">
    <w:name w:val="Char Char Char"/>
    <w:basedOn w:val="1"/>
    <w:qFormat/>
    <w:uiPriority w:val="0"/>
    <w:pPr>
      <w:widowControl/>
      <w:spacing w:after="160" w:line="360" w:lineRule="auto"/>
      <w:jc w:val="left"/>
    </w:pPr>
    <w:rPr>
      <w:rFonts w:ascii="Verdana" w:hAnsi="Verdana"/>
      <w:kern w:val="0"/>
      <w:szCs w:val="20"/>
      <w:lang w:eastAsia="en-US"/>
    </w:rPr>
  </w:style>
  <w:style w:type="paragraph" w:styleId="113">
    <w:name w:val="List Paragraph"/>
    <w:basedOn w:val="1"/>
    <w:link w:val="172"/>
    <w:unhideWhenUsed/>
    <w:qFormat/>
    <w:uiPriority w:val="34"/>
    <w:pPr>
      <w:ind w:firstLine="420" w:firstLineChars="200"/>
    </w:pPr>
  </w:style>
  <w:style w:type="paragraph" w:customStyle="1" w:styleId="114">
    <w:name w:val="修订2"/>
    <w:hidden/>
    <w:semiHidden/>
    <w:qFormat/>
    <w:uiPriority w:val="99"/>
    <w:rPr>
      <w:rFonts w:ascii="Calibri" w:hAnsi="Calibri" w:eastAsia="宋体" w:cs="Times New Roman"/>
      <w:kern w:val="2"/>
      <w:sz w:val="21"/>
      <w:szCs w:val="24"/>
      <w:lang w:val="en-US" w:eastAsia="zh-CN" w:bidi="ar-SA"/>
    </w:rPr>
  </w:style>
  <w:style w:type="paragraph" w:customStyle="1" w:styleId="115">
    <w:name w:val="p0"/>
    <w:basedOn w:val="1"/>
    <w:qFormat/>
    <w:uiPriority w:val="0"/>
    <w:pPr>
      <w:widowControl/>
    </w:pPr>
    <w:rPr>
      <w:rFonts w:ascii="Times New Roman" w:hAnsi="Times New Roman"/>
      <w:kern w:val="0"/>
      <w:szCs w:val="21"/>
    </w:rPr>
  </w:style>
  <w:style w:type="paragraph" w:customStyle="1" w:styleId="116">
    <w:name w:val="p"/>
    <w:basedOn w:val="1"/>
    <w:qFormat/>
    <w:uiPriority w:val="0"/>
    <w:pPr>
      <w:widowControl/>
      <w:spacing w:line="525" w:lineRule="atLeast"/>
      <w:ind w:firstLine="375"/>
      <w:jc w:val="left"/>
    </w:pPr>
    <w:rPr>
      <w:rFonts w:ascii="Times New Roman" w:hAnsi="Times New Roman" w:eastAsiaTheme="minorEastAsia"/>
      <w:kern w:val="0"/>
      <w:sz w:val="24"/>
    </w:rPr>
  </w:style>
  <w:style w:type="character" w:customStyle="1" w:styleId="117">
    <w:name w:val="未处理的提及1"/>
    <w:basedOn w:val="53"/>
    <w:semiHidden/>
    <w:unhideWhenUsed/>
    <w:qFormat/>
    <w:uiPriority w:val="99"/>
    <w:rPr>
      <w:color w:val="605E5C"/>
      <w:shd w:val="clear" w:color="auto" w:fill="E1DFDD"/>
    </w:rPr>
  </w:style>
  <w:style w:type="character" w:customStyle="1" w:styleId="118">
    <w:name w:val="未处理的提及2"/>
    <w:basedOn w:val="53"/>
    <w:semiHidden/>
    <w:unhideWhenUsed/>
    <w:qFormat/>
    <w:uiPriority w:val="99"/>
    <w:rPr>
      <w:color w:val="605E5C"/>
      <w:shd w:val="clear" w:color="auto" w:fill="E1DFDD"/>
    </w:rPr>
  </w:style>
  <w:style w:type="character" w:customStyle="1" w:styleId="119">
    <w:name w:val="标题 5 字符"/>
    <w:basedOn w:val="53"/>
    <w:link w:val="7"/>
    <w:qFormat/>
    <w:uiPriority w:val="0"/>
    <w:rPr>
      <w:rFonts w:ascii="Times New Roman" w:hAnsi="Times New Roman" w:eastAsia="宋体" w:cs="Times New Roman"/>
      <w:b/>
      <w:bCs/>
      <w:kern w:val="2"/>
      <w:sz w:val="28"/>
      <w:szCs w:val="28"/>
    </w:rPr>
  </w:style>
  <w:style w:type="character" w:customStyle="1" w:styleId="120">
    <w:name w:val="正文文本 3 字符"/>
    <w:link w:val="19"/>
    <w:qFormat/>
    <w:uiPriority w:val="0"/>
    <w:rPr>
      <w:rFonts w:ascii="Times New Roman" w:hAnsi="Times New Roman"/>
      <w:kern w:val="2"/>
      <w:sz w:val="16"/>
      <w:szCs w:val="16"/>
    </w:rPr>
  </w:style>
  <w:style w:type="character" w:customStyle="1" w:styleId="121">
    <w:name w:val="1 Char Char"/>
    <w:link w:val="122"/>
    <w:qFormat/>
    <w:uiPriority w:val="99"/>
    <w:rPr>
      <w:rFonts w:ascii="宋体" w:hAnsi="宋体"/>
      <w:szCs w:val="21"/>
    </w:rPr>
  </w:style>
  <w:style w:type="paragraph" w:customStyle="1" w:styleId="122">
    <w:name w:val="1"/>
    <w:basedOn w:val="1"/>
    <w:link w:val="121"/>
    <w:qFormat/>
    <w:uiPriority w:val="0"/>
    <w:pPr>
      <w:spacing w:line="360" w:lineRule="auto"/>
      <w:ind w:firstLine="420" w:firstLineChars="200"/>
    </w:pPr>
    <w:rPr>
      <w:rFonts w:ascii="宋体" w:hAnsi="宋体" w:eastAsiaTheme="minorEastAsia" w:cstheme="minorBidi"/>
      <w:kern w:val="0"/>
      <w:sz w:val="20"/>
      <w:szCs w:val="21"/>
    </w:rPr>
  </w:style>
  <w:style w:type="character" w:customStyle="1" w:styleId="123">
    <w:name w:val="Plain Text Char"/>
    <w:qFormat/>
    <w:locked/>
    <w:uiPriority w:val="0"/>
    <w:rPr>
      <w:rFonts w:ascii="宋体" w:hAnsi="Courier New" w:eastAsia="方正书宋简体" w:cs="Times New Roman"/>
      <w:sz w:val="20"/>
      <w:szCs w:val="20"/>
    </w:rPr>
  </w:style>
  <w:style w:type="character" w:customStyle="1" w:styleId="124">
    <w:name w:val="脚注文本 字符"/>
    <w:link w:val="39"/>
    <w:qFormat/>
    <w:uiPriority w:val="0"/>
    <w:rPr>
      <w:rFonts w:ascii="Calibri" w:hAnsi="Calibri" w:cs="Times New Roman"/>
      <w:kern w:val="2"/>
      <w:sz w:val="18"/>
      <w:szCs w:val="18"/>
    </w:rPr>
  </w:style>
  <w:style w:type="character" w:customStyle="1" w:styleId="125">
    <w:name w:val="尾注文本 字符"/>
    <w:link w:val="30"/>
    <w:qFormat/>
    <w:uiPriority w:val="0"/>
    <w:rPr>
      <w:rFonts w:ascii="Times New Roman" w:hAnsi="Times New Roman"/>
      <w:sz w:val="24"/>
    </w:rPr>
  </w:style>
  <w:style w:type="character" w:customStyle="1" w:styleId="126">
    <w:name w:val="正文文本缩进 3 字符"/>
    <w:link w:val="41"/>
    <w:qFormat/>
    <w:uiPriority w:val="0"/>
    <w:rPr>
      <w:rFonts w:ascii="Calibri" w:hAnsi="Calibri" w:eastAsia="宋体" w:cs="Times New Roman"/>
      <w:kern w:val="2"/>
      <w:sz w:val="16"/>
      <w:szCs w:val="16"/>
    </w:rPr>
  </w:style>
  <w:style w:type="character" w:customStyle="1" w:styleId="127">
    <w:name w:val="2 Char Char"/>
    <w:link w:val="128"/>
    <w:qFormat/>
    <w:uiPriority w:val="0"/>
    <w:rPr>
      <w:rFonts w:ascii="宋体" w:hAnsi="宋体" w:cs="宋体"/>
      <w:b/>
      <w:color w:val="000000"/>
      <w:sz w:val="24"/>
      <w:szCs w:val="24"/>
    </w:rPr>
  </w:style>
  <w:style w:type="paragraph" w:customStyle="1" w:styleId="128">
    <w:name w:val="2"/>
    <w:basedOn w:val="1"/>
    <w:link w:val="127"/>
    <w:qFormat/>
    <w:uiPriority w:val="0"/>
    <w:pPr>
      <w:autoSpaceDE w:val="0"/>
      <w:autoSpaceDN w:val="0"/>
      <w:adjustRightInd w:val="0"/>
      <w:jc w:val="left"/>
    </w:pPr>
    <w:rPr>
      <w:rFonts w:ascii="宋体" w:hAnsi="宋体" w:cs="宋体" w:eastAsiaTheme="minorEastAsia"/>
      <w:b/>
      <w:color w:val="000000"/>
      <w:kern w:val="0"/>
      <w:sz w:val="24"/>
    </w:rPr>
  </w:style>
  <w:style w:type="character" w:customStyle="1" w:styleId="129">
    <w:name w:val="标题2"/>
    <w:basedOn w:val="53"/>
    <w:qFormat/>
    <w:uiPriority w:val="0"/>
  </w:style>
  <w:style w:type="character" w:customStyle="1" w:styleId="130">
    <w:name w:val="正文文本 2 字符"/>
    <w:link w:val="45"/>
    <w:qFormat/>
    <w:uiPriority w:val="0"/>
    <w:rPr>
      <w:rFonts w:ascii="Times New Roman" w:hAnsi="Times New Roman"/>
      <w:b/>
      <w:bCs/>
      <w:kern w:val="2"/>
      <w:sz w:val="21"/>
      <w:szCs w:val="21"/>
    </w:rPr>
  </w:style>
  <w:style w:type="character" w:customStyle="1" w:styleId="131">
    <w:name w:val="HTML 预设格式 字符"/>
    <w:link w:val="46"/>
    <w:qFormat/>
    <w:uiPriority w:val="0"/>
    <w:rPr>
      <w:rFonts w:ascii="宋体" w:hAnsi="宋体" w:cs="宋体"/>
      <w:sz w:val="24"/>
      <w:szCs w:val="24"/>
    </w:rPr>
  </w:style>
  <w:style w:type="character" w:customStyle="1" w:styleId="132">
    <w:name w:val="正文文本缩进 3 Char"/>
    <w:qFormat/>
    <w:uiPriority w:val="0"/>
    <w:rPr>
      <w:kern w:val="2"/>
      <w:sz w:val="16"/>
      <w:szCs w:val="16"/>
    </w:rPr>
  </w:style>
  <w:style w:type="character" w:customStyle="1" w:styleId="133">
    <w:name w:val="脚注文本 Char"/>
    <w:qFormat/>
    <w:uiPriority w:val="0"/>
    <w:rPr>
      <w:kern w:val="2"/>
      <w:sz w:val="18"/>
      <w:szCs w:val="18"/>
    </w:rPr>
  </w:style>
  <w:style w:type="character" w:customStyle="1" w:styleId="134">
    <w:name w:val="脚注文本 Char2"/>
    <w:basedOn w:val="53"/>
    <w:semiHidden/>
    <w:qFormat/>
    <w:uiPriority w:val="99"/>
    <w:rPr>
      <w:rFonts w:ascii="Calibri" w:hAnsi="Calibri" w:eastAsia="宋体" w:cs="Times New Roman"/>
      <w:kern w:val="2"/>
      <w:sz w:val="18"/>
      <w:szCs w:val="18"/>
    </w:rPr>
  </w:style>
  <w:style w:type="character" w:customStyle="1" w:styleId="135">
    <w:name w:val="正文文本 3 Char1"/>
    <w:basedOn w:val="53"/>
    <w:semiHidden/>
    <w:qFormat/>
    <w:uiPriority w:val="99"/>
    <w:rPr>
      <w:rFonts w:ascii="Calibri" w:hAnsi="Calibri" w:eastAsia="宋体" w:cs="Times New Roman"/>
      <w:kern w:val="2"/>
      <w:sz w:val="16"/>
      <w:szCs w:val="16"/>
    </w:rPr>
  </w:style>
  <w:style w:type="character" w:customStyle="1" w:styleId="136">
    <w:name w:val="HTML 预设格式 Char1"/>
    <w:basedOn w:val="53"/>
    <w:semiHidden/>
    <w:qFormat/>
    <w:uiPriority w:val="99"/>
    <w:rPr>
      <w:rFonts w:ascii="Courier New" w:hAnsi="Courier New" w:eastAsia="宋体" w:cs="Courier New"/>
      <w:kern w:val="2"/>
    </w:rPr>
  </w:style>
  <w:style w:type="character" w:customStyle="1" w:styleId="137">
    <w:name w:val="正文文本 2 Char1"/>
    <w:basedOn w:val="53"/>
    <w:semiHidden/>
    <w:qFormat/>
    <w:uiPriority w:val="99"/>
    <w:rPr>
      <w:rFonts w:ascii="Calibri" w:hAnsi="Calibri" w:eastAsia="宋体" w:cs="Times New Roman"/>
      <w:kern w:val="2"/>
      <w:sz w:val="21"/>
      <w:szCs w:val="24"/>
    </w:rPr>
  </w:style>
  <w:style w:type="character" w:customStyle="1" w:styleId="138">
    <w:name w:val="尾注文本 Char1"/>
    <w:basedOn w:val="53"/>
    <w:semiHidden/>
    <w:qFormat/>
    <w:uiPriority w:val="99"/>
    <w:rPr>
      <w:rFonts w:ascii="Calibri" w:hAnsi="Calibri" w:eastAsia="宋体" w:cs="Times New Roman"/>
      <w:kern w:val="2"/>
      <w:sz w:val="21"/>
      <w:szCs w:val="24"/>
    </w:rPr>
  </w:style>
  <w:style w:type="character" w:customStyle="1" w:styleId="139">
    <w:name w:val="正文文本缩进 3 Char2"/>
    <w:basedOn w:val="53"/>
    <w:semiHidden/>
    <w:qFormat/>
    <w:uiPriority w:val="99"/>
    <w:rPr>
      <w:rFonts w:ascii="Calibri" w:hAnsi="Calibri" w:eastAsia="宋体" w:cs="Times New Roman"/>
      <w:kern w:val="2"/>
      <w:sz w:val="16"/>
      <w:szCs w:val="16"/>
    </w:rPr>
  </w:style>
  <w:style w:type="paragraph" w:customStyle="1" w:styleId="140">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41">
    <w:name w:val="样式2"/>
    <w:basedOn w:val="2"/>
    <w:qFormat/>
    <w:uiPriority w:val="0"/>
    <w:pPr>
      <w:keepNext/>
      <w:keepLines/>
      <w:spacing w:before="280" w:after="290" w:line="374" w:lineRule="auto"/>
    </w:pPr>
    <w:rPr>
      <w:rFonts w:ascii="Arial" w:hAnsi="Arial" w:eastAsia="黑体"/>
      <w:kern w:val="0"/>
      <w:sz w:val="28"/>
      <w:szCs w:val="28"/>
    </w:rPr>
  </w:style>
  <w:style w:type="paragraph" w:customStyle="1" w:styleId="142">
    <w:name w:val="段落题目MA"/>
    <w:basedOn w:val="143"/>
    <w:qFormat/>
    <w:uiPriority w:val="0"/>
    <w:pPr>
      <w:tabs>
        <w:tab w:val="left" w:pos="7200"/>
        <w:tab w:val="left" w:pos="8640"/>
      </w:tabs>
      <w:ind w:firstLine="0" w:firstLineChars="0"/>
    </w:pPr>
    <w:rPr>
      <w:b/>
      <w:sz w:val="24"/>
      <w:szCs w:val="24"/>
    </w:rPr>
  </w:style>
  <w:style w:type="paragraph" w:customStyle="1" w:styleId="143">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44">
    <w:name w:val="默认段落字体 Para Char"/>
    <w:basedOn w:val="1"/>
    <w:qFormat/>
    <w:uiPriority w:val="0"/>
    <w:rPr>
      <w:rFonts w:ascii="Times New Roman" w:hAnsi="Times New Roman"/>
      <w:sz w:val="30"/>
    </w:rPr>
  </w:style>
  <w:style w:type="paragraph" w:customStyle="1" w:styleId="145">
    <w:name w:val="样式3"/>
    <w:basedOn w:val="7"/>
    <w:qFormat/>
    <w:uiPriority w:val="0"/>
    <w:rPr>
      <w:kern w:val="0"/>
    </w:rPr>
  </w:style>
  <w:style w:type="paragraph" w:customStyle="1" w:styleId="146">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47">
    <w:name w:val="xiao b"/>
    <w:basedOn w:val="1"/>
    <w:qFormat/>
    <w:uiPriority w:val="0"/>
    <w:pPr>
      <w:spacing w:line="360" w:lineRule="auto"/>
      <w:jc w:val="center"/>
    </w:pPr>
    <w:rPr>
      <w:rFonts w:ascii="Times New Roman" w:hAnsi="Times New Roman" w:eastAsia="黑体"/>
      <w:sz w:val="24"/>
      <w:szCs w:val="20"/>
    </w:rPr>
  </w:style>
  <w:style w:type="paragraph" w:customStyle="1" w:styleId="148">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49">
    <w:name w:val="段落计量"/>
    <w:basedOn w:val="143"/>
    <w:qFormat/>
    <w:uiPriority w:val="0"/>
    <w:pPr>
      <w:ind w:firstLine="200"/>
    </w:pPr>
    <w:rPr>
      <w:b/>
      <w:sz w:val="24"/>
      <w:szCs w:val="24"/>
    </w:rPr>
  </w:style>
  <w:style w:type="paragraph" w:customStyle="1" w:styleId="150">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table" w:customStyle="1" w:styleId="151">
    <w:name w:val="网格型1"/>
    <w:basedOn w:val="5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2">
    <w:name w:val="修订3"/>
    <w:hidden/>
    <w:semiHidden/>
    <w:qFormat/>
    <w:uiPriority w:val="99"/>
    <w:rPr>
      <w:rFonts w:ascii="Calibri" w:hAnsi="Calibri" w:eastAsia="宋体" w:cs="Times New Roman"/>
      <w:kern w:val="2"/>
      <w:sz w:val="21"/>
      <w:szCs w:val="24"/>
      <w:lang w:val="en-US" w:eastAsia="zh-CN" w:bidi="ar-SA"/>
    </w:rPr>
  </w:style>
  <w:style w:type="character" w:customStyle="1" w:styleId="153">
    <w:name w:val="未处理的提及3"/>
    <w:basedOn w:val="53"/>
    <w:semiHidden/>
    <w:unhideWhenUsed/>
    <w:qFormat/>
    <w:uiPriority w:val="99"/>
    <w:rPr>
      <w:color w:val="605E5C"/>
      <w:shd w:val="clear" w:color="auto" w:fill="E1DFDD"/>
    </w:rPr>
  </w:style>
  <w:style w:type="character" w:customStyle="1" w:styleId="154">
    <w:name w:val="普通(网站) 字符"/>
    <w:link w:val="47"/>
    <w:qFormat/>
    <w:locked/>
    <w:uiPriority w:val="0"/>
    <w:rPr>
      <w:rFonts w:ascii="宋体" w:hAnsi="宋体" w:eastAsia="宋体" w:cs="Times New Roman"/>
      <w:sz w:val="15"/>
      <w:szCs w:val="15"/>
    </w:rPr>
  </w:style>
  <w:style w:type="character" w:customStyle="1" w:styleId="155">
    <w:name w:val="标题 6 字符"/>
    <w:basedOn w:val="53"/>
    <w:link w:val="8"/>
    <w:qFormat/>
    <w:uiPriority w:val="0"/>
    <w:rPr>
      <w:rFonts w:ascii="Arial" w:hAnsi="Arial" w:eastAsia="黑体" w:cs="Times New Roman"/>
      <w:b/>
      <w:bCs/>
      <w:sz w:val="24"/>
      <w:szCs w:val="24"/>
    </w:rPr>
  </w:style>
  <w:style w:type="character" w:customStyle="1" w:styleId="156">
    <w:name w:val="标题 7 字符"/>
    <w:basedOn w:val="53"/>
    <w:link w:val="9"/>
    <w:qFormat/>
    <w:uiPriority w:val="0"/>
    <w:rPr>
      <w:rFonts w:ascii="Times New Roman" w:hAnsi="Times New Roman" w:eastAsia="宋体" w:cs="Times New Roman"/>
      <w:b/>
      <w:bCs/>
      <w:sz w:val="24"/>
      <w:szCs w:val="24"/>
    </w:rPr>
  </w:style>
  <w:style w:type="character" w:customStyle="1" w:styleId="157">
    <w:name w:val="标题 8 字符"/>
    <w:basedOn w:val="53"/>
    <w:link w:val="10"/>
    <w:qFormat/>
    <w:uiPriority w:val="0"/>
    <w:rPr>
      <w:rFonts w:ascii="Arial" w:hAnsi="Arial" w:eastAsia="黑体" w:cs="Times New Roman"/>
      <w:sz w:val="24"/>
      <w:szCs w:val="24"/>
    </w:rPr>
  </w:style>
  <w:style w:type="character" w:customStyle="1" w:styleId="158">
    <w:name w:val="标题 9 字符"/>
    <w:basedOn w:val="53"/>
    <w:link w:val="11"/>
    <w:qFormat/>
    <w:uiPriority w:val="0"/>
    <w:rPr>
      <w:rFonts w:ascii="Arial" w:hAnsi="Arial" w:eastAsia="黑体" w:cs="Times New Roman"/>
      <w:sz w:val="21"/>
      <w:szCs w:val="21"/>
    </w:rPr>
  </w:style>
  <w:style w:type="character" w:customStyle="1" w:styleId="159">
    <w:name w:val="正文文本 Char"/>
    <w:qFormat/>
    <w:uiPriority w:val="0"/>
    <w:rPr>
      <w:rFonts w:eastAsia="宋体"/>
      <w:sz w:val="21"/>
      <w:lang w:val="en-US" w:eastAsia="zh-CN" w:bidi="ar-SA"/>
    </w:rPr>
  </w:style>
  <w:style w:type="character" w:customStyle="1" w:styleId="160">
    <w:name w:val="Figure Description Char Char"/>
    <w:link w:val="161"/>
    <w:qFormat/>
    <w:uiPriority w:val="0"/>
    <w:rPr>
      <w:rFonts w:ascii="Calibri" w:hAnsi="Calibri" w:eastAsia="宋体"/>
      <w:sz w:val="18"/>
      <w:szCs w:val="24"/>
      <w:lang w:eastAsia="en-US" w:bidi="en-US"/>
    </w:rPr>
  </w:style>
  <w:style w:type="paragraph" w:customStyle="1" w:styleId="161">
    <w:name w:val="Figure Description"/>
    <w:basedOn w:val="162"/>
    <w:next w:val="1"/>
    <w:link w:val="160"/>
    <w:qFormat/>
    <w:uiPriority w:val="0"/>
    <w:pPr>
      <w:tabs>
        <w:tab w:val="left" w:pos="0"/>
      </w:tabs>
      <w:ind w:left="1554" w:hanging="420"/>
    </w:pPr>
    <w:rPr>
      <w:sz w:val="18"/>
    </w:rPr>
  </w:style>
  <w:style w:type="paragraph" w:customStyle="1" w:styleId="162">
    <w:name w:val="Figure"/>
    <w:basedOn w:val="1"/>
    <w:next w:val="161"/>
    <w:link w:val="170"/>
    <w:qFormat/>
    <w:uiPriority w:val="0"/>
    <w:pPr>
      <w:keepNext/>
      <w:keepLines/>
      <w:widowControl/>
      <w:jc w:val="center"/>
    </w:pPr>
    <w:rPr>
      <w:rFonts w:cstheme="minorBidi"/>
      <w:kern w:val="0"/>
      <w:sz w:val="24"/>
      <w:lang w:eastAsia="en-US" w:bidi="en-US"/>
    </w:rPr>
  </w:style>
  <w:style w:type="character" w:customStyle="1" w:styleId="163">
    <w:name w:val="普通文字1 Char"/>
    <w:link w:val="164"/>
    <w:qFormat/>
    <w:uiPriority w:val="0"/>
    <w:rPr>
      <w:rFonts w:ascii="宋体" w:hAnsi="Courier New" w:eastAsia="宋体"/>
    </w:rPr>
  </w:style>
  <w:style w:type="paragraph" w:customStyle="1" w:styleId="164">
    <w:name w:val="纯文本2"/>
    <w:basedOn w:val="1"/>
    <w:link w:val="163"/>
    <w:qFormat/>
    <w:uiPriority w:val="0"/>
    <w:rPr>
      <w:rFonts w:ascii="宋体" w:hAnsi="Courier New" w:cstheme="minorBidi"/>
      <w:kern w:val="0"/>
      <w:sz w:val="20"/>
      <w:szCs w:val="20"/>
    </w:rPr>
  </w:style>
  <w:style w:type="character" w:customStyle="1" w:styleId="165">
    <w:name w:val="注意框体 Char Char"/>
    <w:qFormat/>
    <w:uiPriority w:val="0"/>
    <w:rPr>
      <w:rFonts w:ascii="Arial" w:hAnsi="Arial" w:eastAsia="黑体" w:cs="Times New Roman"/>
      <w:kern w:val="0"/>
      <w:sz w:val="24"/>
      <w:szCs w:val="20"/>
    </w:rPr>
  </w:style>
  <w:style w:type="character" w:customStyle="1" w:styleId="166">
    <w:name w:val="my正文 Char Char"/>
    <w:link w:val="167"/>
    <w:qFormat/>
    <w:uiPriority w:val="0"/>
    <w:rPr>
      <w:rFonts w:ascii="宋体" w:hAnsi="宋体" w:eastAsia="宋体" w:cs="宋体"/>
      <w:sz w:val="24"/>
      <w:szCs w:val="24"/>
    </w:rPr>
  </w:style>
  <w:style w:type="paragraph" w:customStyle="1" w:styleId="167">
    <w:name w:val="my正文"/>
    <w:basedOn w:val="23"/>
    <w:link w:val="166"/>
    <w:qFormat/>
    <w:uiPriority w:val="0"/>
    <w:pPr>
      <w:spacing w:beforeLines="50" w:after="0" w:line="360" w:lineRule="auto"/>
      <w:ind w:left="0" w:leftChars="0" w:firstLine="540" w:firstLineChars="225"/>
    </w:pPr>
    <w:rPr>
      <w:rFonts w:ascii="宋体" w:hAnsi="宋体" w:eastAsia="宋体" w:cs="宋体"/>
      <w:sz w:val="24"/>
    </w:rPr>
  </w:style>
  <w:style w:type="character" w:customStyle="1" w:styleId="168">
    <w:name w:val="Ò³Ã¼ Char Char"/>
    <w:qFormat/>
    <w:uiPriority w:val="0"/>
    <w:rPr>
      <w:rFonts w:eastAsia="宋体"/>
      <w:sz w:val="18"/>
      <w:szCs w:val="18"/>
      <w:lang w:val="en-US" w:eastAsia="zh-CN" w:bidi="ar-SA"/>
    </w:rPr>
  </w:style>
  <w:style w:type="character" w:customStyle="1" w:styleId="169">
    <w:name w:val="正文文字缩进 Char"/>
    <w:qFormat/>
    <w:uiPriority w:val="0"/>
    <w:rPr>
      <w:rFonts w:ascii="Times New Roman" w:hAnsi="Times New Roman" w:eastAsia="宋体" w:cs="Times New Roman"/>
      <w:kern w:val="0"/>
      <w:sz w:val="20"/>
      <w:szCs w:val="24"/>
    </w:rPr>
  </w:style>
  <w:style w:type="character" w:customStyle="1" w:styleId="170">
    <w:name w:val="Figure Char Char"/>
    <w:link w:val="162"/>
    <w:qFormat/>
    <w:uiPriority w:val="0"/>
    <w:rPr>
      <w:rFonts w:ascii="Calibri" w:hAnsi="Calibri" w:eastAsia="宋体"/>
      <w:sz w:val="24"/>
      <w:szCs w:val="24"/>
      <w:lang w:eastAsia="en-US" w:bidi="en-US"/>
    </w:rPr>
  </w:style>
  <w:style w:type="character" w:customStyle="1" w:styleId="171">
    <w:name w:val="页码1"/>
    <w:basedOn w:val="53"/>
    <w:qFormat/>
    <w:uiPriority w:val="0"/>
  </w:style>
  <w:style w:type="character" w:customStyle="1" w:styleId="172">
    <w:name w:val="列表段落 字符"/>
    <w:link w:val="113"/>
    <w:qFormat/>
    <w:uiPriority w:val="0"/>
    <w:rPr>
      <w:rFonts w:ascii="Calibri" w:hAnsi="Calibri" w:eastAsia="宋体" w:cs="Times New Roman"/>
      <w:kern w:val="2"/>
      <w:sz w:val="21"/>
      <w:szCs w:val="24"/>
    </w:rPr>
  </w:style>
  <w:style w:type="character" w:customStyle="1" w:styleId="173">
    <w:name w:val="样式4 Char Char Char"/>
    <w:link w:val="174"/>
    <w:qFormat/>
    <w:uiPriority w:val="0"/>
    <w:rPr>
      <w:rFonts w:eastAsia="宋体" w:cs="宋体"/>
      <w:color w:val="000000"/>
      <w:sz w:val="24"/>
      <w:szCs w:val="24"/>
    </w:rPr>
  </w:style>
  <w:style w:type="paragraph" w:customStyle="1" w:styleId="174">
    <w:name w:val="样式4 Char"/>
    <w:basedOn w:val="1"/>
    <w:link w:val="173"/>
    <w:qFormat/>
    <w:uiPriority w:val="0"/>
    <w:pPr>
      <w:widowControl/>
      <w:spacing w:beforeLines="50" w:afterLines="50" w:line="360" w:lineRule="auto"/>
      <w:ind w:firstLine="480" w:firstLineChars="200"/>
      <w:jc w:val="left"/>
    </w:pPr>
    <w:rPr>
      <w:rFonts w:cs="宋体" w:asciiTheme="minorHAnsi" w:hAnsiTheme="minorHAnsi"/>
      <w:color w:val="000000"/>
      <w:kern w:val="0"/>
      <w:sz w:val="24"/>
    </w:rPr>
  </w:style>
  <w:style w:type="character" w:customStyle="1" w:styleId="175">
    <w:name w:val="正文缩进 字符"/>
    <w:link w:val="6"/>
    <w:qFormat/>
    <w:uiPriority w:val="0"/>
    <w:rPr>
      <w:rFonts w:ascii="Times New Roman" w:hAnsi="Times New Roman" w:eastAsia="宋体" w:cs="Times New Roman"/>
      <w:kern w:val="2"/>
      <w:sz w:val="21"/>
      <w:szCs w:val="24"/>
    </w:rPr>
  </w:style>
  <w:style w:type="character" w:customStyle="1" w:styleId="176">
    <w:name w:val="明显强调1"/>
    <w:qFormat/>
    <w:uiPriority w:val="0"/>
    <w:rPr>
      <w:b/>
      <w:bCs/>
      <w:i/>
      <w:iCs/>
      <w:color w:val="4F81BD"/>
    </w:rPr>
  </w:style>
  <w:style w:type="character" w:customStyle="1" w:styleId="177">
    <w:name w:val="正文缩进2格 Char Char"/>
    <w:qFormat/>
    <w:uiPriority w:val="0"/>
    <w:rPr>
      <w:rFonts w:ascii="仿宋_GB2312" w:hAnsi="宋体" w:eastAsia="仿宋_GB2312"/>
      <w:kern w:val="2"/>
      <w:sz w:val="31"/>
      <w:lang w:val="en-US" w:eastAsia="zh-CN" w:bidi="ar-SA"/>
    </w:rPr>
  </w:style>
  <w:style w:type="character" w:customStyle="1" w:styleId="178">
    <w:name w:val="样式23 Char Char"/>
    <w:link w:val="179"/>
    <w:qFormat/>
    <w:uiPriority w:val="0"/>
    <w:rPr>
      <w:rFonts w:ascii="Arial" w:hAnsi="Arial" w:eastAsia="黑体"/>
      <w:b/>
      <w:sz w:val="24"/>
      <w:szCs w:val="30"/>
    </w:rPr>
  </w:style>
  <w:style w:type="paragraph" w:customStyle="1" w:styleId="179">
    <w:name w:val="样式23"/>
    <w:basedOn w:val="1"/>
    <w:link w:val="178"/>
    <w:qFormat/>
    <w:uiPriority w:val="0"/>
    <w:pPr>
      <w:keepNext/>
      <w:keepLines/>
      <w:tabs>
        <w:tab w:val="left" w:pos="1232"/>
      </w:tabs>
      <w:spacing w:before="280" w:after="156" w:line="377" w:lineRule="auto"/>
      <w:jc w:val="left"/>
      <w:outlineLvl w:val="3"/>
    </w:pPr>
    <w:rPr>
      <w:rFonts w:ascii="Arial" w:hAnsi="Arial" w:eastAsia="黑体" w:cstheme="minorBidi"/>
      <w:b/>
      <w:kern w:val="0"/>
      <w:sz w:val="24"/>
      <w:szCs w:val="30"/>
    </w:rPr>
  </w:style>
  <w:style w:type="character" w:customStyle="1" w:styleId="180">
    <w:name w:val="标题 字符"/>
    <w:link w:val="48"/>
    <w:qFormat/>
    <w:uiPriority w:val="0"/>
    <w:rPr>
      <w:rFonts w:eastAsia="隶书_GB2312"/>
      <w:b/>
      <w:sz w:val="48"/>
    </w:rPr>
  </w:style>
  <w:style w:type="character" w:customStyle="1" w:styleId="181">
    <w:name w:val="标题 Char1"/>
    <w:qFormat/>
    <w:uiPriority w:val="10"/>
    <w:rPr>
      <w:rFonts w:ascii="Cambria" w:hAnsi="Cambria" w:eastAsia="宋体" w:cs="黑体"/>
      <w:b/>
      <w:bCs/>
      <w:sz w:val="32"/>
      <w:szCs w:val="32"/>
    </w:rPr>
  </w:style>
  <w:style w:type="character" w:customStyle="1" w:styleId="182">
    <w:name w:val="16"/>
    <w:basedOn w:val="53"/>
    <w:qFormat/>
    <w:uiPriority w:val="0"/>
  </w:style>
  <w:style w:type="character" w:customStyle="1" w:styleId="183">
    <w:name w:val="标题 5（无编号）（绿盟科技） Char Char"/>
    <w:link w:val="184"/>
    <w:qFormat/>
    <w:uiPriority w:val="0"/>
    <w:rPr>
      <w:rFonts w:ascii="Arial" w:hAnsi="Arial" w:eastAsia="黑体"/>
      <w:b/>
      <w:sz w:val="24"/>
      <w:szCs w:val="28"/>
    </w:rPr>
  </w:style>
  <w:style w:type="paragraph" w:customStyle="1" w:styleId="184">
    <w:name w:val="标题 5（无编号）（绿盟科技）"/>
    <w:basedOn w:val="7"/>
    <w:link w:val="183"/>
    <w:qFormat/>
    <w:uiPriority w:val="0"/>
    <w:pPr>
      <w:tabs>
        <w:tab w:val="left" w:pos="1232"/>
      </w:tabs>
      <w:spacing w:after="156" w:line="377" w:lineRule="auto"/>
      <w:jc w:val="left"/>
    </w:pPr>
    <w:rPr>
      <w:rFonts w:ascii="Arial" w:hAnsi="Arial" w:eastAsia="黑体" w:cstheme="minorBidi"/>
      <w:bCs w:val="0"/>
      <w:kern w:val="0"/>
      <w:sz w:val="24"/>
    </w:rPr>
  </w:style>
  <w:style w:type="character" w:customStyle="1" w:styleId="185">
    <w:name w:val="常规 Char Char"/>
    <w:link w:val="186"/>
    <w:qFormat/>
    <w:uiPriority w:val="0"/>
    <w:rPr>
      <w:rFonts w:eastAsia="宋体"/>
      <w:szCs w:val="21"/>
    </w:rPr>
  </w:style>
  <w:style w:type="paragraph" w:customStyle="1" w:styleId="186">
    <w:name w:val="常规"/>
    <w:basedOn w:val="1"/>
    <w:link w:val="185"/>
    <w:qFormat/>
    <w:uiPriority w:val="0"/>
    <w:pPr>
      <w:spacing w:beforeLines="100" w:afterLines="100"/>
      <w:ind w:left="1134"/>
    </w:pPr>
    <w:rPr>
      <w:rFonts w:asciiTheme="minorHAnsi" w:hAnsiTheme="minorHAnsi" w:cstheme="minorBidi"/>
      <w:kern w:val="0"/>
      <w:sz w:val="20"/>
      <w:szCs w:val="21"/>
    </w:rPr>
  </w:style>
  <w:style w:type="character" w:customStyle="1" w:styleId="187">
    <w:name w:val="H6 Char Char"/>
    <w:qFormat/>
    <w:uiPriority w:val="0"/>
    <w:rPr>
      <w:rFonts w:ascii="Arial" w:hAnsi="Arial" w:eastAsia="黑体" w:cs="Times New Roman"/>
      <w:b/>
      <w:kern w:val="0"/>
      <w:sz w:val="24"/>
      <w:szCs w:val="20"/>
    </w:rPr>
  </w:style>
  <w:style w:type="character" w:customStyle="1" w:styleId="188">
    <w:name w:val="￥正文 Char Char"/>
    <w:link w:val="189"/>
    <w:qFormat/>
    <w:uiPriority w:val="0"/>
    <w:rPr>
      <w:rFonts w:ascii="Calibri" w:hAnsi="Calibri" w:eastAsia="宋体"/>
      <w:sz w:val="24"/>
    </w:rPr>
  </w:style>
  <w:style w:type="paragraph" w:customStyle="1" w:styleId="189">
    <w:name w:val="￥正文"/>
    <w:basedOn w:val="1"/>
    <w:link w:val="188"/>
    <w:qFormat/>
    <w:uiPriority w:val="0"/>
    <w:pPr>
      <w:spacing w:line="360" w:lineRule="auto"/>
      <w:ind w:firstLine="200" w:firstLineChars="200"/>
    </w:pPr>
    <w:rPr>
      <w:rFonts w:cstheme="minorBidi"/>
      <w:kern w:val="0"/>
      <w:sz w:val="24"/>
      <w:szCs w:val="20"/>
    </w:rPr>
  </w:style>
  <w:style w:type="character" w:customStyle="1" w:styleId="190">
    <w:name w:val="样式 正文缩进 + 首行缩进:  2 字符 Char Char"/>
    <w:link w:val="191"/>
    <w:qFormat/>
    <w:uiPriority w:val="0"/>
    <w:rPr>
      <w:rFonts w:eastAsia="宋体"/>
      <w:sz w:val="24"/>
    </w:rPr>
  </w:style>
  <w:style w:type="paragraph" w:customStyle="1" w:styleId="191">
    <w:name w:val="样式 正文缩进 + 首行缩进:  2 字符"/>
    <w:basedOn w:val="6"/>
    <w:link w:val="190"/>
    <w:qFormat/>
    <w:uiPriority w:val="0"/>
    <w:pPr>
      <w:spacing w:afterLines="50" w:line="360" w:lineRule="auto"/>
      <w:ind w:firstLine="200"/>
      <w:jc w:val="left"/>
    </w:pPr>
    <w:rPr>
      <w:rFonts w:asciiTheme="minorHAnsi" w:hAnsiTheme="minorHAnsi" w:cstheme="minorBidi"/>
      <w:kern w:val="0"/>
      <w:sz w:val="24"/>
      <w:szCs w:val="20"/>
    </w:rPr>
  </w:style>
  <w:style w:type="character" w:customStyle="1" w:styleId="192">
    <w:name w:val="样式20 Char Char"/>
    <w:link w:val="193"/>
    <w:qFormat/>
    <w:uiPriority w:val="0"/>
    <w:rPr>
      <w:rFonts w:ascii="Arial" w:hAnsi="Arial" w:eastAsia="宋体"/>
      <w:b/>
      <w:bCs/>
      <w:sz w:val="30"/>
      <w:szCs w:val="30"/>
    </w:rPr>
  </w:style>
  <w:style w:type="paragraph" w:customStyle="1" w:styleId="193">
    <w:name w:val="样式20"/>
    <w:basedOn w:val="4"/>
    <w:link w:val="192"/>
    <w:qFormat/>
    <w:uiPriority w:val="0"/>
    <w:pPr>
      <w:tabs>
        <w:tab w:val="clear" w:pos="1440"/>
      </w:tabs>
      <w:adjustRightInd/>
      <w:spacing w:line="416" w:lineRule="auto"/>
      <w:ind w:left="567" w:hanging="567"/>
      <w:textAlignment w:val="auto"/>
    </w:pPr>
    <w:rPr>
      <w:rFonts w:eastAsia="宋体" w:cstheme="minorBidi"/>
      <w:bCs/>
      <w:sz w:val="30"/>
      <w:szCs w:val="30"/>
    </w:rPr>
  </w:style>
  <w:style w:type="character" w:customStyle="1" w:styleId="194">
    <w:name w:val="Item List Char Char"/>
    <w:link w:val="195"/>
    <w:qFormat/>
    <w:uiPriority w:val="0"/>
    <w:rPr>
      <w:szCs w:val="24"/>
    </w:rPr>
  </w:style>
  <w:style w:type="paragraph" w:customStyle="1" w:styleId="195">
    <w:name w:val="Item List"/>
    <w:basedOn w:val="1"/>
    <w:link w:val="194"/>
    <w:qFormat/>
    <w:uiPriority w:val="0"/>
    <w:pPr>
      <w:tabs>
        <w:tab w:val="left" w:pos="420"/>
        <w:tab w:val="left" w:pos="720"/>
      </w:tabs>
      <w:snapToGrid w:val="0"/>
      <w:spacing w:afterLines="50"/>
      <w:ind w:left="720" w:hanging="360"/>
      <w:jc w:val="left"/>
    </w:pPr>
    <w:rPr>
      <w:rFonts w:asciiTheme="minorHAnsi" w:hAnsiTheme="minorHAnsi" w:eastAsiaTheme="minorEastAsia" w:cstheme="minorBidi"/>
      <w:kern w:val="0"/>
      <w:sz w:val="20"/>
    </w:rPr>
  </w:style>
  <w:style w:type="character" w:customStyle="1" w:styleId="196">
    <w:name w:val="3级标题 Char Char"/>
    <w:link w:val="197"/>
    <w:qFormat/>
    <w:uiPriority w:val="0"/>
    <w:rPr>
      <w:rFonts w:ascii="Arial" w:hAnsi="Arial" w:eastAsia="黑体"/>
      <w:b/>
      <w:sz w:val="26"/>
      <w:szCs w:val="28"/>
    </w:rPr>
  </w:style>
  <w:style w:type="paragraph" w:customStyle="1" w:styleId="197">
    <w:name w:val="3级标题"/>
    <w:basedOn w:val="1"/>
    <w:link w:val="196"/>
    <w:qFormat/>
    <w:uiPriority w:val="0"/>
    <w:pPr>
      <w:keepNext/>
      <w:keepLines/>
      <w:tabs>
        <w:tab w:val="left" w:pos="1232"/>
      </w:tabs>
      <w:spacing w:before="280" w:after="156" w:line="377" w:lineRule="auto"/>
      <w:jc w:val="left"/>
      <w:outlineLvl w:val="2"/>
    </w:pPr>
    <w:rPr>
      <w:rFonts w:ascii="Arial" w:hAnsi="Arial" w:eastAsia="黑体" w:cstheme="minorBidi"/>
      <w:b/>
      <w:kern w:val="0"/>
      <w:sz w:val="26"/>
      <w:szCs w:val="28"/>
    </w:rPr>
  </w:style>
  <w:style w:type="character" w:customStyle="1" w:styleId="198">
    <w:name w:val="不明显强调1"/>
    <w:qFormat/>
    <w:uiPriority w:val="0"/>
    <w:rPr>
      <w:i/>
      <w:iCs/>
      <w:color w:val="808080"/>
    </w:rPr>
  </w:style>
  <w:style w:type="character" w:customStyle="1" w:styleId="199">
    <w:name w:val="不明显强调11"/>
    <w:qFormat/>
    <w:uiPriority w:val="0"/>
    <w:rPr>
      <w:i/>
      <w:iCs/>
      <w:color w:val="808080"/>
    </w:rPr>
  </w:style>
  <w:style w:type="character" w:customStyle="1" w:styleId="200">
    <w:name w:val="表格 Char Char"/>
    <w:link w:val="201"/>
    <w:qFormat/>
    <w:uiPriority w:val="0"/>
    <w:rPr>
      <w:rFonts w:ascii="宋体" w:hAnsi="宋体" w:eastAsia="宋体"/>
      <w:color w:val="000000"/>
      <w:sz w:val="24"/>
    </w:rPr>
  </w:style>
  <w:style w:type="paragraph" w:customStyle="1" w:styleId="201">
    <w:name w:val="表格"/>
    <w:basedOn w:val="1"/>
    <w:link w:val="200"/>
    <w:qFormat/>
    <w:uiPriority w:val="0"/>
    <w:pPr>
      <w:autoSpaceDE w:val="0"/>
      <w:autoSpaceDN w:val="0"/>
      <w:adjustRightInd w:val="0"/>
      <w:jc w:val="center"/>
    </w:pPr>
    <w:rPr>
      <w:rFonts w:ascii="宋体" w:hAnsi="宋体" w:cstheme="minorBidi"/>
      <w:color w:val="000000"/>
      <w:kern w:val="0"/>
      <w:sz w:val="24"/>
      <w:szCs w:val="20"/>
    </w:rPr>
  </w:style>
  <w:style w:type="character" w:customStyle="1" w:styleId="202">
    <w:name w:val="样式21 Char Char"/>
    <w:link w:val="203"/>
    <w:qFormat/>
    <w:uiPriority w:val="0"/>
    <w:rPr>
      <w:rFonts w:ascii="Arial" w:hAnsi="Arial" w:eastAsia="宋体"/>
      <w:b/>
      <w:sz w:val="28"/>
      <w:szCs w:val="28"/>
    </w:rPr>
  </w:style>
  <w:style w:type="paragraph" w:customStyle="1" w:styleId="203">
    <w:name w:val="样式21"/>
    <w:basedOn w:val="5"/>
    <w:link w:val="202"/>
    <w:qFormat/>
    <w:uiPriority w:val="0"/>
    <w:pPr>
      <w:ind w:left="709" w:hanging="709"/>
    </w:pPr>
    <w:rPr>
      <w:rFonts w:ascii="Arial" w:hAnsi="Arial" w:cstheme="minorBidi"/>
      <w:bCs w:val="0"/>
      <w:kern w:val="0"/>
      <w:sz w:val="28"/>
      <w:szCs w:val="28"/>
    </w:rPr>
  </w:style>
  <w:style w:type="character" w:customStyle="1" w:styleId="204">
    <w:name w:val="明显强调11"/>
    <w:qFormat/>
    <w:uiPriority w:val="0"/>
    <w:rPr>
      <w:b/>
      <w:bCs/>
      <w:i/>
      <w:iCs/>
      <w:color w:val="4F81BD"/>
    </w:rPr>
  </w:style>
  <w:style w:type="character" w:customStyle="1" w:styleId="205">
    <w:name w:val="正文（绿盟科技） Char Char"/>
    <w:link w:val="206"/>
    <w:qFormat/>
    <w:uiPriority w:val="0"/>
    <w:rPr>
      <w:rFonts w:eastAsia="Times New Roman"/>
      <w:szCs w:val="21"/>
    </w:rPr>
  </w:style>
  <w:style w:type="paragraph" w:customStyle="1" w:styleId="206">
    <w:name w:val="正文（绿盟科技）"/>
    <w:link w:val="205"/>
    <w:qFormat/>
    <w:uiPriority w:val="0"/>
    <w:pPr>
      <w:spacing w:line="300" w:lineRule="auto"/>
    </w:pPr>
    <w:rPr>
      <w:rFonts w:eastAsia="Times New Roman" w:asciiTheme="minorHAnsi" w:hAnsiTheme="minorHAnsi" w:cstheme="minorBidi"/>
      <w:szCs w:val="21"/>
      <w:lang w:val="en-US" w:eastAsia="zh-CN" w:bidi="ar-SA"/>
    </w:rPr>
  </w:style>
  <w:style w:type="character" w:customStyle="1" w:styleId="207">
    <w:name w:val="图形名称 Char Char"/>
    <w:link w:val="208"/>
    <w:qFormat/>
    <w:uiPriority w:val="0"/>
    <w:rPr>
      <w:rFonts w:ascii="宋体" w:hAnsi="宋体" w:eastAsia="宋体"/>
      <w:b/>
      <w:szCs w:val="21"/>
    </w:rPr>
  </w:style>
  <w:style w:type="paragraph" w:customStyle="1" w:styleId="208">
    <w:name w:val="图形名称"/>
    <w:basedOn w:val="209"/>
    <w:link w:val="207"/>
    <w:qFormat/>
    <w:uiPriority w:val="0"/>
    <w:pPr>
      <w:ind w:left="420" w:hanging="420"/>
    </w:pPr>
    <w:rPr>
      <w:sz w:val="20"/>
    </w:rPr>
  </w:style>
  <w:style w:type="paragraph" w:customStyle="1" w:styleId="209">
    <w:name w:val="表格名称"/>
    <w:basedOn w:val="113"/>
    <w:link w:val="216"/>
    <w:qFormat/>
    <w:uiPriority w:val="0"/>
    <w:pPr>
      <w:spacing w:line="360" w:lineRule="auto"/>
      <w:ind w:left="2940" w:firstLine="0" w:firstLineChars="0"/>
      <w:jc w:val="center"/>
    </w:pPr>
    <w:rPr>
      <w:rFonts w:ascii="宋体" w:hAnsi="宋体" w:cstheme="minorBidi"/>
      <w:b/>
      <w:kern w:val="0"/>
      <w:sz w:val="24"/>
      <w:szCs w:val="21"/>
    </w:rPr>
  </w:style>
  <w:style w:type="character" w:customStyle="1" w:styleId="210">
    <w:name w:val="arr1"/>
    <w:basedOn w:val="53"/>
    <w:qFormat/>
    <w:uiPriority w:val="0"/>
  </w:style>
  <w:style w:type="character" w:customStyle="1" w:styleId="211">
    <w:name w:val="标题 21"/>
    <w:qFormat/>
    <w:uiPriority w:val="0"/>
    <w:rPr>
      <w:rFonts w:ascii="宋体" w:hAnsi="宋体" w:eastAsia="宋体"/>
      <w:b/>
      <w:kern w:val="2"/>
      <w:sz w:val="36"/>
      <w:szCs w:val="24"/>
      <w:lang w:val="en-US" w:eastAsia="zh-CN" w:bidi="ar-SA"/>
    </w:rPr>
  </w:style>
  <w:style w:type="character" w:customStyle="1" w:styleId="212">
    <w:name w:val="Body Char Char"/>
    <w:link w:val="213"/>
    <w:qFormat/>
    <w:uiPriority w:val="0"/>
    <w:rPr>
      <w:rFonts w:ascii="Arial" w:hAnsi="Arial" w:eastAsia="宋体"/>
      <w:color w:val="000000"/>
      <w:szCs w:val="24"/>
    </w:rPr>
  </w:style>
  <w:style w:type="paragraph" w:customStyle="1" w:styleId="213">
    <w:name w:val="Body"/>
    <w:basedOn w:val="1"/>
    <w:link w:val="212"/>
    <w:qFormat/>
    <w:uiPriority w:val="0"/>
    <w:pPr>
      <w:widowControl/>
      <w:tabs>
        <w:tab w:val="left" w:pos="9255"/>
      </w:tabs>
      <w:spacing w:line="360" w:lineRule="auto"/>
      <w:ind w:firstLine="315" w:firstLineChars="150"/>
      <w:jc w:val="center"/>
    </w:pPr>
    <w:rPr>
      <w:rFonts w:ascii="Arial" w:hAnsi="Arial" w:cstheme="minorBidi"/>
      <w:color w:val="000000"/>
      <w:kern w:val="0"/>
      <w:sz w:val="20"/>
    </w:rPr>
  </w:style>
  <w:style w:type="character" w:customStyle="1" w:styleId="214">
    <w:name w:val="H5 Char Char"/>
    <w:qFormat/>
    <w:uiPriority w:val="0"/>
    <w:rPr>
      <w:rFonts w:ascii="Calibri" w:hAnsi="Calibri" w:eastAsia="宋体" w:cs="Times New Roman"/>
      <w:b/>
      <w:bCs/>
      <w:sz w:val="28"/>
      <w:szCs w:val="28"/>
    </w:rPr>
  </w:style>
  <w:style w:type="character" w:customStyle="1" w:styleId="215">
    <w:name w:val="表正文 Char2"/>
    <w:qFormat/>
    <w:uiPriority w:val="0"/>
    <w:rPr>
      <w:rFonts w:eastAsia="宋体"/>
      <w:kern w:val="2"/>
      <w:sz w:val="21"/>
      <w:szCs w:val="24"/>
      <w:lang w:val="en-US" w:eastAsia="zh-CN" w:bidi="ar-SA"/>
    </w:rPr>
  </w:style>
  <w:style w:type="character" w:customStyle="1" w:styleId="216">
    <w:name w:val="表格名称 Char Char"/>
    <w:link w:val="209"/>
    <w:qFormat/>
    <w:uiPriority w:val="0"/>
    <w:rPr>
      <w:rFonts w:ascii="宋体" w:hAnsi="宋体" w:eastAsia="宋体"/>
      <w:b/>
      <w:sz w:val="24"/>
      <w:szCs w:val="21"/>
    </w:rPr>
  </w:style>
  <w:style w:type="character" w:customStyle="1" w:styleId="217">
    <w:name w:val="Char Char1"/>
    <w:qFormat/>
    <w:uiPriority w:val="0"/>
    <w:rPr>
      <w:rFonts w:ascii="Arial" w:hAnsi="Arial" w:eastAsia="宋体"/>
      <w:b/>
      <w:bCs/>
      <w:kern w:val="2"/>
      <w:sz w:val="28"/>
      <w:szCs w:val="28"/>
      <w:lang w:val="en-US" w:eastAsia="zh-CN" w:bidi="ar-SA"/>
    </w:rPr>
  </w:style>
  <w:style w:type="character" w:customStyle="1" w:styleId="218">
    <w:name w:val="正文文本首行缩进 2 字符"/>
    <w:link w:val="50"/>
    <w:qFormat/>
    <w:uiPriority w:val="0"/>
    <w:rPr>
      <w:rFonts w:ascii="Tahoma" w:hAnsi="Tahoma" w:eastAsia="宋体"/>
      <w:sz w:val="28"/>
      <w:szCs w:val="24"/>
    </w:rPr>
  </w:style>
  <w:style w:type="character" w:customStyle="1" w:styleId="219">
    <w:name w:val="页码2"/>
    <w:basedOn w:val="53"/>
    <w:qFormat/>
    <w:uiPriority w:val="0"/>
  </w:style>
  <w:style w:type="character" w:customStyle="1" w:styleId="220">
    <w:name w:val="Font Style26"/>
    <w:qFormat/>
    <w:uiPriority w:val="0"/>
    <w:rPr>
      <w:rFonts w:ascii="Sylfaen" w:hAnsi="Sylfaen" w:cs="Sylfaen"/>
      <w:b/>
      <w:bCs/>
      <w:sz w:val="16"/>
      <w:szCs w:val="16"/>
    </w:rPr>
  </w:style>
  <w:style w:type="character" w:customStyle="1" w:styleId="221">
    <w:name w:val="标题 字符1"/>
    <w:basedOn w:val="53"/>
    <w:qFormat/>
    <w:uiPriority w:val="10"/>
    <w:rPr>
      <w:rFonts w:asciiTheme="majorHAnsi" w:hAnsiTheme="majorHAnsi" w:eastAsiaTheme="majorEastAsia" w:cstheme="majorBidi"/>
      <w:b/>
      <w:bCs/>
      <w:kern w:val="2"/>
      <w:sz w:val="32"/>
      <w:szCs w:val="32"/>
    </w:rPr>
  </w:style>
  <w:style w:type="character" w:customStyle="1" w:styleId="222">
    <w:name w:val="标题 Char2"/>
    <w:basedOn w:val="53"/>
    <w:qFormat/>
    <w:uiPriority w:val="10"/>
    <w:rPr>
      <w:rFonts w:eastAsia="宋体" w:asciiTheme="majorHAnsi" w:hAnsiTheme="majorHAnsi" w:cstheme="majorBidi"/>
      <w:b/>
      <w:bCs/>
      <w:sz w:val="32"/>
      <w:szCs w:val="32"/>
    </w:rPr>
  </w:style>
  <w:style w:type="character" w:customStyle="1" w:styleId="223">
    <w:name w:val="HTML 预设格式 字符1"/>
    <w:basedOn w:val="53"/>
    <w:semiHidden/>
    <w:qFormat/>
    <w:uiPriority w:val="99"/>
    <w:rPr>
      <w:rFonts w:ascii="Courier New" w:hAnsi="Courier New" w:cs="Courier New"/>
      <w:sz w:val="20"/>
      <w:szCs w:val="20"/>
    </w:rPr>
  </w:style>
  <w:style w:type="character" w:customStyle="1" w:styleId="224">
    <w:name w:val="正文文本 2 字符1"/>
    <w:basedOn w:val="53"/>
    <w:semiHidden/>
    <w:qFormat/>
    <w:uiPriority w:val="99"/>
  </w:style>
  <w:style w:type="paragraph" w:customStyle="1" w:styleId="225">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character" w:customStyle="1" w:styleId="226">
    <w:name w:val="文档结构图 字符1"/>
    <w:basedOn w:val="53"/>
    <w:semiHidden/>
    <w:qFormat/>
    <w:uiPriority w:val="99"/>
    <w:rPr>
      <w:rFonts w:ascii="Microsoft YaHei UI" w:eastAsia="Microsoft YaHei UI"/>
      <w:sz w:val="18"/>
      <w:szCs w:val="18"/>
    </w:rPr>
  </w:style>
  <w:style w:type="character" w:customStyle="1" w:styleId="227">
    <w:name w:val="文档结构图 Char1"/>
    <w:basedOn w:val="53"/>
    <w:semiHidden/>
    <w:qFormat/>
    <w:uiPriority w:val="99"/>
    <w:rPr>
      <w:rFonts w:ascii="宋体" w:eastAsia="宋体"/>
      <w:sz w:val="18"/>
      <w:szCs w:val="18"/>
    </w:rPr>
  </w:style>
  <w:style w:type="character" w:customStyle="1" w:styleId="228">
    <w:name w:val="正文文本首行缩进 字符1"/>
    <w:basedOn w:val="76"/>
    <w:semiHidden/>
    <w:qFormat/>
    <w:uiPriority w:val="99"/>
    <w:rPr>
      <w:rFonts w:ascii="Times New Roman" w:hAnsi="Times New Roman" w:eastAsia="宋体" w:cs="Times New Roman"/>
      <w:kern w:val="0"/>
      <w:szCs w:val="20"/>
    </w:rPr>
  </w:style>
  <w:style w:type="character" w:customStyle="1" w:styleId="229">
    <w:name w:val="正文首行缩进 Char1"/>
    <w:basedOn w:val="76"/>
    <w:semiHidden/>
    <w:qFormat/>
    <w:uiPriority w:val="99"/>
    <w:rPr>
      <w:rFonts w:ascii="Times New Roman" w:hAnsi="Times New Roman" w:eastAsia="宋体" w:cs="Times New Roman"/>
      <w:kern w:val="0"/>
      <w:szCs w:val="20"/>
    </w:rPr>
  </w:style>
  <w:style w:type="character" w:customStyle="1" w:styleId="230">
    <w:name w:val="批注文字 字符1"/>
    <w:basedOn w:val="53"/>
    <w:semiHidden/>
    <w:qFormat/>
    <w:uiPriority w:val="99"/>
  </w:style>
  <w:style w:type="character" w:customStyle="1" w:styleId="231">
    <w:name w:val="批注文字 Char1"/>
    <w:basedOn w:val="53"/>
    <w:semiHidden/>
    <w:qFormat/>
    <w:uiPriority w:val="99"/>
  </w:style>
  <w:style w:type="character" w:customStyle="1" w:styleId="232">
    <w:name w:val="批注主题 字符1"/>
    <w:basedOn w:val="230"/>
    <w:semiHidden/>
    <w:qFormat/>
    <w:uiPriority w:val="99"/>
    <w:rPr>
      <w:b/>
      <w:bCs/>
    </w:rPr>
  </w:style>
  <w:style w:type="character" w:customStyle="1" w:styleId="233">
    <w:name w:val="批注主题 Char1"/>
    <w:basedOn w:val="231"/>
    <w:semiHidden/>
    <w:qFormat/>
    <w:uiPriority w:val="99"/>
    <w:rPr>
      <w:b/>
      <w:bCs/>
    </w:rPr>
  </w:style>
  <w:style w:type="character" w:customStyle="1" w:styleId="234">
    <w:name w:val="脚注文本 字符1"/>
    <w:basedOn w:val="53"/>
    <w:semiHidden/>
    <w:qFormat/>
    <w:uiPriority w:val="99"/>
    <w:rPr>
      <w:sz w:val="18"/>
      <w:szCs w:val="18"/>
    </w:rPr>
  </w:style>
  <w:style w:type="character" w:customStyle="1" w:styleId="235">
    <w:name w:val="脚注文本 Char1"/>
    <w:basedOn w:val="53"/>
    <w:semiHidden/>
    <w:qFormat/>
    <w:uiPriority w:val="99"/>
    <w:rPr>
      <w:sz w:val="18"/>
      <w:szCs w:val="18"/>
    </w:rPr>
  </w:style>
  <w:style w:type="character" w:customStyle="1" w:styleId="236">
    <w:name w:val="正文文本缩进 2 字符1"/>
    <w:basedOn w:val="53"/>
    <w:semiHidden/>
    <w:qFormat/>
    <w:uiPriority w:val="99"/>
  </w:style>
  <w:style w:type="character" w:customStyle="1" w:styleId="237">
    <w:name w:val="正文文本缩进 2 Char1"/>
    <w:basedOn w:val="53"/>
    <w:semiHidden/>
    <w:qFormat/>
    <w:uiPriority w:val="99"/>
  </w:style>
  <w:style w:type="character" w:customStyle="1" w:styleId="238">
    <w:name w:val="正文文本 3 字符1"/>
    <w:basedOn w:val="53"/>
    <w:semiHidden/>
    <w:qFormat/>
    <w:uiPriority w:val="99"/>
    <w:rPr>
      <w:sz w:val="16"/>
      <w:szCs w:val="16"/>
    </w:rPr>
  </w:style>
  <w:style w:type="character" w:customStyle="1" w:styleId="239">
    <w:name w:val="正文文本缩进 3 字符1"/>
    <w:basedOn w:val="53"/>
    <w:semiHidden/>
    <w:qFormat/>
    <w:uiPriority w:val="99"/>
    <w:rPr>
      <w:sz w:val="16"/>
      <w:szCs w:val="16"/>
    </w:rPr>
  </w:style>
  <w:style w:type="character" w:customStyle="1" w:styleId="240">
    <w:name w:val="正文文本缩进 3 Char1"/>
    <w:basedOn w:val="53"/>
    <w:semiHidden/>
    <w:qFormat/>
    <w:uiPriority w:val="99"/>
    <w:rPr>
      <w:sz w:val="16"/>
      <w:szCs w:val="16"/>
    </w:rPr>
  </w:style>
  <w:style w:type="character" w:customStyle="1" w:styleId="241">
    <w:name w:val="正文文本缩进 字符1"/>
    <w:basedOn w:val="53"/>
    <w:semiHidden/>
    <w:qFormat/>
    <w:uiPriority w:val="99"/>
  </w:style>
  <w:style w:type="character" w:customStyle="1" w:styleId="242">
    <w:name w:val="正文文本首行缩进 2 字符1"/>
    <w:basedOn w:val="97"/>
    <w:semiHidden/>
    <w:qFormat/>
    <w:uiPriority w:val="99"/>
    <w:rPr>
      <w:rFonts w:ascii="Calibri" w:hAnsi="Calibri" w:eastAsia="宋体" w:cs="Times New Roman"/>
      <w:kern w:val="2"/>
      <w:sz w:val="21"/>
      <w:szCs w:val="24"/>
    </w:rPr>
  </w:style>
  <w:style w:type="character" w:customStyle="1" w:styleId="243">
    <w:name w:val="正文首行缩进 2 Char1"/>
    <w:basedOn w:val="100"/>
    <w:semiHidden/>
    <w:qFormat/>
    <w:uiPriority w:val="99"/>
    <w:rPr>
      <w:rFonts w:ascii="Calibri" w:hAnsi="Calibri" w:eastAsia="宋体" w:cs="Times New Roman"/>
      <w:kern w:val="2"/>
      <w:sz w:val="21"/>
      <w:szCs w:val="24"/>
    </w:rPr>
  </w:style>
  <w:style w:type="character" w:customStyle="1" w:styleId="244">
    <w:name w:val="纯文本 字符1"/>
    <w:basedOn w:val="53"/>
    <w:semiHidden/>
    <w:qFormat/>
    <w:uiPriority w:val="99"/>
    <w:rPr>
      <w:rFonts w:hAnsi="Courier New" w:cs="Courier New" w:asciiTheme="minorEastAsia"/>
    </w:rPr>
  </w:style>
  <w:style w:type="character" w:customStyle="1" w:styleId="245">
    <w:name w:val="日期 字符1"/>
    <w:basedOn w:val="53"/>
    <w:semiHidden/>
    <w:qFormat/>
    <w:uiPriority w:val="99"/>
  </w:style>
  <w:style w:type="character" w:customStyle="1" w:styleId="246">
    <w:name w:val="日期 Char1"/>
    <w:basedOn w:val="53"/>
    <w:semiHidden/>
    <w:qFormat/>
    <w:uiPriority w:val="99"/>
  </w:style>
  <w:style w:type="character" w:customStyle="1" w:styleId="247">
    <w:name w:val="尾注文本 字符1"/>
    <w:basedOn w:val="53"/>
    <w:semiHidden/>
    <w:qFormat/>
    <w:uiPriority w:val="99"/>
  </w:style>
  <w:style w:type="paragraph" w:customStyle="1" w:styleId="248">
    <w:name w:val="样式 标题 2H2sect 1.2HD2h2Level 2 Topic Heading2Header 2head..."/>
    <w:basedOn w:val="4"/>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249">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250">
    <w:name w:val="Char Char17 Char Char"/>
    <w:basedOn w:val="16"/>
    <w:qFormat/>
    <w:uiPriority w:val="0"/>
    <w:pPr>
      <w:widowControl/>
      <w:shd w:val="clear" w:color="auto" w:fill="000080"/>
      <w:jc w:val="left"/>
    </w:pPr>
    <w:rPr>
      <w:rFonts w:asciiTheme="minorHAnsi" w:hAnsiTheme="minorHAnsi" w:cstheme="minorBidi"/>
      <w:sz w:val="21"/>
      <w:szCs w:val="24"/>
    </w:rPr>
  </w:style>
  <w:style w:type="paragraph" w:customStyle="1" w:styleId="251">
    <w:name w:val="表格字"/>
    <w:basedOn w:val="1"/>
    <w:qFormat/>
    <w:uiPriority w:val="0"/>
    <w:pPr>
      <w:adjustRightInd w:val="0"/>
      <w:jc w:val="center"/>
    </w:pPr>
    <w:rPr>
      <w:rFonts w:ascii="宋体" w:hAnsi="Times New Roman"/>
      <w:sz w:val="24"/>
      <w:szCs w:val="20"/>
    </w:rPr>
  </w:style>
  <w:style w:type="paragraph" w:customStyle="1" w:styleId="252">
    <w:name w:val="封面_项目开发单位"/>
    <w:basedOn w:val="26"/>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53">
    <w:name w:val="xl29"/>
    <w:basedOn w:val="1"/>
    <w:qFormat/>
    <w:uiPriority w:val="0"/>
    <w:pPr>
      <w:widowControl/>
      <w:spacing w:before="100" w:beforeAutospacing="1" w:after="100" w:afterAutospacing="1"/>
    </w:pPr>
    <w:rPr>
      <w:rFonts w:ascii="宋体" w:hAnsi="宋体"/>
      <w:kern w:val="0"/>
      <w:szCs w:val="21"/>
    </w:rPr>
  </w:style>
  <w:style w:type="paragraph" w:customStyle="1" w:styleId="254">
    <w:name w:val="办公自动化专用标题"/>
    <w:basedOn w:val="48"/>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5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56">
    <w:name w:val="题注5"/>
    <w:basedOn w:val="1"/>
    <w:next w:val="15"/>
    <w:qFormat/>
    <w:uiPriority w:val="0"/>
    <w:pPr>
      <w:jc w:val="center"/>
    </w:pPr>
    <w:rPr>
      <w:rFonts w:ascii="Times New Roman" w:hAnsi="Times New Roman"/>
      <w:b/>
      <w:color w:val="000000"/>
      <w:sz w:val="24"/>
      <w:szCs w:val="21"/>
    </w:rPr>
  </w:style>
  <w:style w:type="paragraph" w:customStyle="1" w:styleId="257">
    <w:name w:val="6"/>
    <w:basedOn w:val="1"/>
    <w:qFormat/>
    <w:uiPriority w:val="0"/>
    <w:rPr>
      <w:rFonts w:ascii="Times New Roman" w:hAnsi="Times New Roman"/>
      <w:kern w:val="0"/>
      <w:szCs w:val="20"/>
    </w:rPr>
  </w:style>
  <w:style w:type="paragraph" w:customStyle="1" w:styleId="258">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259">
    <w:name w:val="Char1 Char Char Char"/>
    <w:basedOn w:val="1"/>
    <w:qFormat/>
    <w:uiPriority w:val="0"/>
    <w:rPr>
      <w:rFonts w:ascii="Tahoma" w:hAnsi="Tahoma"/>
      <w:sz w:val="24"/>
      <w:szCs w:val="20"/>
    </w:rPr>
  </w:style>
  <w:style w:type="paragraph" w:customStyle="1" w:styleId="260">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61">
    <w:name w:val="Item Step in Table"/>
    <w:basedOn w:val="1"/>
    <w:qFormat/>
    <w:uiPriority w:val="0"/>
    <w:pPr>
      <w:tabs>
        <w:tab w:val="left" w:pos="420"/>
      </w:tabs>
      <w:ind w:left="420" w:hanging="420"/>
      <w:jc w:val="left"/>
    </w:pPr>
    <w:rPr>
      <w:rFonts w:ascii="Times New Roman" w:hAnsi="Times New Roman"/>
    </w:rPr>
  </w:style>
  <w:style w:type="paragraph" w:customStyle="1" w:styleId="262">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3">
    <w:name w:val="纯文本1"/>
    <w:basedOn w:val="1"/>
    <w:qFormat/>
    <w:uiPriority w:val="0"/>
    <w:rPr>
      <w:rFonts w:ascii="宋体" w:hAnsi="Courier New" w:cs="黑体"/>
      <w:szCs w:val="22"/>
    </w:rPr>
  </w:style>
  <w:style w:type="paragraph" w:customStyle="1" w:styleId="264">
    <w:name w:val="样式 标题 1H1h1章l1I11st levelHeading 01Header 1Header1Sec...1"/>
    <w:basedOn w:val="3"/>
    <w:qFormat/>
    <w:uiPriority w:val="0"/>
    <w:pPr>
      <w:spacing w:line="576" w:lineRule="auto"/>
    </w:pPr>
    <w:rPr>
      <w:rFonts w:ascii="黑体" w:hAnsi="黑体" w:eastAsia="黑体" w:cs="宋体"/>
      <w:b w:val="0"/>
      <w:sz w:val="36"/>
      <w:szCs w:val="20"/>
    </w:rPr>
  </w:style>
  <w:style w:type="paragraph" w:customStyle="1" w:styleId="265">
    <w:name w:val="标题5"/>
    <w:basedOn w:val="6"/>
    <w:next w:val="6"/>
    <w:qFormat/>
    <w:uiPriority w:val="0"/>
    <w:pPr>
      <w:spacing w:line="360" w:lineRule="auto"/>
      <w:ind w:firstLine="0" w:firstLineChars="0"/>
    </w:pPr>
    <w:rPr>
      <w:rFonts w:asciiTheme="minorHAnsi" w:hAnsiTheme="minorHAnsi" w:cstheme="minorBidi"/>
      <w:bCs/>
      <w:sz w:val="30"/>
      <w:szCs w:val="20"/>
    </w:rPr>
  </w:style>
  <w:style w:type="paragraph" w:customStyle="1" w:styleId="266">
    <w:name w:val="样式 标题 3第二层条第三层论文标题 21.1.1 标题 3101.01 + 宋体 四号 非加粗 行距: 1.5..."/>
    <w:basedOn w:val="5"/>
    <w:next w:val="5"/>
    <w:qFormat/>
    <w:uiPriority w:val="0"/>
    <w:pPr>
      <w:widowControl/>
      <w:spacing w:line="360" w:lineRule="auto"/>
      <w:jc w:val="left"/>
    </w:pPr>
    <w:rPr>
      <w:rFonts w:ascii="宋体" w:hAnsi="宋体" w:eastAsia="仿宋_GB2312" w:cs="宋体"/>
      <w:bCs w:val="0"/>
      <w:sz w:val="28"/>
      <w:szCs w:val="20"/>
    </w:rPr>
  </w:style>
  <w:style w:type="paragraph" w:customStyle="1" w:styleId="267">
    <w:name w:val="样式 标题 1H1h1章l1I11st levelHeading 01Header 1Header1Sec...2"/>
    <w:basedOn w:val="3"/>
    <w:qFormat/>
    <w:uiPriority w:val="0"/>
    <w:pPr>
      <w:spacing w:line="576" w:lineRule="auto"/>
    </w:pPr>
    <w:rPr>
      <w:rFonts w:ascii="Times New Roman" w:hAnsi="Times New Roman" w:eastAsia="黑体" w:cs="宋体"/>
      <w:b w:val="0"/>
      <w:sz w:val="36"/>
      <w:szCs w:val="20"/>
    </w:rPr>
  </w:style>
  <w:style w:type="paragraph" w:customStyle="1" w:styleId="268">
    <w:name w:val="表格内容"/>
    <w:basedOn w:val="20"/>
    <w:qFormat/>
    <w:uiPriority w:val="0"/>
    <w:pPr>
      <w:suppressLineNumbers/>
      <w:suppressAutoHyphens/>
      <w:jc w:val="left"/>
    </w:pPr>
    <w:rPr>
      <w:rFonts w:ascii="Times New Roman" w:hAnsi="Times New Roman"/>
      <w:kern w:val="0"/>
      <w:sz w:val="24"/>
    </w:rPr>
  </w:style>
  <w:style w:type="paragraph" w:customStyle="1" w:styleId="269">
    <w:name w:val="标准"/>
    <w:basedOn w:val="1"/>
    <w:qFormat/>
    <w:uiPriority w:val="0"/>
    <w:pPr>
      <w:spacing w:line="0" w:lineRule="atLeast"/>
      <w:ind w:left="480" w:firstLine="425"/>
      <w:jc w:val="right"/>
    </w:pPr>
    <w:rPr>
      <w:rFonts w:ascii="宋体" w:hAnsi="Times New Roman"/>
      <w:sz w:val="24"/>
      <w:szCs w:val="20"/>
    </w:rPr>
  </w:style>
  <w:style w:type="paragraph" w:customStyle="1" w:styleId="270">
    <w:name w:val="封面_项目建设单位"/>
    <w:basedOn w:val="26"/>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71">
    <w:name w:val="Char Char2 Char"/>
    <w:basedOn w:val="1"/>
    <w:qFormat/>
    <w:uiPriority w:val="0"/>
    <w:rPr>
      <w:rFonts w:ascii="宋体" w:hAnsi="宋体"/>
      <w:b/>
      <w:sz w:val="28"/>
      <w:szCs w:val="28"/>
    </w:rPr>
  </w:style>
  <w:style w:type="paragraph" w:customStyle="1" w:styleId="272">
    <w:name w:val="样式 表格名称 + 两端对齐"/>
    <w:basedOn w:val="209"/>
    <w:qFormat/>
    <w:uiPriority w:val="0"/>
    <w:pPr>
      <w:ind w:left="984" w:hanging="420"/>
      <w:jc w:val="both"/>
    </w:pPr>
    <w:rPr>
      <w:rFonts w:cs="宋体"/>
      <w:bCs/>
      <w:sz w:val="21"/>
      <w:szCs w:val="20"/>
    </w:rPr>
  </w:style>
  <w:style w:type="paragraph" w:customStyle="1" w:styleId="273">
    <w:name w:val="Block"/>
    <w:basedOn w:val="1"/>
    <w:next w:val="186"/>
    <w:qFormat/>
    <w:uiPriority w:val="0"/>
    <w:pPr>
      <w:tabs>
        <w:tab w:val="left" w:pos="0"/>
      </w:tabs>
    </w:pPr>
    <w:rPr>
      <w:rFonts w:ascii="Arial" w:hAnsi="Arial" w:eastAsia="楷体_GB2312"/>
      <w:color w:val="000080"/>
      <w:sz w:val="28"/>
      <w:szCs w:val="28"/>
    </w:rPr>
  </w:style>
  <w:style w:type="paragraph" w:customStyle="1" w:styleId="274">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275">
    <w:name w:val="图注"/>
    <w:basedOn w:val="6"/>
    <w:qFormat/>
    <w:uiPriority w:val="0"/>
    <w:pPr>
      <w:spacing w:line="360" w:lineRule="auto"/>
      <w:ind w:firstLine="0" w:firstLineChars="0"/>
      <w:jc w:val="center"/>
    </w:pPr>
    <w:rPr>
      <w:rFonts w:ascii="宋体" w:hAnsi="宋体" w:cstheme="minorBidi"/>
      <w:sz w:val="24"/>
    </w:rPr>
  </w:style>
  <w:style w:type="paragraph" w:customStyle="1" w:styleId="276">
    <w:name w:val="正文文本缩进1"/>
    <w:basedOn w:val="1"/>
    <w:qFormat/>
    <w:uiPriority w:val="0"/>
    <w:pPr>
      <w:ind w:firstLine="830" w:firstLineChars="352"/>
    </w:pPr>
    <w:rPr>
      <w:rFonts w:ascii="仿宋_GB2312" w:hAnsi="Times New Roman" w:eastAsia="仿宋_GB2312"/>
      <w:sz w:val="32"/>
      <w:szCs w:val="20"/>
    </w:rPr>
  </w:style>
  <w:style w:type="paragraph" w:customStyle="1" w:styleId="277">
    <w:name w:val="彩色列表 - 强调文字颜色 11"/>
    <w:basedOn w:val="1"/>
    <w:qFormat/>
    <w:uiPriority w:val="0"/>
    <w:pPr>
      <w:ind w:firstLine="420" w:firstLineChars="200"/>
    </w:pPr>
    <w:rPr>
      <w:rFonts w:ascii="Times New Roman" w:hAnsi="Times New Roman"/>
    </w:rPr>
  </w:style>
  <w:style w:type="paragraph" w:customStyle="1" w:styleId="278">
    <w:name w:val="目录"/>
    <w:basedOn w:val="1"/>
    <w:qFormat/>
    <w:uiPriority w:val="0"/>
    <w:pPr>
      <w:widowControl/>
      <w:spacing w:line="480" w:lineRule="auto"/>
      <w:jc w:val="center"/>
    </w:pPr>
    <w:rPr>
      <w:rFonts w:ascii="宋体" w:hAnsi="Times New Roman"/>
      <w:b/>
      <w:kern w:val="0"/>
      <w:sz w:val="24"/>
      <w:szCs w:val="20"/>
    </w:rPr>
  </w:style>
  <w:style w:type="paragraph" w:customStyle="1" w:styleId="279">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8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81">
    <w:name w:val="封面2"/>
    <w:basedOn w:val="34"/>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282">
    <w:name w:val="样式 标题 2H2sect 1.2HD2h2Level 2 Topic Heading2Header 2head...2"/>
    <w:basedOn w:val="4"/>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28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84">
    <w:name w:val="Char Char Char Char Char Char Char"/>
    <w:basedOn w:val="1"/>
    <w:qFormat/>
    <w:uiPriority w:val="0"/>
    <w:rPr>
      <w:rFonts w:ascii="Tahoma" w:hAnsi="Tahoma"/>
      <w:sz w:val="24"/>
      <w:szCs w:val="20"/>
    </w:rPr>
  </w:style>
  <w:style w:type="paragraph" w:customStyle="1" w:styleId="285">
    <w:name w:val="表格名"/>
    <w:basedOn w:val="113"/>
    <w:qFormat/>
    <w:uiPriority w:val="0"/>
    <w:pPr>
      <w:spacing w:line="360" w:lineRule="auto"/>
      <w:ind w:left="420" w:firstLine="0" w:firstLineChars="0"/>
      <w:jc w:val="center"/>
    </w:pPr>
    <w:rPr>
      <w:rFonts w:ascii="宋体" w:hAnsi="宋体" w:cstheme="minorBidi"/>
      <w:b/>
      <w:szCs w:val="21"/>
    </w:rPr>
  </w:style>
  <w:style w:type="paragraph" w:customStyle="1" w:styleId="286">
    <w:name w:val="正文缩进1"/>
    <w:basedOn w:val="1"/>
    <w:qFormat/>
    <w:uiPriority w:val="0"/>
    <w:pPr>
      <w:ind w:firstLine="420"/>
    </w:pPr>
    <w:rPr>
      <w:rFonts w:ascii="宋体" w:hAnsi="宋体"/>
      <w:szCs w:val="20"/>
    </w:rPr>
  </w:style>
  <w:style w:type="paragraph" w:customStyle="1" w:styleId="287">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8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89">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290">
    <w:name w:val="正文文本 21"/>
    <w:basedOn w:val="1"/>
    <w:qFormat/>
    <w:uiPriority w:val="0"/>
    <w:pPr>
      <w:widowControl/>
      <w:spacing w:after="120" w:line="480" w:lineRule="auto"/>
      <w:jc w:val="left"/>
    </w:pPr>
    <w:rPr>
      <w:rFonts w:ascii="Times New Roman" w:hAnsi="Times New Roman"/>
      <w:kern w:val="0"/>
    </w:rPr>
  </w:style>
  <w:style w:type="paragraph" w:customStyle="1" w:styleId="291">
    <w:name w:val="正文段落"/>
    <w:basedOn w:val="1"/>
    <w:qFormat/>
    <w:uiPriority w:val="0"/>
    <w:pPr>
      <w:ind w:firstLine="200" w:firstLineChars="200"/>
    </w:pPr>
    <w:rPr>
      <w:rFonts w:ascii="Times New Roman" w:hAnsi="Times New Roman"/>
    </w:rPr>
  </w:style>
  <w:style w:type="paragraph" w:customStyle="1" w:styleId="292">
    <w:name w:val="样式 样式 首行缩进:  2 字符 + 首行缩进:  2 字符"/>
    <w:basedOn w:val="1"/>
    <w:qFormat/>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29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94">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5">
    <w:name w:val="段落1"/>
    <w:basedOn w:val="1"/>
    <w:qFormat/>
    <w:uiPriority w:val="0"/>
    <w:pPr>
      <w:autoSpaceDE w:val="0"/>
      <w:autoSpaceDN w:val="0"/>
      <w:adjustRightInd w:val="0"/>
      <w:spacing w:before="105" w:after="120"/>
    </w:pPr>
    <w:rPr>
      <w:rFonts w:ascii="宋体" w:hAnsi="Times New Roman" w:eastAsia="幼圆"/>
      <w:kern w:val="0"/>
      <w:szCs w:val="20"/>
    </w:rPr>
  </w:style>
  <w:style w:type="paragraph" w:customStyle="1" w:styleId="296">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297">
    <w:name w:val="图表脚注"/>
    <w:next w:val="28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299">
    <w:name w:val="封面1"/>
    <w:basedOn w:val="34"/>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300">
    <w:name w:val="样式 标题 2H2sect 1.2HD2h2Level 2 Topic Heading2Header 2head...1"/>
    <w:basedOn w:val="4"/>
    <w:qFormat/>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301">
    <w:name w:val="样式 正文缩进表正文正文非缩进段1特点ALT+Z水上软件正文不缩进四号特点 Char CharNormal ..."/>
    <w:basedOn w:val="6"/>
    <w:qFormat/>
    <w:uiPriority w:val="0"/>
    <w:pPr>
      <w:spacing w:line="360" w:lineRule="auto"/>
      <w:ind w:firstLine="560"/>
    </w:pPr>
    <w:rPr>
      <w:rFonts w:eastAsia="仿宋_GB2312" w:cs="宋体" w:asciiTheme="minorHAnsi" w:hAnsiTheme="minorHAnsi"/>
      <w:sz w:val="24"/>
    </w:rPr>
  </w:style>
  <w:style w:type="paragraph" w:customStyle="1" w:styleId="302">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303">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04">
    <w:name w:val="图表注释"/>
    <w:basedOn w:val="1"/>
    <w:qFormat/>
    <w:uiPriority w:val="0"/>
    <w:pPr>
      <w:spacing w:line="360" w:lineRule="auto"/>
      <w:jc w:val="center"/>
    </w:pPr>
    <w:rPr>
      <w:rFonts w:ascii="宋体" w:hAnsi="宋体"/>
      <w:bCs/>
    </w:rPr>
  </w:style>
  <w:style w:type="paragraph" w:customStyle="1" w:styleId="305">
    <w:name w:val="标题51 Char Char Char"/>
    <w:basedOn w:val="7"/>
    <w:next w:val="7"/>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06">
    <w:name w:val="图名"/>
    <w:basedOn w:val="6"/>
    <w:qFormat/>
    <w:uiPriority w:val="0"/>
    <w:pPr>
      <w:spacing w:line="360" w:lineRule="auto"/>
      <w:ind w:firstLine="425" w:firstLineChars="0"/>
    </w:pPr>
    <w:rPr>
      <w:rFonts w:asciiTheme="minorHAnsi" w:hAnsiTheme="minorHAnsi" w:cstheme="minorBidi"/>
      <w:sz w:val="24"/>
      <w:szCs w:val="20"/>
    </w:rPr>
  </w:style>
  <w:style w:type="paragraph" w:customStyle="1" w:styleId="307">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308">
    <w:name w:val="正文文本缩进2"/>
    <w:basedOn w:val="1"/>
    <w:qFormat/>
    <w:uiPriority w:val="0"/>
    <w:pPr>
      <w:ind w:firstLine="830" w:firstLineChars="352"/>
    </w:pPr>
    <w:rPr>
      <w:rFonts w:ascii="仿宋_GB2312" w:hAnsi="Times New Roman" w:eastAsia="仿宋_GB2312"/>
      <w:sz w:val="32"/>
      <w:szCs w:val="20"/>
    </w:rPr>
  </w:style>
  <w:style w:type="paragraph" w:customStyle="1" w:styleId="309">
    <w:name w:val="表内容－居中"/>
    <w:basedOn w:val="1"/>
    <w:qFormat/>
    <w:uiPriority w:val="0"/>
    <w:pPr>
      <w:spacing w:line="400" w:lineRule="exact"/>
      <w:jc w:val="center"/>
    </w:pPr>
    <w:rPr>
      <w:rFonts w:ascii="Times New Roman" w:hAnsi="Times New Roman" w:cs="宋体"/>
      <w:sz w:val="24"/>
      <w:szCs w:val="20"/>
    </w:rPr>
  </w:style>
  <w:style w:type="paragraph" w:customStyle="1" w:styleId="310">
    <w:name w:val="图表"/>
    <w:basedOn w:val="1"/>
    <w:qFormat/>
    <w:uiPriority w:val="0"/>
    <w:rPr>
      <w:rFonts w:ascii="宋体" w:hAnsi="宋体"/>
      <w:sz w:val="18"/>
      <w:szCs w:val="18"/>
    </w:rPr>
  </w:style>
  <w:style w:type="paragraph" w:customStyle="1" w:styleId="311">
    <w:name w:val="样式 标题 1H1h1章l1I11st levelHeading 01Header 1Header1Sec..."/>
    <w:basedOn w:val="3"/>
    <w:qFormat/>
    <w:uiPriority w:val="0"/>
    <w:pPr>
      <w:spacing w:line="576" w:lineRule="auto"/>
    </w:pPr>
    <w:rPr>
      <w:rFonts w:ascii="黑体" w:hAnsi="黑体" w:eastAsia="黑体" w:cs="宋体"/>
      <w:b w:val="0"/>
      <w:sz w:val="36"/>
      <w:szCs w:val="20"/>
    </w:rPr>
  </w:style>
  <w:style w:type="paragraph" w:customStyle="1" w:styleId="312">
    <w:name w:val="bt"/>
    <w:basedOn w:val="1"/>
    <w:next w:val="20"/>
    <w:qFormat/>
    <w:uiPriority w:val="0"/>
    <w:pPr>
      <w:spacing w:after="120"/>
    </w:pPr>
    <w:rPr>
      <w:rFonts w:ascii="Times New Roman" w:hAnsi="Times New Roman"/>
    </w:rPr>
  </w:style>
  <w:style w:type="paragraph" w:customStyle="1" w:styleId="313">
    <w:name w:val="3"/>
    <w:basedOn w:val="1"/>
    <w:next w:val="26"/>
    <w:qFormat/>
    <w:uiPriority w:val="0"/>
    <w:rPr>
      <w:rFonts w:ascii="宋体" w:hAnsi="Courier New"/>
      <w:szCs w:val="20"/>
    </w:rPr>
  </w:style>
  <w:style w:type="paragraph" w:customStyle="1" w:styleId="31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6">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317">
    <w:name w:val="样式 标题 1H1h1章l1I11st levelHeading 01Header 1Header1Sec...3"/>
    <w:basedOn w:val="3"/>
    <w:qFormat/>
    <w:uiPriority w:val="0"/>
    <w:pPr>
      <w:spacing w:line="576" w:lineRule="auto"/>
    </w:pPr>
    <w:rPr>
      <w:rFonts w:ascii="黑体" w:hAnsi="黑体" w:eastAsia="黑体" w:cs="宋体"/>
      <w:b w:val="0"/>
      <w:sz w:val="36"/>
      <w:szCs w:val="20"/>
    </w:rPr>
  </w:style>
  <w:style w:type="paragraph" w:styleId="31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19">
    <w:name w:val="样式 标题 1H1h1章l1I11st levelHeading 01Header 1Header1Sec...4"/>
    <w:basedOn w:val="3"/>
    <w:qFormat/>
    <w:uiPriority w:val="0"/>
    <w:pPr>
      <w:spacing w:line="576" w:lineRule="auto"/>
    </w:pPr>
    <w:rPr>
      <w:rFonts w:ascii="黑体" w:hAnsi="黑体" w:eastAsia="黑体" w:cs="宋体"/>
      <w:b w:val="0"/>
      <w:sz w:val="36"/>
      <w:szCs w:val="20"/>
    </w:rPr>
  </w:style>
  <w:style w:type="paragraph" w:customStyle="1" w:styleId="320">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321">
    <w:name w:val="样式 标题 3 + 右侧:  0.42 厘米"/>
    <w:basedOn w:val="5"/>
    <w:qFormat/>
    <w:uiPriority w:val="0"/>
    <w:pPr>
      <w:tabs>
        <w:tab w:val="left" w:pos="851"/>
      </w:tabs>
      <w:spacing w:line="413" w:lineRule="auto"/>
    </w:pPr>
    <w:rPr>
      <w:rFonts w:ascii="黑体" w:hAnsi="黑体" w:eastAsia="黑体" w:cs="宋体"/>
      <w:bCs w:val="0"/>
      <w:sz w:val="30"/>
      <w:szCs w:val="20"/>
    </w:rPr>
  </w:style>
  <w:style w:type="paragraph" w:customStyle="1" w:styleId="322">
    <w:name w:val="msoacetate"/>
    <w:basedOn w:val="1"/>
    <w:qFormat/>
    <w:uiPriority w:val="0"/>
    <w:rPr>
      <w:rFonts w:ascii="Tahoma" w:hAnsi="Tahoma"/>
      <w:sz w:val="18"/>
      <w:szCs w:val="18"/>
    </w:rPr>
  </w:style>
  <w:style w:type="paragraph" w:customStyle="1" w:styleId="323">
    <w:name w:val="标题 31"/>
    <w:basedOn w:val="1"/>
    <w:next w:val="1"/>
    <w:qFormat/>
    <w:uiPriority w:val="0"/>
    <w:pPr>
      <w:keepNext/>
      <w:keepLines/>
      <w:spacing w:before="260" w:after="260" w:line="408" w:lineRule="auto"/>
      <w:outlineLvl w:val="2"/>
    </w:pPr>
    <w:rPr>
      <w:rFonts w:ascii="宋体" w:hAnsi="宋体"/>
      <w:b/>
      <w:sz w:val="32"/>
      <w:szCs w:val="20"/>
    </w:rPr>
  </w:style>
  <w:style w:type="paragraph" w:customStyle="1" w:styleId="324">
    <w:name w:val="样式 正文文本 + 宋体 首行缩进:  0.74 厘米 行距: 1.5 倍行距"/>
    <w:basedOn w:val="20"/>
    <w:qFormat/>
    <w:uiPriority w:val="0"/>
    <w:pPr>
      <w:spacing w:line="360" w:lineRule="auto"/>
      <w:ind w:firstLine="200" w:firstLineChars="200"/>
    </w:pPr>
    <w:rPr>
      <w:sz w:val="24"/>
      <w:szCs w:val="22"/>
    </w:rPr>
  </w:style>
  <w:style w:type="paragraph" w:customStyle="1" w:styleId="325">
    <w:name w:val="Char1"/>
    <w:basedOn w:val="1"/>
    <w:qFormat/>
    <w:uiPriority w:val="0"/>
    <w:pPr>
      <w:snapToGrid w:val="0"/>
    </w:pPr>
    <w:rPr>
      <w:rFonts w:ascii="Arial" w:hAnsi="Arial"/>
      <w:szCs w:val="21"/>
    </w:rPr>
  </w:style>
  <w:style w:type="paragraph" w:customStyle="1" w:styleId="326">
    <w:name w:val="样式 首行缩进:  0.74 厘米"/>
    <w:basedOn w:val="1"/>
    <w:qFormat/>
    <w:uiPriority w:val="0"/>
    <w:pPr>
      <w:spacing w:line="360" w:lineRule="auto"/>
      <w:ind w:firstLine="200" w:firstLineChars="200"/>
    </w:pPr>
    <w:rPr>
      <w:rFonts w:ascii="Times New Roman" w:hAnsi="Times New Roman" w:cs="宋体"/>
      <w:sz w:val="24"/>
      <w:szCs w:val="20"/>
    </w:rPr>
  </w:style>
  <w:style w:type="paragraph" w:customStyle="1" w:styleId="327">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328">
    <w:name w:val="题注4"/>
    <w:basedOn w:val="1"/>
    <w:next w:val="15"/>
    <w:qFormat/>
    <w:uiPriority w:val="0"/>
    <w:pPr>
      <w:ind w:left="-132" w:leftChars="-64" w:right="-50" w:rightChars="-50" w:hanging="2"/>
      <w:jc w:val="center"/>
    </w:pPr>
    <w:rPr>
      <w:rFonts w:ascii="Times New Roman" w:hAnsi="Times New Roman"/>
      <w:b/>
      <w:color w:val="FF0000"/>
      <w:szCs w:val="20"/>
      <w:lang w:val="en-GB"/>
    </w:rPr>
  </w:style>
  <w:style w:type="paragraph" w:customStyle="1" w:styleId="329">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330">
    <w:name w:val="样式 标题 4 + (西文) 黑体 加粗"/>
    <w:basedOn w:val="2"/>
    <w:qFormat/>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331">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33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3">
    <w:name w:val="样式 标题 2章标题 1.12 headlinehheadlineS&amp;R2ERMH2H2PIM2Headin..."/>
    <w:basedOn w:val="4"/>
    <w:next w:val="5"/>
    <w:qFormat/>
    <w:uiPriority w:val="0"/>
    <w:pPr>
      <w:keepNext w:val="0"/>
      <w:keepLines w:val="0"/>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334">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35">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336">
    <w:name w:val="È±Ê¡ÎÄ±¾"/>
    <w:basedOn w:val="1"/>
    <w:qFormat/>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337">
    <w:name w:val="4"/>
    <w:basedOn w:val="1"/>
    <w:next w:val="41"/>
    <w:qFormat/>
    <w:uiPriority w:val="0"/>
    <w:pPr>
      <w:ind w:firstLine="900"/>
    </w:pPr>
    <w:rPr>
      <w:rFonts w:ascii="Times New Roman" w:hAnsi="Times New Roman"/>
      <w:sz w:val="28"/>
      <w:szCs w:val="20"/>
    </w:rPr>
  </w:style>
  <w:style w:type="paragraph" w:customStyle="1" w:styleId="338">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39">
    <w:name w:val="海南模板"/>
    <w:basedOn w:val="1"/>
    <w:next w:val="48"/>
    <w:qFormat/>
    <w:uiPriority w:val="0"/>
    <w:pPr>
      <w:tabs>
        <w:tab w:val="left" w:pos="360"/>
      </w:tabs>
      <w:spacing w:after="120" w:line="460" w:lineRule="exact"/>
    </w:pPr>
    <w:rPr>
      <w:rFonts w:ascii="Times New Roman" w:hAnsi="Times New Roman" w:eastAsia="仿宋_GB2312"/>
      <w:sz w:val="28"/>
      <w:szCs w:val="20"/>
    </w:rPr>
  </w:style>
  <w:style w:type="character" w:customStyle="1" w:styleId="340">
    <w:name w:val="font161"/>
    <w:basedOn w:val="53"/>
    <w:qFormat/>
    <w:uiPriority w:val="0"/>
    <w:rPr>
      <w:rFonts w:hint="eastAsia" w:ascii="宋体" w:hAnsi="宋体" w:eastAsia="宋体" w:cs="宋体"/>
      <w:b/>
      <w:color w:val="000000"/>
      <w:sz w:val="28"/>
      <w:szCs w:val="28"/>
      <w:u w:val="none"/>
    </w:rPr>
  </w:style>
  <w:style w:type="character" w:customStyle="1" w:styleId="341">
    <w:name w:val="font171"/>
    <w:basedOn w:val="53"/>
    <w:qFormat/>
    <w:uiPriority w:val="0"/>
    <w:rPr>
      <w:rFonts w:hint="eastAsia" w:ascii="宋体" w:hAnsi="宋体" w:eastAsia="宋体" w:cs="宋体"/>
      <w:color w:val="000000"/>
      <w:sz w:val="22"/>
      <w:szCs w:val="22"/>
      <w:u w:val="none"/>
    </w:rPr>
  </w:style>
  <w:style w:type="character" w:customStyle="1" w:styleId="342">
    <w:name w:val="font41"/>
    <w:basedOn w:val="53"/>
    <w:qFormat/>
    <w:uiPriority w:val="0"/>
    <w:rPr>
      <w:rFonts w:hint="default" w:ascii="Arial" w:hAnsi="Arial" w:cs="Arial"/>
      <w:color w:val="000000"/>
      <w:sz w:val="22"/>
      <w:szCs w:val="22"/>
      <w:u w:val="none"/>
    </w:rPr>
  </w:style>
  <w:style w:type="character" w:customStyle="1" w:styleId="343">
    <w:name w:val="font81"/>
    <w:basedOn w:val="53"/>
    <w:qFormat/>
    <w:uiPriority w:val="0"/>
    <w:rPr>
      <w:rFonts w:hint="default" w:ascii="Arial" w:hAnsi="Arial" w:cs="Arial"/>
      <w:color w:val="000000"/>
      <w:sz w:val="20"/>
      <w:szCs w:val="20"/>
      <w:u w:val="none"/>
    </w:rPr>
  </w:style>
  <w:style w:type="character" w:customStyle="1" w:styleId="344">
    <w:name w:val="font21"/>
    <w:basedOn w:val="53"/>
    <w:qFormat/>
    <w:uiPriority w:val="0"/>
    <w:rPr>
      <w:rFonts w:hint="eastAsia" w:ascii="宋体" w:hAnsi="宋体" w:eastAsia="宋体" w:cs="宋体"/>
      <w:color w:val="000000"/>
      <w:sz w:val="20"/>
      <w:szCs w:val="20"/>
      <w:u w:val="none"/>
    </w:rPr>
  </w:style>
  <w:style w:type="character" w:customStyle="1" w:styleId="345">
    <w:name w:val="font11"/>
    <w:basedOn w:val="53"/>
    <w:qFormat/>
    <w:uiPriority w:val="0"/>
    <w:rPr>
      <w:rFonts w:hint="eastAsia" w:ascii="宋体" w:hAnsi="宋体" w:eastAsia="宋体" w:cs="宋体"/>
      <w:color w:val="000000"/>
      <w:sz w:val="20"/>
      <w:szCs w:val="20"/>
      <w:u w:val="none"/>
    </w:rPr>
  </w:style>
  <w:style w:type="character" w:customStyle="1" w:styleId="346">
    <w:name w:val="font101"/>
    <w:basedOn w:val="53"/>
    <w:qFormat/>
    <w:uiPriority w:val="0"/>
    <w:rPr>
      <w:rFonts w:ascii="MingLiU" w:hAnsi="MingLiU" w:eastAsia="MingLiU" w:cs="MingLiU"/>
      <w:color w:val="000000"/>
      <w:sz w:val="20"/>
      <w:szCs w:val="20"/>
      <w:u w:val="none"/>
    </w:rPr>
  </w:style>
  <w:style w:type="character" w:customStyle="1" w:styleId="347">
    <w:name w:val="font51"/>
    <w:basedOn w:val="53"/>
    <w:qFormat/>
    <w:uiPriority w:val="0"/>
    <w:rPr>
      <w:rFonts w:hint="default" w:ascii="Arial" w:hAnsi="Arial" w:cs="Arial"/>
      <w:color w:val="000000"/>
      <w:sz w:val="20"/>
      <w:szCs w:val="20"/>
      <w:u w:val="none"/>
    </w:rPr>
  </w:style>
  <w:style w:type="character" w:customStyle="1" w:styleId="348">
    <w:name w:val="未处理的提及4"/>
    <w:basedOn w:val="53"/>
    <w:semiHidden/>
    <w:unhideWhenUsed/>
    <w:qFormat/>
    <w:uiPriority w:val="99"/>
    <w:rPr>
      <w:color w:val="605E5C"/>
      <w:shd w:val="clear" w:color="auto" w:fill="E1DFDD"/>
    </w:rPr>
  </w:style>
  <w:style w:type="character" w:customStyle="1" w:styleId="349">
    <w:name w:val="未处理的提及5"/>
    <w:basedOn w:val="53"/>
    <w:semiHidden/>
    <w:unhideWhenUsed/>
    <w:qFormat/>
    <w:uiPriority w:val="99"/>
    <w:rPr>
      <w:color w:val="605E5C"/>
      <w:shd w:val="clear" w:color="auto" w:fill="E1DFDD"/>
    </w:rPr>
  </w:style>
  <w:style w:type="paragraph" w:customStyle="1" w:styleId="350">
    <w:name w:val="修订4"/>
    <w:hidden/>
    <w:semiHidden/>
    <w:qFormat/>
    <w:uiPriority w:val="99"/>
    <w:rPr>
      <w:rFonts w:ascii="Calibri" w:hAnsi="Calibri" w:eastAsia="宋体" w:cs="Times New Roman"/>
      <w:kern w:val="2"/>
      <w:sz w:val="21"/>
      <w:szCs w:val="24"/>
      <w:lang w:val="en-US" w:eastAsia="zh-CN" w:bidi="ar-SA"/>
    </w:rPr>
  </w:style>
  <w:style w:type="paragraph" w:customStyle="1" w:styleId="351">
    <w:name w:val="修订5"/>
    <w:hidden/>
    <w:unhideWhenUsed/>
    <w:qFormat/>
    <w:uiPriority w:val="99"/>
    <w:rPr>
      <w:rFonts w:ascii="Calibri" w:hAnsi="Calibri" w:eastAsia="宋体" w:cs="Times New Roman"/>
      <w:kern w:val="2"/>
      <w:sz w:val="21"/>
      <w:szCs w:val="24"/>
      <w:lang w:val="en-US" w:eastAsia="zh-CN" w:bidi="ar-SA"/>
    </w:rPr>
  </w:style>
  <w:style w:type="paragraph" w:customStyle="1" w:styleId="352">
    <w:name w:val="修订6"/>
    <w:hidden/>
    <w:unhideWhenUsed/>
    <w:qFormat/>
    <w:uiPriority w:val="99"/>
    <w:rPr>
      <w:rFonts w:ascii="Calibri" w:hAnsi="Calibri" w:eastAsia="宋体" w:cs="Times New Roman"/>
      <w:kern w:val="2"/>
      <w:sz w:val="21"/>
      <w:szCs w:val="24"/>
      <w:lang w:val="en-US" w:eastAsia="zh-CN" w:bidi="ar-SA"/>
    </w:rPr>
  </w:style>
  <w:style w:type="paragraph" w:customStyle="1" w:styleId="353">
    <w:name w:val="普通正文"/>
    <w:basedOn w:val="1"/>
    <w:qFormat/>
    <w:uiPriority w:val="0"/>
    <w:pPr>
      <w:spacing w:before="120" w:after="120" w:line="360" w:lineRule="auto"/>
      <w:ind w:firstLine="480"/>
      <w:textAlignment w:val="baseline"/>
    </w:pPr>
    <w:rPr>
      <w:rFonts w:ascii="Arial" w:hAnsi="Arial"/>
      <w:sz w:val="24"/>
    </w:rPr>
  </w:style>
  <w:style w:type="paragraph" w:customStyle="1" w:styleId="354">
    <w:name w:val="首行缩进"/>
    <w:basedOn w:val="1"/>
    <w:qFormat/>
    <w:uiPriority w:val="0"/>
    <w:pPr>
      <w:ind w:firstLine="480" w:firstLineChars="200"/>
    </w:pPr>
    <w:rPr>
      <w:lang w:val="zh-CN"/>
    </w:rPr>
  </w:style>
  <w:style w:type="paragraph" w:customStyle="1" w:styleId="355">
    <w:name w:val="Revision"/>
    <w:hidden/>
    <w:semiHidden/>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636FB6-1CBC-4D45-ACE4-0190438B33E1}">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93</Pages>
  <Words>8155</Words>
  <Characters>46486</Characters>
  <Lines>387</Lines>
  <Paragraphs>109</Paragraphs>
  <TotalTime>0</TotalTime>
  <ScaleCrop>false</ScaleCrop>
  <LinksUpToDate>false</LinksUpToDate>
  <CharactersWithSpaces>54532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2022-06-30T06:52:00Z</dcterms:created>
  <dc:creator>User</dc:creator>
  <cp:lastModifiedBy>WPS_1559532919</cp:lastModifiedBy>
  <cp:lastPrinted>2022-02-21T07:05:00Z</cp:lastPrinted>
  <dcterms:modified xsi:type="dcterms:W3CDTF">2022-06-30T07:27:00Z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1968035A9ACF4976B41DCBC14E615C75</vt:lpwstr>
  </property>
</Properties>
</file>