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jc w:val="center"/>
        <w:rPr>
          <w:rFonts w:ascii="Times New Roman" w:hAnsi="Times New Roman"/>
          <w:b/>
          <w:bCs/>
          <w:color w:val="000000" w:themeColor="text1"/>
          <w:sz w:val="84"/>
          <w:szCs w:val="84"/>
          <w14:textFill>
            <w14:solidFill>
              <w14:schemeClr w14:val="tx1"/>
            </w14:solidFill>
          </w14:textFill>
        </w:rPr>
      </w:pPr>
    </w:p>
    <w:p>
      <w:pPr>
        <w:pStyle w:val="7"/>
        <w:rPr>
          <w:color w:val="000000" w:themeColor="text1"/>
          <w14:textFill>
            <w14:solidFill>
              <w14:schemeClr w14:val="tx1"/>
            </w14:solidFill>
          </w14:textFill>
        </w:rPr>
      </w:pPr>
    </w:p>
    <w:p>
      <w:pPr>
        <w:tabs>
          <w:tab w:val="left" w:pos="6015"/>
        </w:tabs>
        <w:spacing w:after="312" w:afterLines="100"/>
        <w:jc w:val="center"/>
        <w:rPr>
          <w:rFonts w:ascii="宋体" w:hAnsi="宋体"/>
          <w:b/>
          <w:bCs/>
          <w:color w:val="000000" w:themeColor="text1"/>
          <w:sz w:val="48"/>
          <w:szCs w:val="48"/>
          <w14:textFill>
            <w14:solidFill>
              <w14:schemeClr w14:val="tx1"/>
            </w14:solidFill>
          </w14:textFill>
        </w:rPr>
      </w:pPr>
      <w:r>
        <w:rPr>
          <w:rFonts w:hint="eastAsia" w:ascii="宋体" w:hAnsi="宋体"/>
          <w:b/>
          <w:bCs/>
          <w:color w:val="000000" w:themeColor="text1"/>
          <w:sz w:val="48"/>
          <w:szCs w:val="48"/>
          <w14:textFill>
            <w14:solidFill>
              <w14:schemeClr w14:val="tx1"/>
            </w14:solidFill>
          </w14:textFill>
        </w:rPr>
        <w:t>数据中心暖通空调水系统加药水处理一体化服务采购项目</w:t>
      </w:r>
    </w:p>
    <w:p>
      <w:pPr>
        <w:pStyle w:val="7"/>
        <w:rPr>
          <w:color w:val="000000" w:themeColor="text1"/>
          <w14:textFill>
            <w14:solidFill>
              <w14:schemeClr w14:val="tx1"/>
            </w14:solidFill>
          </w14:textFill>
        </w:rPr>
      </w:pPr>
    </w:p>
    <w:p>
      <w:pPr>
        <w:tabs>
          <w:tab w:val="left" w:pos="6015"/>
        </w:tabs>
        <w:spacing w:after="312" w:afterLines="100"/>
        <w:jc w:val="center"/>
        <w:rPr>
          <w:rFonts w:ascii="宋体" w:hAnsi="宋体"/>
          <w:b/>
          <w:color w:val="000000" w:themeColor="text1"/>
          <w:sz w:val="31"/>
          <w:szCs w:val="18"/>
          <w14:textFill>
            <w14:solidFill>
              <w14:schemeClr w14:val="tx1"/>
            </w14:solidFill>
          </w14:textFill>
        </w:rPr>
      </w:pPr>
      <w:r>
        <w:rPr>
          <w:rFonts w:ascii="宋体" w:hAnsi="宋体"/>
          <w:b/>
          <w:bCs/>
          <w:color w:val="000000" w:themeColor="text1"/>
          <w:spacing w:val="20"/>
          <w:sz w:val="48"/>
          <w:szCs w:val="48"/>
          <w14:textFill>
            <w14:solidFill>
              <w14:schemeClr w14:val="tx1"/>
            </w14:solidFill>
          </w14:textFill>
        </w:rPr>
        <w:t>招标文件</w:t>
      </w: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pStyle w:val="7"/>
        <w:rPr>
          <w:color w:val="000000" w:themeColor="text1"/>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r>
        <w:rPr>
          <w:rFonts w:hint="eastAsia" w:ascii="宋体" w:hAnsi="宋体"/>
          <w:b/>
          <w:color w:val="000000" w:themeColor="text1"/>
          <w:sz w:val="31"/>
          <w:szCs w:val="18"/>
          <w14:textFill>
            <w14:solidFill>
              <w14:schemeClr w14:val="tx1"/>
            </w14:solidFill>
          </w14:textFill>
        </w:rPr>
        <w:t>项目编号：SL-CG2022007</w:t>
      </w:r>
    </w:p>
    <w:p>
      <w:pPr>
        <w:snapToGrid w:val="0"/>
        <w:spacing w:line="360" w:lineRule="auto"/>
        <w:ind w:firstLine="921" w:firstLineChars="296"/>
        <w:jc w:val="left"/>
        <w:rPr>
          <w:rFonts w:ascii="宋体" w:hAnsi="宋体"/>
          <w:b/>
          <w:bCs/>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bCs/>
          <w:color w:val="000000" w:themeColor="text1"/>
          <w:sz w:val="31"/>
          <w:szCs w:val="18"/>
          <w14:textFill>
            <w14:solidFill>
              <w14:schemeClr w14:val="tx1"/>
            </w14:solidFill>
          </w14:textFill>
        </w:rPr>
      </w:pPr>
      <w:r>
        <w:rPr>
          <w:rFonts w:hint="eastAsia" w:ascii="宋体" w:hAnsi="宋体"/>
          <w:b/>
          <w:color w:val="000000" w:themeColor="text1"/>
          <w:sz w:val="31"/>
          <w:szCs w:val="18"/>
          <w14:textFill>
            <w14:solidFill>
              <w14:schemeClr w14:val="tx1"/>
            </w14:solidFill>
          </w14:textFill>
        </w:rPr>
        <w:t>招标人</w:t>
      </w:r>
      <w:r>
        <w:rPr>
          <w:rFonts w:ascii="宋体" w:hAnsi="宋体"/>
          <w:b/>
          <w:color w:val="000000" w:themeColor="text1"/>
          <w:sz w:val="31"/>
          <w:szCs w:val="18"/>
          <w14:textFill>
            <w14:solidFill>
              <w14:schemeClr w14:val="tx1"/>
            </w14:solidFill>
          </w14:textFill>
        </w:rPr>
        <w:t>：</w:t>
      </w:r>
      <w:r>
        <w:rPr>
          <w:rFonts w:hint="eastAsia" w:ascii="宋体" w:hAnsi="宋体"/>
          <w:b/>
          <w:bCs/>
          <w:color w:val="000000" w:themeColor="text1"/>
          <w:sz w:val="31"/>
          <w:szCs w:val="18"/>
          <w14:textFill>
            <w14:solidFill>
              <w14:schemeClr w14:val="tx1"/>
            </w14:solidFill>
          </w14:textFill>
        </w:rPr>
        <w:t>东莞市数据互联有限公司</w:t>
      </w:r>
    </w:p>
    <w:p>
      <w:pPr>
        <w:snapToGrid w:val="0"/>
        <w:spacing w:line="360" w:lineRule="auto"/>
        <w:rPr>
          <w:rFonts w:ascii="Times New Roman" w:hAnsi="Times New Roman" w:cs="宋体"/>
          <w:b/>
          <w:bCs/>
          <w:color w:val="000000" w:themeColor="text1"/>
          <w:sz w:val="31"/>
          <w:szCs w:val="31"/>
          <w:u w:val="single"/>
          <w14:textFill>
            <w14:solidFill>
              <w14:schemeClr w14:val="tx1"/>
            </w14:solidFill>
          </w14:textFill>
        </w:rPr>
      </w:pPr>
    </w:p>
    <w:p>
      <w:pPr>
        <w:pStyle w:val="7"/>
        <w:rPr>
          <w:color w:val="000000" w:themeColor="text1"/>
          <w:lang w:val="en-US"/>
          <w14:textFill>
            <w14:solidFill>
              <w14:schemeClr w14:val="tx1"/>
            </w14:solidFill>
          </w14:textFill>
        </w:rPr>
      </w:pPr>
    </w:p>
    <w:p>
      <w:pPr>
        <w:pStyle w:val="8"/>
        <w:rPr>
          <w:lang w:val="en-US"/>
        </w:rPr>
      </w:pPr>
    </w:p>
    <w:p>
      <w:pPr>
        <w:spacing w:line="600" w:lineRule="exact"/>
        <w:jc w:val="center"/>
        <w:rPr>
          <w:rFonts w:ascii="Times New Roman" w:hAnsi="Times New Roman"/>
          <w:b/>
          <w:bCs/>
          <w:color w:val="000000" w:themeColor="text1"/>
          <w:spacing w:val="26"/>
          <w:sz w:val="31"/>
          <w14:textFill>
            <w14:solidFill>
              <w14:schemeClr w14:val="tx1"/>
            </w14:solidFill>
          </w14:textFill>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r>
        <w:rPr>
          <w:rFonts w:ascii="Times New Roman" w:hAnsi="Times New Roman"/>
          <w:b/>
          <w:bCs/>
          <w:color w:val="000000" w:themeColor="text1"/>
          <w:spacing w:val="26"/>
          <w:sz w:val="31"/>
          <w14:textFill>
            <w14:solidFill>
              <w14:schemeClr w14:val="tx1"/>
            </w14:solidFill>
          </w14:textFill>
        </w:rPr>
        <w:t>二〇二</w:t>
      </w:r>
      <w:r>
        <w:rPr>
          <w:rFonts w:hint="eastAsia" w:ascii="Times New Roman" w:hAnsi="Times New Roman"/>
          <w:b/>
          <w:bCs/>
          <w:color w:val="000000" w:themeColor="text1"/>
          <w:spacing w:val="26"/>
          <w:sz w:val="31"/>
          <w14:textFill>
            <w14:solidFill>
              <w14:schemeClr w14:val="tx1"/>
            </w14:solidFill>
          </w14:textFill>
        </w:rPr>
        <w:t>二</w:t>
      </w:r>
      <w:r>
        <w:rPr>
          <w:rFonts w:ascii="Times New Roman" w:hAnsi="Times New Roman"/>
          <w:b/>
          <w:bCs/>
          <w:color w:val="000000" w:themeColor="text1"/>
          <w:spacing w:val="26"/>
          <w:sz w:val="31"/>
          <w14:textFill>
            <w14:solidFill>
              <w14:schemeClr w14:val="tx1"/>
            </w14:solidFill>
          </w14:textFill>
        </w:rPr>
        <w:t>年</w:t>
      </w:r>
      <w:r>
        <w:rPr>
          <w:rFonts w:hint="eastAsia" w:ascii="Times New Roman" w:hAnsi="Times New Roman"/>
          <w:b/>
          <w:bCs/>
          <w:color w:val="000000" w:themeColor="text1"/>
          <w:spacing w:val="26"/>
          <w:sz w:val="31"/>
          <w14:textFill>
            <w14:solidFill>
              <w14:schemeClr w14:val="tx1"/>
            </w14:solidFill>
          </w14:textFill>
        </w:rPr>
        <w:t xml:space="preserve"> 五</w:t>
      </w:r>
      <w:r>
        <w:rPr>
          <w:rFonts w:ascii="Times New Roman" w:hAnsi="Times New Roman"/>
          <w:b/>
          <w:bCs/>
          <w:color w:val="000000" w:themeColor="text1"/>
          <w:spacing w:val="26"/>
          <w:sz w:val="31"/>
          <w14:textFill>
            <w14:solidFill>
              <w14:schemeClr w14:val="tx1"/>
            </w14:solidFill>
          </w14:textFill>
        </w:rPr>
        <w:t>月</w:t>
      </w:r>
    </w:p>
    <w:p>
      <w:pPr>
        <w:tabs>
          <w:tab w:val="left" w:pos="1815"/>
        </w:tabs>
        <w:spacing w:line="600" w:lineRule="exact"/>
        <w:jc w:val="center"/>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lang w:val="zh-CN"/>
          <w14:textFill>
            <w14:solidFill>
              <w14:schemeClr w14:val="tx1"/>
            </w14:solidFill>
          </w14:textFill>
        </w:rPr>
        <w:t>目录</w:t>
      </w:r>
      <w:bookmarkStart w:id="0" w:name="目录"/>
      <w:bookmarkEnd w:id="0"/>
    </w:p>
    <w:p>
      <w:pPr>
        <w:pStyle w:val="14"/>
        <w:tabs>
          <w:tab w:val="right" w:leader="dot" w:pos="8306"/>
        </w:tabs>
      </w:pPr>
      <w:bookmarkStart w:id="1" w:name="_Toc441844047"/>
      <w:bookmarkStart w:id="2" w:name="_Toc427232293"/>
      <w:r>
        <w:rPr>
          <w:rFonts w:ascii="宋体" w:hAnsi="宋体"/>
          <w:color w:val="000000" w:themeColor="text1"/>
          <w:sz w:val="24"/>
          <w14:textFill>
            <w14:solidFill>
              <w14:schemeClr w14:val="tx1"/>
            </w14:solidFill>
          </w14:textFill>
        </w:rPr>
        <w:fldChar w:fldCharType="begin"/>
      </w:r>
      <w:r>
        <w:rPr>
          <w:rFonts w:ascii="宋体" w:hAnsi="宋体"/>
          <w:color w:val="000000" w:themeColor="text1"/>
          <w:sz w:val="24"/>
          <w14:textFill>
            <w14:solidFill>
              <w14:schemeClr w14:val="tx1"/>
            </w14:solidFill>
          </w14:textFill>
        </w:rPr>
        <w:instrText xml:space="preserve"> TOC \o "1-3" \h \z \u </w:instrText>
      </w:r>
      <w:r>
        <w:rPr>
          <w:rFonts w:ascii="宋体" w:hAnsi="宋体"/>
          <w:color w:val="000000" w:themeColor="text1"/>
          <w:sz w:val="24"/>
          <w14:textFill>
            <w14:solidFill>
              <w14:schemeClr w14:val="tx1"/>
            </w14:solidFill>
          </w14:textFill>
        </w:rPr>
        <w:fldChar w:fldCharType="separate"/>
      </w:r>
      <w:r>
        <w:rPr>
          <w:rFonts w:ascii="宋体" w:hAnsi="宋体"/>
          <w:color w:val="000000" w:themeColor="text1"/>
          <w14:textFill>
            <w14:solidFill>
              <w14:schemeClr w14:val="tx1"/>
            </w14:solidFill>
          </w14:textFill>
        </w:rPr>
        <w:fldChar w:fldCharType="begin"/>
      </w:r>
      <w:r>
        <w:rPr>
          <w:rFonts w:ascii="宋体" w:hAnsi="宋体"/>
        </w:rPr>
        <w:instrText xml:space="preserve"> HYPERLINK \l _Toc5933 </w:instrText>
      </w:r>
      <w:r>
        <w:rPr>
          <w:rFonts w:ascii="宋体" w:hAnsi="宋体"/>
        </w:rPr>
        <w:fldChar w:fldCharType="separate"/>
      </w:r>
      <w:r>
        <w:rPr>
          <w:rFonts w:hint="eastAsia" w:ascii="Times New Roman" w:hAnsi="Times New Roman"/>
        </w:rPr>
        <w:t>第一章</w:t>
      </w:r>
      <w:r>
        <w:rPr>
          <w:rFonts w:ascii="Times New Roman" w:hAnsi="Times New Roman"/>
        </w:rPr>
        <w:t xml:space="preserve">  </w:t>
      </w:r>
      <w:r>
        <w:rPr>
          <w:rFonts w:hint="eastAsia" w:ascii="Times New Roman" w:hAnsi="Times New Roman"/>
        </w:rPr>
        <w:t>招标公告</w:t>
      </w:r>
      <w:r>
        <w:tab/>
      </w:r>
      <w:r>
        <w:fldChar w:fldCharType="begin"/>
      </w:r>
      <w:r>
        <w:instrText xml:space="preserve"> PAGEREF _Toc5933 \h </w:instrText>
      </w:r>
      <w:r>
        <w:fldChar w:fldCharType="separate"/>
      </w:r>
      <w:r>
        <w:t>4</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_Toc17373 </w:instrText>
      </w:r>
      <w:r>
        <w:rPr>
          <w:rFonts w:ascii="宋体" w:hAnsi="宋体"/>
        </w:rPr>
        <w:fldChar w:fldCharType="separate"/>
      </w:r>
      <w:r>
        <w:rPr>
          <w:rFonts w:hint="eastAsia" w:ascii="Times New Roman" w:hAnsi="Times New Roman" w:eastAsia="宋体"/>
          <w:bCs/>
          <w:szCs w:val="32"/>
        </w:rPr>
        <w:t>一、</w:t>
      </w:r>
      <w:r>
        <w:rPr>
          <w:rFonts w:ascii="Times New Roman" w:hAnsi="Times New Roman" w:eastAsia="宋体"/>
          <w:bCs/>
          <w:szCs w:val="32"/>
        </w:rPr>
        <w:t xml:space="preserve"> </w:t>
      </w:r>
      <w:r>
        <w:rPr>
          <w:rFonts w:hint="eastAsia" w:ascii="Times New Roman" w:hAnsi="Times New Roman" w:eastAsia="宋体"/>
          <w:bCs/>
          <w:szCs w:val="32"/>
        </w:rPr>
        <w:t>招标公告函</w:t>
      </w:r>
      <w:r>
        <w:tab/>
      </w:r>
      <w:r>
        <w:fldChar w:fldCharType="begin"/>
      </w:r>
      <w:r>
        <w:instrText xml:space="preserve"> PAGEREF _Toc17373 \h </w:instrText>
      </w:r>
      <w:r>
        <w:fldChar w:fldCharType="separate"/>
      </w:r>
      <w:r>
        <w:t>5</w:t>
      </w:r>
      <w:r>
        <w:fldChar w:fldCharType="end"/>
      </w:r>
      <w:r>
        <w:rPr>
          <w:rFonts w:ascii="宋体" w:hAnsi="宋体"/>
          <w:color w:val="000000" w:themeColor="text1"/>
          <w14:textFill>
            <w14:solidFill>
              <w14:schemeClr w14:val="tx1"/>
            </w14:solidFill>
          </w14:textFill>
        </w:rPr>
        <w:fldChar w:fldCharType="end"/>
      </w:r>
    </w:p>
    <w:p>
      <w:pPr>
        <w:pStyle w:val="14"/>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_Toc24850 </w:instrText>
      </w:r>
      <w:r>
        <w:rPr>
          <w:rFonts w:ascii="宋体" w:hAnsi="宋体"/>
        </w:rPr>
        <w:fldChar w:fldCharType="separate"/>
      </w:r>
      <w:r>
        <w:rPr>
          <w:rFonts w:hint="default" w:ascii="Times New Roman" w:hAnsi="Times New Roman"/>
        </w:rPr>
        <w:t xml:space="preserve">第二章 </w:t>
      </w:r>
      <w:r>
        <w:rPr>
          <w:rFonts w:hint="eastAsia" w:ascii="Times New Roman" w:hAnsi="Times New Roman"/>
        </w:rPr>
        <w:t>投标人须知</w:t>
      </w:r>
      <w:r>
        <w:tab/>
      </w:r>
      <w:r>
        <w:fldChar w:fldCharType="begin"/>
      </w:r>
      <w:r>
        <w:instrText xml:space="preserve"> PAGEREF _Toc24850 \h </w:instrText>
      </w:r>
      <w:r>
        <w:fldChar w:fldCharType="separate"/>
      </w:r>
      <w:r>
        <w:t>7</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_Toc8855 </w:instrText>
      </w:r>
      <w:r>
        <w:rPr>
          <w:rFonts w:ascii="宋体" w:hAnsi="宋体"/>
        </w:rPr>
        <w:fldChar w:fldCharType="separate"/>
      </w:r>
      <w:r>
        <w:rPr>
          <w:rFonts w:hint="default" w:ascii="Times New Roman" w:hAnsi="Times New Roman" w:eastAsia="宋体"/>
          <w:bCs/>
          <w:kern w:val="44"/>
        </w:rPr>
        <w:t xml:space="preserve">一、 </w:t>
      </w:r>
      <w:r>
        <w:rPr>
          <w:rFonts w:hint="eastAsia" w:ascii="Times New Roman" w:hAnsi="Times New Roman" w:eastAsia="宋体"/>
          <w:bCs/>
          <w:kern w:val="44"/>
        </w:rPr>
        <w:t>投标人须知前附表</w:t>
      </w:r>
      <w:r>
        <w:tab/>
      </w:r>
      <w:r>
        <w:fldChar w:fldCharType="begin"/>
      </w:r>
      <w:r>
        <w:instrText xml:space="preserve"> PAGEREF _Toc8855 \h </w:instrText>
      </w:r>
      <w:r>
        <w:fldChar w:fldCharType="separate"/>
      </w:r>
      <w:r>
        <w:t>8</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_Toc18892 </w:instrText>
      </w:r>
      <w:r>
        <w:rPr>
          <w:rFonts w:ascii="宋体" w:hAnsi="宋体"/>
        </w:rPr>
        <w:fldChar w:fldCharType="separate"/>
      </w:r>
      <w:r>
        <w:rPr>
          <w:rFonts w:hint="eastAsia" w:ascii="Times New Roman" w:hAnsi="Times New Roman" w:eastAsia="宋体"/>
          <w:bCs/>
          <w:kern w:val="44"/>
        </w:rPr>
        <w:t>二、投标人须知</w:t>
      </w:r>
      <w:r>
        <w:tab/>
      </w:r>
      <w:r>
        <w:fldChar w:fldCharType="begin"/>
      </w:r>
      <w:r>
        <w:instrText xml:space="preserve"> PAGEREF _Toc18892 \h </w:instrText>
      </w:r>
      <w:r>
        <w:fldChar w:fldCharType="separate"/>
      </w:r>
      <w:r>
        <w:t>9</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_Toc11090 </w:instrText>
      </w:r>
      <w:r>
        <w:rPr>
          <w:rFonts w:ascii="宋体" w:hAnsi="宋体"/>
        </w:rPr>
        <w:fldChar w:fldCharType="separate"/>
      </w:r>
      <w:r>
        <w:rPr>
          <w:rFonts w:hint="eastAsia" w:ascii="Times New Roman" w:hAnsi="Times New Roman" w:eastAsia="宋体"/>
          <w:szCs w:val="28"/>
        </w:rPr>
        <w:t>（一）总则</w:t>
      </w:r>
      <w:r>
        <w:tab/>
      </w:r>
      <w:r>
        <w:fldChar w:fldCharType="begin"/>
      </w:r>
      <w:r>
        <w:instrText xml:space="preserve"> PAGEREF _Toc11090 \h </w:instrText>
      </w:r>
      <w:r>
        <w:fldChar w:fldCharType="separate"/>
      </w:r>
      <w:r>
        <w:t>9</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_Toc29186 </w:instrText>
      </w:r>
      <w:r>
        <w:rPr>
          <w:rFonts w:ascii="宋体" w:hAnsi="宋体"/>
        </w:rPr>
        <w:fldChar w:fldCharType="separate"/>
      </w:r>
      <w:r>
        <w:rPr>
          <w:rFonts w:ascii="宋体" w:hAnsi="宋体"/>
          <w:bCs/>
          <w:szCs w:val="22"/>
          <w:lang w:eastAsia="zh-CN"/>
        </w:rPr>
        <w:t xml:space="preserve">1. </w:t>
      </w:r>
      <w:r>
        <w:rPr>
          <w:rFonts w:ascii="宋体" w:hAnsi="宋体"/>
          <w:bCs/>
          <w:szCs w:val="22"/>
        </w:rPr>
        <w:t>招标范围及资金来源</w:t>
      </w:r>
      <w:r>
        <w:tab/>
      </w:r>
      <w:r>
        <w:fldChar w:fldCharType="begin"/>
      </w:r>
      <w:r>
        <w:instrText xml:space="preserve"> PAGEREF _Toc29186 \h </w:instrText>
      </w:r>
      <w:r>
        <w:fldChar w:fldCharType="separate"/>
      </w:r>
      <w:r>
        <w:t>9</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_Toc18969 </w:instrText>
      </w:r>
      <w:r>
        <w:rPr>
          <w:rFonts w:ascii="宋体" w:hAnsi="宋体"/>
        </w:rPr>
        <w:fldChar w:fldCharType="separate"/>
      </w:r>
      <w:r>
        <w:rPr>
          <w:rFonts w:ascii="宋体" w:hAnsi="宋体"/>
          <w:bCs/>
          <w:szCs w:val="22"/>
          <w:lang w:eastAsia="zh-CN"/>
        </w:rPr>
        <w:t xml:space="preserve">2. </w:t>
      </w:r>
      <w:r>
        <w:rPr>
          <w:rFonts w:ascii="宋体" w:hAnsi="宋体"/>
          <w:bCs/>
          <w:szCs w:val="22"/>
        </w:rPr>
        <w:t>定义</w:t>
      </w:r>
      <w:r>
        <w:tab/>
      </w:r>
      <w:r>
        <w:fldChar w:fldCharType="begin"/>
      </w:r>
      <w:r>
        <w:instrText xml:space="preserve"> PAGEREF _Toc18969 \h </w:instrText>
      </w:r>
      <w:r>
        <w:fldChar w:fldCharType="separate"/>
      </w:r>
      <w:r>
        <w:t>9</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_Toc13198 </w:instrText>
      </w:r>
      <w:r>
        <w:rPr>
          <w:rFonts w:ascii="宋体" w:hAnsi="宋体"/>
        </w:rPr>
        <w:fldChar w:fldCharType="separate"/>
      </w:r>
      <w:r>
        <w:rPr>
          <w:rFonts w:ascii="Times New Roman" w:hAnsi="Times New Roman"/>
          <w:bCs/>
          <w:szCs w:val="22"/>
          <w:lang w:eastAsia="zh-CN"/>
        </w:rPr>
        <w:t xml:space="preserve">3. </w:t>
      </w:r>
      <w:r>
        <w:rPr>
          <w:rFonts w:hint="eastAsia" w:ascii="Times New Roman" w:hAnsi="Times New Roman"/>
          <w:bCs/>
          <w:szCs w:val="22"/>
        </w:rPr>
        <w:t>合格的投标人</w:t>
      </w:r>
      <w:r>
        <w:tab/>
      </w:r>
      <w:r>
        <w:fldChar w:fldCharType="begin"/>
      </w:r>
      <w:r>
        <w:instrText xml:space="preserve"> PAGEREF _Toc13198 \h </w:instrText>
      </w:r>
      <w:r>
        <w:fldChar w:fldCharType="separate"/>
      </w:r>
      <w:r>
        <w:t>9</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_Toc32629 </w:instrText>
      </w:r>
      <w:r>
        <w:rPr>
          <w:rFonts w:ascii="宋体" w:hAnsi="宋体"/>
        </w:rPr>
        <w:fldChar w:fldCharType="separate"/>
      </w:r>
      <w:r>
        <w:rPr>
          <w:rFonts w:ascii="宋体" w:hAnsi="宋体"/>
          <w:bCs/>
          <w:szCs w:val="22"/>
          <w:lang w:eastAsia="zh-CN"/>
        </w:rPr>
        <w:t xml:space="preserve">4. </w:t>
      </w:r>
      <w:r>
        <w:rPr>
          <w:rFonts w:ascii="宋体" w:hAnsi="宋体"/>
          <w:bCs/>
          <w:szCs w:val="22"/>
        </w:rPr>
        <w:t>合格的货物和服务</w:t>
      </w:r>
      <w:r>
        <w:tab/>
      </w:r>
      <w:r>
        <w:fldChar w:fldCharType="begin"/>
      </w:r>
      <w:r>
        <w:instrText xml:space="preserve"> PAGEREF _Toc32629 \h </w:instrText>
      </w:r>
      <w:r>
        <w:fldChar w:fldCharType="separate"/>
      </w:r>
      <w:r>
        <w:t>10</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_Toc10910 </w:instrText>
      </w:r>
      <w:r>
        <w:rPr>
          <w:rFonts w:ascii="宋体" w:hAnsi="宋体"/>
        </w:rPr>
        <w:fldChar w:fldCharType="separate"/>
      </w:r>
      <w:r>
        <w:rPr>
          <w:rFonts w:ascii="宋体" w:hAnsi="宋体"/>
          <w:bCs/>
          <w:szCs w:val="22"/>
          <w:lang w:eastAsia="zh-CN"/>
        </w:rPr>
        <w:t xml:space="preserve">5. </w:t>
      </w:r>
      <w:r>
        <w:rPr>
          <w:rFonts w:ascii="宋体" w:hAnsi="宋体"/>
          <w:bCs/>
          <w:szCs w:val="22"/>
        </w:rPr>
        <w:t>投标费用</w:t>
      </w:r>
      <w:r>
        <w:tab/>
      </w:r>
      <w:r>
        <w:fldChar w:fldCharType="begin"/>
      </w:r>
      <w:r>
        <w:instrText xml:space="preserve"> PAGEREF _Toc10910 \h </w:instrText>
      </w:r>
      <w:r>
        <w:fldChar w:fldCharType="separate"/>
      </w:r>
      <w:r>
        <w:t>10</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_Toc17786 </w:instrText>
      </w:r>
      <w:r>
        <w:rPr>
          <w:rFonts w:ascii="宋体" w:hAnsi="宋体"/>
        </w:rPr>
        <w:fldChar w:fldCharType="separate"/>
      </w:r>
      <w:r>
        <w:rPr>
          <w:rFonts w:ascii="宋体" w:hAnsi="宋体"/>
          <w:bCs/>
          <w:szCs w:val="22"/>
          <w:lang w:eastAsia="zh-CN"/>
        </w:rPr>
        <w:t xml:space="preserve">6. </w:t>
      </w:r>
      <w:r>
        <w:rPr>
          <w:rFonts w:ascii="宋体" w:hAnsi="宋体"/>
          <w:bCs/>
          <w:szCs w:val="22"/>
        </w:rPr>
        <w:t>踏勘现场</w:t>
      </w:r>
      <w:r>
        <w:rPr>
          <w:rFonts w:hint="eastAsia" w:ascii="宋体" w:hAnsi="宋体"/>
          <w:bCs/>
          <w:szCs w:val="22"/>
        </w:rPr>
        <w:t>（本项目</w:t>
      </w:r>
      <w:r>
        <w:rPr>
          <w:rFonts w:ascii="宋体" w:hAnsi="宋体"/>
          <w:bCs/>
          <w:szCs w:val="22"/>
        </w:rPr>
        <w:t>不</w:t>
      </w:r>
      <w:r>
        <w:rPr>
          <w:rFonts w:hint="eastAsia" w:ascii="宋体" w:hAnsi="宋体"/>
          <w:bCs/>
          <w:szCs w:val="22"/>
        </w:rPr>
        <w:t>组织踏勘</w:t>
      </w:r>
      <w:r>
        <w:rPr>
          <w:rFonts w:ascii="宋体" w:hAnsi="宋体"/>
          <w:bCs/>
          <w:szCs w:val="22"/>
        </w:rPr>
        <w:t>现场</w:t>
      </w:r>
      <w:r>
        <w:rPr>
          <w:rFonts w:hint="eastAsia" w:ascii="宋体" w:hAnsi="宋体"/>
          <w:bCs/>
          <w:szCs w:val="22"/>
        </w:rPr>
        <w:t>）</w:t>
      </w:r>
      <w:r>
        <w:tab/>
      </w:r>
      <w:r>
        <w:fldChar w:fldCharType="begin"/>
      </w:r>
      <w:r>
        <w:instrText xml:space="preserve"> PAGEREF _Toc17786 \h </w:instrText>
      </w:r>
      <w:r>
        <w:fldChar w:fldCharType="separate"/>
      </w:r>
      <w:r>
        <w:t>11</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_Toc1295 </w:instrText>
      </w:r>
      <w:r>
        <w:rPr>
          <w:rFonts w:ascii="宋体" w:hAnsi="宋体"/>
        </w:rPr>
        <w:fldChar w:fldCharType="separate"/>
      </w:r>
      <w:r>
        <w:rPr>
          <w:rFonts w:hint="eastAsia" w:ascii="Times New Roman" w:hAnsi="Times New Roman" w:eastAsia="宋体"/>
          <w:szCs w:val="28"/>
        </w:rPr>
        <w:t>（二）招标文件</w:t>
      </w:r>
      <w:r>
        <w:tab/>
      </w:r>
      <w:r>
        <w:fldChar w:fldCharType="begin"/>
      </w:r>
      <w:r>
        <w:instrText xml:space="preserve"> PAGEREF _Toc1295 \h </w:instrText>
      </w:r>
      <w:r>
        <w:fldChar w:fldCharType="separate"/>
      </w:r>
      <w:r>
        <w:t>11</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_Toc9794 </w:instrText>
      </w:r>
      <w:r>
        <w:rPr>
          <w:rFonts w:ascii="宋体" w:hAnsi="宋体"/>
        </w:rPr>
        <w:fldChar w:fldCharType="separate"/>
      </w:r>
      <w:r>
        <w:rPr>
          <w:rFonts w:ascii="Times New Roman" w:hAnsi="Times New Roman"/>
          <w:bCs/>
          <w:szCs w:val="22"/>
          <w:lang w:eastAsia="zh-CN"/>
        </w:rPr>
        <w:t xml:space="preserve">7. </w:t>
      </w:r>
      <w:r>
        <w:rPr>
          <w:rFonts w:hint="eastAsia" w:ascii="Times New Roman" w:hAnsi="Times New Roman"/>
          <w:bCs/>
          <w:szCs w:val="22"/>
        </w:rPr>
        <w:t>招标文件的组成</w:t>
      </w:r>
      <w:r>
        <w:tab/>
      </w:r>
      <w:r>
        <w:fldChar w:fldCharType="begin"/>
      </w:r>
      <w:r>
        <w:instrText xml:space="preserve"> PAGEREF _Toc9794 \h </w:instrText>
      </w:r>
      <w:r>
        <w:fldChar w:fldCharType="separate"/>
      </w:r>
      <w:r>
        <w:t>11</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_Toc12670 </w:instrText>
      </w:r>
      <w:r>
        <w:rPr>
          <w:rFonts w:ascii="宋体" w:hAnsi="宋体"/>
        </w:rPr>
        <w:fldChar w:fldCharType="separate"/>
      </w:r>
      <w:r>
        <w:rPr>
          <w:rFonts w:ascii="宋体" w:hAnsi="宋体"/>
          <w:bCs/>
          <w:szCs w:val="22"/>
          <w:lang w:eastAsia="zh-CN"/>
        </w:rPr>
        <w:t xml:space="preserve">8. </w:t>
      </w:r>
      <w:r>
        <w:rPr>
          <w:rFonts w:ascii="宋体" w:hAnsi="宋体"/>
          <w:bCs/>
          <w:szCs w:val="22"/>
        </w:rPr>
        <w:t>招标文件的</w:t>
      </w:r>
      <w:r>
        <w:rPr>
          <w:rFonts w:hint="eastAsia" w:ascii="宋体" w:hAnsi="宋体"/>
          <w:bCs/>
          <w:szCs w:val="22"/>
        </w:rPr>
        <w:t>异议</w:t>
      </w:r>
      <w:r>
        <w:tab/>
      </w:r>
      <w:r>
        <w:fldChar w:fldCharType="begin"/>
      </w:r>
      <w:r>
        <w:instrText xml:space="preserve"> PAGEREF _Toc12670 \h </w:instrText>
      </w:r>
      <w:r>
        <w:fldChar w:fldCharType="separate"/>
      </w:r>
      <w:r>
        <w:t>11</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_Toc22334 </w:instrText>
      </w:r>
      <w:r>
        <w:rPr>
          <w:rFonts w:ascii="宋体" w:hAnsi="宋体"/>
        </w:rPr>
        <w:fldChar w:fldCharType="separate"/>
      </w:r>
      <w:r>
        <w:rPr>
          <w:rFonts w:ascii="宋体" w:hAnsi="宋体"/>
          <w:bCs/>
          <w:szCs w:val="22"/>
          <w:lang w:eastAsia="zh-CN"/>
        </w:rPr>
        <w:t xml:space="preserve">9. </w:t>
      </w:r>
      <w:r>
        <w:rPr>
          <w:rFonts w:ascii="宋体" w:hAnsi="宋体"/>
          <w:bCs/>
          <w:szCs w:val="22"/>
        </w:rPr>
        <w:t>招标文件的</w:t>
      </w:r>
      <w:r>
        <w:rPr>
          <w:rFonts w:hint="eastAsia" w:ascii="宋体" w:hAnsi="宋体"/>
          <w:bCs/>
          <w:szCs w:val="22"/>
        </w:rPr>
        <w:t>澄清及</w:t>
      </w:r>
      <w:r>
        <w:rPr>
          <w:rFonts w:ascii="宋体" w:hAnsi="宋体"/>
          <w:bCs/>
          <w:szCs w:val="22"/>
        </w:rPr>
        <w:t>修改</w:t>
      </w:r>
      <w:r>
        <w:tab/>
      </w:r>
      <w:r>
        <w:fldChar w:fldCharType="begin"/>
      </w:r>
      <w:r>
        <w:instrText xml:space="preserve"> PAGEREF _Toc22334 \h </w:instrText>
      </w:r>
      <w:r>
        <w:fldChar w:fldCharType="separate"/>
      </w:r>
      <w:r>
        <w:t>11</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_Toc5076 </w:instrText>
      </w:r>
      <w:r>
        <w:rPr>
          <w:rFonts w:ascii="宋体" w:hAnsi="宋体"/>
        </w:rPr>
        <w:fldChar w:fldCharType="separate"/>
      </w:r>
      <w:r>
        <w:rPr>
          <w:rFonts w:ascii="宋体" w:hAnsi="宋体" w:eastAsia="宋体"/>
          <w:szCs w:val="22"/>
        </w:rPr>
        <w:t>（三）投标文件编制</w:t>
      </w:r>
      <w:r>
        <w:tab/>
      </w:r>
      <w:r>
        <w:fldChar w:fldCharType="begin"/>
      </w:r>
      <w:r>
        <w:instrText xml:space="preserve"> PAGEREF _Toc5076 \h </w:instrText>
      </w:r>
      <w:r>
        <w:fldChar w:fldCharType="separate"/>
      </w:r>
      <w:r>
        <w:t>12</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_Toc2047 </w:instrText>
      </w:r>
      <w:r>
        <w:rPr>
          <w:rFonts w:ascii="宋体" w:hAnsi="宋体"/>
        </w:rPr>
        <w:fldChar w:fldCharType="separate"/>
      </w:r>
      <w:r>
        <w:rPr>
          <w:rFonts w:ascii="宋体" w:hAnsi="宋体"/>
          <w:bCs/>
          <w:szCs w:val="22"/>
          <w:lang w:eastAsia="zh-CN"/>
        </w:rPr>
        <w:t xml:space="preserve">10. </w:t>
      </w:r>
      <w:r>
        <w:rPr>
          <w:rFonts w:ascii="宋体" w:hAnsi="宋体"/>
          <w:bCs/>
          <w:szCs w:val="22"/>
        </w:rPr>
        <w:t>投标文件的语言及度量衡单位</w:t>
      </w:r>
      <w:r>
        <w:tab/>
      </w:r>
      <w:r>
        <w:fldChar w:fldCharType="begin"/>
      </w:r>
      <w:r>
        <w:instrText xml:space="preserve"> PAGEREF _Toc2047 \h </w:instrText>
      </w:r>
      <w:r>
        <w:fldChar w:fldCharType="separate"/>
      </w:r>
      <w:r>
        <w:t>12</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_Toc21350 </w:instrText>
      </w:r>
      <w:r>
        <w:rPr>
          <w:rFonts w:ascii="宋体" w:hAnsi="宋体"/>
        </w:rPr>
        <w:fldChar w:fldCharType="separate"/>
      </w:r>
      <w:r>
        <w:rPr>
          <w:rFonts w:ascii="宋体" w:hAnsi="宋体"/>
          <w:bCs/>
          <w:szCs w:val="22"/>
          <w:lang w:eastAsia="zh-CN"/>
        </w:rPr>
        <w:t xml:space="preserve">11. </w:t>
      </w:r>
      <w:r>
        <w:rPr>
          <w:rFonts w:ascii="宋体" w:hAnsi="宋体"/>
          <w:bCs/>
          <w:szCs w:val="22"/>
        </w:rPr>
        <w:t>投标文件构成</w:t>
      </w:r>
      <w:r>
        <w:tab/>
      </w:r>
      <w:r>
        <w:fldChar w:fldCharType="begin"/>
      </w:r>
      <w:r>
        <w:instrText xml:space="preserve"> PAGEREF _Toc21350 \h </w:instrText>
      </w:r>
      <w:r>
        <w:fldChar w:fldCharType="separate"/>
      </w:r>
      <w:r>
        <w:t>12</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_Toc18539 </w:instrText>
      </w:r>
      <w:r>
        <w:rPr>
          <w:rFonts w:ascii="宋体" w:hAnsi="宋体"/>
        </w:rPr>
        <w:fldChar w:fldCharType="separate"/>
      </w:r>
      <w:r>
        <w:rPr>
          <w:rFonts w:ascii="宋体" w:hAnsi="宋体"/>
          <w:bCs/>
          <w:szCs w:val="22"/>
          <w:lang w:eastAsia="zh-CN"/>
        </w:rPr>
        <w:t xml:space="preserve">12. </w:t>
      </w:r>
      <w:r>
        <w:rPr>
          <w:rFonts w:ascii="宋体" w:hAnsi="宋体"/>
          <w:bCs/>
          <w:szCs w:val="22"/>
        </w:rPr>
        <w:t>投标文件格式</w:t>
      </w:r>
      <w:r>
        <w:tab/>
      </w:r>
      <w:r>
        <w:fldChar w:fldCharType="begin"/>
      </w:r>
      <w:r>
        <w:instrText xml:space="preserve"> PAGEREF _Toc18539 \h </w:instrText>
      </w:r>
      <w:r>
        <w:fldChar w:fldCharType="separate"/>
      </w:r>
      <w:r>
        <w:t>13</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_Toc14045 </w:instrText>
      </w:r>
      <w:r>
        <w:rPr>
          <w:rFonts w:ascii="宋体" w:hAnsi="宋体"/>
        </w:rPr>
        <w:fldChar w:fldCharType="separate"/>
      </w:r>
      <w:r>
        <w:rPr>
          <w:rFonts w:ascii="宋体" w:hAnsi="宋体"/>
          <w:bCs/>
          <w:szCs w:val="22"/>
          <w:lang w:eastAsia="zh-CN"/>
        </w:rPr>
        <w:t xml:space="preserve">13. </w:t>
      </w:r>
      <w:r>
        <w:rPr>
          <w:rFonts w:ascii="宋体" w:hAnsi="宋体"/>
          <w:bCs/>
          <w:szCs w:val="22"/>
        </w:rPr>
        <w:t>投标文件的份数和签署</w:t>
      </w:r>
      <w:r>
        <w:tab/>
      </w:r>
      <w:r>
        <w:fldChar w:fldCharType="begin"/>
      </w:r>
      <w:r>
        <w:instrText xml:space="preserve"> PAGEREF _Toc14045 \h </w:instrText>
      </w:r>
      <w:r>
        <w:fldChar w:fldCharType="separate"/>
      </w:r>
      <w:r>
        <w:t>13</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_Toc18810 </w:instrText>
      </w:r>
      <w:r>
        <w:rPr>
          <w:rFonts w:ascii="宋体" w:hAnsi="宋体"/>
        </w:rPr>
        <w:fldChar w:fldCharType="separate"/>
      </w:r>
      <w:r>
        <w:rPr>
          <w:rFonts w:ascii="宋体" w:hAnsi="宋体"/>
          <w:bCs/>
          <w:szCs w:val="22"/>
          <w:lang w:eastAsia="zh-CN"/>
        </w:rPr>
        <w:t xml:space="preserve">14. </w:t>
      </w:r>
      <w:r>
        <w:rPr>
          <w:rFonts w:ascii="宋体" w:hAnsi="宋体"/>
          <w:bCs/>
          <w:szCs w:val="22"/>
        </w:rPr>
        <w:t>投标报价和货币</w:t>
      </w:r>
      <w:r>
        <w:tab/>
      </w:r>
      <w:r>
        <w:fldChar w:fldCharType="begin"/>
      </w:r>
      <w:r>
        <w:instrText xml:space="preserve"> PAGEREF _Toc18810 \h </w:instrText>
      </w:r>
      <w:r>
        <w:fldChar w:fldCharType="separate"/>
      </w:r>
      <w:r>
        <w:t>13</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_Toc25721 </w:instrText>
      </w:r>
      <w:r>
        <w:rPr>
          <w:rFonts w:ascii="宋体" w:hAnsi="宋体"/>
        </w:rPr>
        <w:fldChar w:fldCharType="separate"/>
      </w:r>
      <w:r>
        <w:rPr>
          <w:rFonts w:ascii="宋体" w:hAnsi="宋体"/>
          <w:bCs/>
          <w:szCs w:val="22"/>
          <w:lang w:eastAsia="zh-CN"/>
        </w:rPr>
        <w:t xml:space="preserve">15. </w:t>
      </w:r>
      <w:r>
        <w:rPr>
          <w:rFonts w:ascii="宋体" w:hAnsi="宋体"/>
          <w:bCs/>
          <w:szCs w:val="22"/>
        </w:rPr>
        <w:t>证明合格投标人的资格文件</w:t>
      </w:r>
      <w:r>
        <w:tab/>
      </w:r>
      <w:r>
        <w:fldChar w:fldCharType="begin"/>
      </w:r>
      <w:r>
        <w:instrText xml:space="preserve"> PAGEREF _Toc25721 \h </w:instrText>
      </w:r>
      <w:r>
        <w:fldChar w:fldCharType="separate"/>
      </w:r>
      <w:r>
        <w:t>14</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_Toc5354 </w:instrText>
      </w:r>
      <w:r>
        <w:rPr>
          <w:rFonts w:ascii="宋体" w:hAnsi="宋体"/>
        </w:rPr>
        <w:fldChar w:fldCharType="separate"/>
      </w:r>
      <w:r>
        <w:rPr>
          <w:rFonts w:ascii="宋体" w:hAnsi="宋体"/>
          <w:szCs w:val="22"/>
          <w:lang w:eastAsia="zh-CN"/>
        </w:rPr>
        <w:t xml:space="preserve">16. </w:t>
      </w:r>
      <w:r>
        <w:rPr>
          <w:rFonts w:ascii="宋体" w:hAnsi="宋体"/>
          <w:bCs/>
          <w:szCs w:val="22"/>
        </w:rPr>
        <w:t>证明</w:t>
      </w:r>
      <w:r>
        <w:rPr>
          <w:rFonts w:hint="eastAsia" w:ascii="宋体" w:hAnsi="宋体"/>
          <w:bCs/>
          <w:szCs w:val="22"/>
        </w:rPr>
        <w:t>货物或服务</w:t>
      </w:r>
      <w:r>
        <w:rPr>
          <w:rFonts w:ascii="宋体" w:hAnsi="宋体"/>
          <w:bCs/>
          <w:szCs w:val="22"/>
        </w:rPr>
        <w:t>的合格性和符合招标文件规定的文件</w:t>
      </w:r>
      <w:r>
        <w:tab/>
      </w:r>
      <w:r>
        <w:fldChar w:fldCharType="begin"/>
      </w:r>
      <w:r>
        <w:instrText xml:space="preserve"> PAGEREF _Toc5354 \h </w:instrText>
      </w:r>
      <w:r>
        <w:fldChar w:fldCharType="separate"/>
      </w:r>
      <w:r>
        <w:t>14</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_Toc20857 </w:instrText>
      </w:r>
      <w:r>
        <w:rPr>
          <w:rFonts w:ascii="宋体" w:hAnsi="宋体"/>
        </w:rPr>
        <w:fldChar w:fldCharType="separate"/>
      </w:r>
      <w:r>
        <w:rPr>
          <w:rFonts w:ascii="宋体" w:hAnsi="宋体"/>
          <w:bCs/>
          <w:szCs w:val="22"/>
          <w:lang w:eastAsia="zh-CN"/>
        </w:rPr>
        <w:t xml:space="preserve">17. </w:t>
      </w:r>
      <w:r>
        <w:rPr>
          <w:rFonts w:ascii="宋体" w:hAnsi="宋体"/>
          <w:bCs/>
          <w:szCs w:val="22"/>
        </w:rPr>
        <w:t>投标保证金</w:t>
      </w:r>
      <w:r>
        <w:tab/>
      </w:r>
      <w:r>
        <w:fldChar w:fldCharType="begin"/>
      </w:r>
      <w:r>
        <w:instrText xml:space="preserve"> PAGEREF _Toc20857 \h </w:instrText>
      </w:r>
      <w:r>
        <w:fldChar w:fldCharType="separate"/>
      </w:r>
      <w:r>
        <w:t>14</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_Toc31634 </w:instrText>
      </w:r>
      <w:r>
        <w:rPr>
          <w:rFonts w:ascii="宋体" w:hAnsi="宋体"/>
        </w:rPr>
        <w:fldChar w:fldCharType="separate"/>
      </w:r>
      <w:r>
        <w:rPr>
          <w:rFonts w:ascii="宋体" w:hAnsi="宋体"/>
          <w:bCs/>
          <w:szCs w:val="22"/>
          <w:lang w:eastAsia="zh-CN"/>
        </w:rPr>
        <w:t xml:space="preserve">18. </w:t>
      </w:r>
      <w:r>
        <w:rPr>
          <w:rFonts w:ascii="宋体" w:hAnsi="宋体"/>
          <w:bCs/>
          <w:szCs w:val="22"/>
        </w:rPr>
        <w:t>投标有效期</w:t>
      </w:r>
      <w:r>
        <w:tab/>
      </w:r>
      <w:r>
        <w:fldChar w:fldCharType="begin"/>
      </w:r>
      <w:r>
        <w:instrText xml:space="preserve"> PAGEREF _Toc31634 \h </w:instrText>
      </w:r>
      <w:r>
        <w:fldChar w:fldCharType="separate"/>
      </w:r>
      <w:r>
        <w:t>15</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_Toc16809 </w:instrText>
      </w:r>
      <w:r>
        <w:rPr>
          <w:rFonts w:ascii="宋体" w:hAnsi="宋体"/>
        </w:rPr>
        <w:fldChar w:fldCharType="separate"/>
      </w:r>
      <w:r>
        <w:rPr>
          <w:rFonts w:ascii="宋体" w:hAnsi="宋体" w:eastAsia="宋体"/>
          <w:szCs w:val="22"/>
        </w:rPr>
        <w:t>（四）投标文件的递交</w:t>
      </w:r>
      <w:r>
        <w:tab/>
      </w:r>
      <w:r>
        <w:fldChar w:fldCharType="begin"/>
      </w:r>
      <w:r>
        <w:instrText xml:space="preserve"> PAGEREF _Toc16809 \h </w:instrText>
      </w:r>
      <w:r>
        <w:fldChar w:fldCharType="separate"/>
      </w:r>
      <w:r>
        <w:t>15</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_Toc14129 </w:instrText>
      </w:r>
      <w:r>
        <w:rPr>
          <w:rFonts w:ascii="宋体" w:hAnsi="宋体"/>
        </w:rPr>
        <w:fldChar w:fldCharType="separate"/>
      </w:r>
      <w:r>
        <w:rPr>
          <w:rFonts w:ascii="宋体" w:hAnsi="宋体"/>
          <w:bCs/>
          <w:szCs w:val="22"/>
          <w:lang w:eastAsia="zh-CN"/>
        </w:rPr>
        <w:t xml:space="preserve">19. </w:t>
      </w:r>
      <w:r>
        <w:rPr>
          <w:rFonts w:ascii="宋体" w:hAnsi="宋体"/>
          <w:bCs/>
          <w:szCs w:val="22"/>
        </w:rPr>
        <w:t>投标文件的装订、密封和标记</w:t>
      </w:r>
      <w:r>
        <w:tab/>
      </w:r>
      <w:r>
        <w:fldChar w:fldCharType="begin"/>
      </w:r>
      <w:r>
        <w:instrText xml:space="preserve"> PAGEREF _Toc14129 \h </w:instrText>
      </w:r>
      <w:r>
        <w:fldChar w:fldCharType="separate"/>
      </w:r>
      <w:r>
        <w:t>15</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_Toc95 </w:instrText>
      </w:r>
      <w:r>
        <w:rPr>
          <w:rFonts w:ascii="宋体" w:hAnsi="宋体"/>
        </w:rPr>
        <w:fldChar w:fldCharType="separate"/>
      </w:r>
      <w:r>
        <w:rPr>
          <w:rFonts w:ascii="宋体" w:hAnsi="宋体"/>
          <w:bCs/>
          <w:szCs w:val="22"/>
          <w:lang w:eastAsia="zh-CN"/>
        </w:rPr>
        <w:t xml:space="preserve">20. </w:t>
      </w:r>
      <w:r>
        <w:rPr>
          <w:rFonts w:ascii="宋体" w:hAnsi="宋体"/>
          <w:bCs/>
          <w:szCs w:val="22"/>
        </w:rPr>
        <w:t>投标截止时间</w:t>
      </w:r>
      <w:r>
        <w:tab/>
      </w:r>
      <w:r>
        <w:fldChar w:fldCharType="begin"/>
      </w:r>
      <w:r>
        <w:instrText xml:space="preserve"> PAGEREF _Toc95 \h </w:instrText>
      </w:r>
      <w:r>
        <w:fldChar w:fldCharType="separate"/>
      </w:r>
      <w:r>
        <w:t>16</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_Toc25592 </w:instrText>
      </w:r>
      <w:r>
        <w:rPr>
          <w:rFonts w:ascii="宋体" w:hAnsi="宋体"/>
        </w:rPr>
        <w:fldChar w:fldCharType="separate"/>
      </w:r>
      <w:r>
        <w:rPr>
          <w:rFonts w:ascii="宋体" w:hAnsi="宋体"/>
          <w:bCs/>
          <w:szCs w:val="22"/>
          <w:lang w:eastAsia="zh-CN"/>
        </w:rPr>
        <w:t xml:space="preserve">21. </w:t>
      </w:r>
      <w:r>
        <w:rPr>
          <w:rFonts w:ascii="宋体" w:hAnsi="宋体"/>
          <w:bCs/>
          <w:szCs w:val="22"/>
        </w:rPr>
        <w:t>迟交的投标文件</w:t>
      </w:r>
      <w:r>
        <w:tab/>
      </w:r>
      <w:r>
        <w:fldChar w:fldCharType="begin"/>
      </w:r>
      <w:r>
        <w:instrText xml:space="preserve"> PAGEREF _Toc25592 \h </w:instrText>
      </w:r>
      <w:r>
        <w:fldChar w:fldCharType="separate"/>
      </w:r>
      <w:r>
        <w:t>16</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_Toc1650 </w:instrText>
      </w:r>
      <w:r>
        <w:rPr>
          <w:rFonts w:ascii="宋体" w:hAnsi="宋体"/>
        </w:rPr>
        <w:fldChar w:fldCharType="separate"/>
      </w:r>
      <w:r>
        <w:rPr>
          <w:rFonts w:ascii="宋体" w:hAnsi="宋体"/>
          <w:bCs/>
          <w:szCs w:val="22"/>
          <w:lang w:eastAsia="zh-CN"/>
        </w:rPr>
        <w:t xml:space="preserve">22. </w:t>
      </w:r>
      <w:r>
        <w:rPr>
          <w:rFonts w:ascii="宋体" w:hAnsi="宋体"/>
          <w:bCs/>
          <w:szCs w:val="22"/>
        </w:rPr>
        <w:t>投标文件的修改与撤回</w:t>
      </w:r>
      <w:r>
        <w:tab/>
      </w:r>
      <w:r>
        <w:fldChar w:fldCharType="begin"/>
      </w:r>
      <w:r>
        <w:instrText xml:space="preserve"> PAGEREF _Toc1650 \h </w:instrText>
      </w:r>
      <w:r>
        <w:fldChar w:fldCharType="separate"/>
      </w:r>
      <w:r>
        <w:t>16</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_Toc22303 </w:instrText>
      </w:r>
      <w:r>
        <w:rPr>
          <w:rFonts w:ascii="宋体" w:hAnsi="宋体"/>
        </w:rPr>
        <w:fldChar w:fldCharType="separate"/>
      </w:r>
      <w:r>
        <w:rPr>
          <w:rFonts w:ascii="宋体" w:hAnsi="宋体" w:eastAsia="宋体"/>
          <w:szCs w:val="22"/>
        </w:rPr>
        <w:t>（五）开标与评标</w:t>
      </w:r>
      <w:r>
        <w:tab/>
      </w:r>
      <w:r>
        <w:fldChar w:fldCharType="begin"/>
      </w:r>
      <w:r>
        <w:instrText xml:space="preserve"> PAGEREF _Toc22303 \h </w:instrText>
      </w:r>
      <w:r>
        <w:fldChar w:fldCharType="separate"/>
      </w:r>
      <w:r>
        <w:t>16</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_Toc7417 </w:instrText>
      </w:r>
      <w:r>
        <w:rPr>
          <w:rFonts w:ascii="宋体" w:hAnsi="宋体"/>
        </w:rPr>
        <w:fldChar w:fldCharType="separate"/>
      </w:r>
      <w:r>
        <w:rPr>
          <w:rFonts w:ascii="宋体" w:hAnsi="宋体"/>
          <w:bCs/>
          <w:szCs w:val="22"/>
          <w:lang w:eastAsia="zh-CN"/>
        </w:rPr>
        <w:t xml:space="preserve">23. </w:t>
      </w:r>
      <w:r>
        <w:rPr>
          <w:rFonts w:ascii="宋体" w:hAnsi="宋体"/>
          <w:bCs/>
          <w:szCs w:val="22"/>
        </w:rPr>
        <w:t>开标</w:t>
      </w:r>
      <w:r>
        <w:tab/>
      </w:r>
      <w:r>
        <w:fldChar w:fldCharType="begin"/>
      </w:r>
      <w:r>
        <w:instrText xml:space="preserve"> PAGEREF _Toc7417 \h </w:instrText>
      </w:r>
      <w:r>
        <w:fldChar w:fldCharType="separate"/>
      </w:r>
      <w:r>
        <w:t>16</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_Toc17207 </w:instrText>
      </w:r>
      <w:r>
        <w:rPr>
          <w:rFonts w:ascii="宋体" w:hAnsi="宋体"/>
        </w:rPr>
        <w:fldChar w:fldCharType="separate"/>
      </w:r>
      <w:r>
        <w:rPr>
          <w:rFonts w:ascii="宋体" w:hAnsi="宋体"/>
          <w:bCs/>
          <w:szCs w:val="22"/>
          <w:lang w:eastAsia="zh-CN"/>
        </w:rPr>
        <w:t xml:space="preserve">24. </w:t>
      </w:r>
      <w:r>
        <w:rPr>
          <w:rFonts w:ascii="宋体" w:hAnsi="宋体"/>
          <w:bCs/>
          <w:szCs w:val="22"/>
        </w:rPr>
        <w:t>评标委员会</w:t>
      </w:r>
      <w:r>
        <w:tab/>
      </w:r>
      <w:r>
        <w:fldChar w:fldCharType="begin"/>
      </w:r>
      <w:r>
        <w:instrText xml:space="preserve"> PAGEREF _Toc17207 \h </w:instrText>
      </w:r>
      <w:r>
        <w:fldChar w:fldCharType="separate"/>
      </w:r>
      <w:r>
        <w:t>17</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_Toc19144 </w:instrText>
      </w:r>
      <w:r>
        <w:rPr>
          <w:rFonts w:ascii="宋体" w:hAnsi="宋体"/>
        </w:rPr>
        <w:fldChar w:fldCharType="separate"/>
      </w:r>
      <w:r>
        <w:rPr>
          <w:rFonts w:ascii="宋体" w:hAnsi="宋体"/>
          <w:bCs/>
          <w:szCs w:val="22"/>
          <w:lang w:eastAsia="zh-CN"/>
        </w:rPr>
        <w:t xml:space="preserve">25. </w:t>
      </w:r>
      <w:r>
        <w:rPr>
          <w:rFonts w:hint="eastAsia" w:ascii="宋体" w:hAnsi="宋体"/>
          <w:bCs/>
          <w:szCs w:val="22"/>
        </w:rPr>
        <w:t>否决投标的规定</w:t>
      </w:r>
      <w:r>
        <w:tab/>
      </w:r>
      <w:r>
        <w:fldChar w:fldCharType="begin"/>
      </w:r>
      <w:r>
        <w:instrText xml:space="preserve"> PAGEREF _Toc19144 \h </w:instrText>
      </w:r>
      <w:r>
        <w:fldChar w:fldCharType="separate"/>
      </w:r>
      <w:r>
        <w:t>17</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_Toc24615 </w:instrText>
      </w:r>
      <w:r>
        <w:rPr>
          <w:rFonts w:ascii="宋体" w:hAnsi="宋体"/>
        </w:rPr>
        <w:fldChar w:fldCharType="separate"/>
      </w:r>
      <w:r>
        <w:rPr>
          <w:rFonts w:ascii="宋体" w:hAnsi="宋体"/>
          <w:bCs/>
          <w:szCs w:val="22"/>
          <w:lang w:eastAsia="zh-CN"/>
        </w:rPr>
        <w:t xml:space="preserve">26. </w:t>
      </w:r>
      <w:r>
        <w:rPr>
          <w:rFonts w:hint="eastAsia" w:ascii="宋体" w:hAnsi="宋体"/>
          <w:bCs/>
          <w:szCs w:val="22"/>
        </w:rPr>
        <w:t>定</w:t>
      </w:r>
      <w:r>
        <w:rPr>
          <w:rFonts w:ascii="宋体" w:hAnsi="宋体"/>
          <w:bCs/>
          <w:szCs w:val="22"/>
        </w:rPr>
        <w:t>标原则及方法</w:t>
      </w:r>
      <w:r>
        <w:tab/>
      </w:r>
      <w:r>
        <w:fldChar w:fldCharType="begin"/>
      </w:r>
      <w:r>
        <w:instrText xml:space="preserve"> PAGEREF _Toc24615 \h </w:instrText>
      </w:r>
      <w:r>
        <w:fldChar w:fldCharType="separate"/>
      </w:r>
      <w:r>
        <w:t>18</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_Toc2819 </w:instrText>
      </w:r>
      <w:r>
        <w:rPr>
          <w:rFonts w:ascii="宋体" w:hAnsi="宋体"/>
        </w:rPr>
        <w:fldChar w:fldCharType="separate"/>
      </w:r>
      <w:r>
        <w:rPr>
          <w:rFonts w:ascii="宋体" w:hAnsi="宋体"/>
          <w:bCs/>
          <w:szCs w:val="22"/>
          <w:lang w:eastAsia="zh-CN"/>
        </w:rPr>
        <w:t xml:space="preserve">27. </w:t>
      </w:r>
      <w:r>
        <w:rPr>
          <w:rFonts w:ascii="宋体" w:hAnsi="宋体"/>
          <w:bCs/>
          <w:szCs w:val="22"/>
        </w:rPr>
        <w:t>评标结果公示</w:t>
      </w:r>
      <w:r>
        <w:rPr>
          <w:rFonts w:hint="eastAsia" w:ascii="宋体" w:hAnsi="宋体"/>
          <w:bCs/>
          <w:szCs w:val="22"/>
        </w:rPr>
        <w:t>及异议、投诉</w:t>
      </w:r>
      <w:r>
        <w:tab/>
      </w:r>
      <w:r>
        <w:fldChar w:fldCharType="begin"/>
      </w:r>
      <w:r>
        <w:instrText xml:space="preserve"> PAGEREF _Toc2819 \h </w:instrText>
      </w:r>
      <w:r>
        <w:fldChar w:fldCharType="separate"/>
      </w:r>
      <w:r>
        <w:t>18</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_Toc15346 </w:instrText>
      </w:r>
      <w:r>
        <w:rPr>
          <w:rFonts w:ascii="宋体" w:hAnsi="宋体"/>
        </w:rPr>
        <w:fldChar w:fldCharType="separate"/>
      </w:r>
      <w:r>
        <w:rPr>
          <w:rFonts w:ascii="宋体" w:hAnsi="宋体"/>
          <w:bCs/>
          <w:szCs w:val="22"/>
          <w:lang w:eastAsia="zh-CN"/>
        </w:rPr>
        <w:t xml:space="preserve">28. </w:t>
      </w:r>
      <w:r>
        <w:rPr>
          <w:rFonts w:hint="eastAsia" w:ascii="宋体" w:hAnsi="宋体"/>
          <w:bCs/>
          <w:szCs w:val="22"/>
        </w:rPr>
        <w:t>真实性审查</w:t>
      </w:r>
      <w:r>
        <w:tab/>
      </w:r>
      <w:r>
        <w:fldChar w:fldCharType="begin"/>
      </w:r>
      <w:r>
        <w:instrText xml:space="preserve"> PAGEREF _Toc15346 \h </w:instrText>
      </w:r>
      <w:r>
        <w:fldChar w:fldCharType="separate"/>
      </w:r>
      <w:r>
        <w:t>18</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_Toc32078 </w:instrText>
      </w:r>
      <w:r>
        <w:rPr>
          <w:rFonts w:ascii="宋体" w:hAnsi="宋体"/>
        </w:rPr>
        <w:fldChar w:fldCharType="separate"/>
      </w:r>
      <w:r>
        <w:rPr>
          <w:rFonts w:ascii="宋体" w:hAnsi="宋体"/>
          <w:bCs/>
          <w:szCs w:val="22"/>
          <w:lang w:eastAsia="zh-CN"/>
        </w:rPr>
        <w:t xml:space="preserve">29. </w:t>
      </w:r>
      <w:r>
        <w:rPr>
          <w:rFonts w:ascii="宋体" w:hAnsi="宋体"/>
          <w:bCs/>
          <w:szCs w:val="22"/>
        </w:rPr>
        <w:t>中标通知书</w:t>
      </w:r>
      <w:r>
        <w:tab/>
      </w:r>
      <w:r>
        <w:fldChar w:fldCharType="begin"/>
      </w:r>
      <w:r>
        <w:instrText xml:space="preserve"> PAGEREF _Toc32078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_Toc17073 </w:instrText>
      </w:r>
      <w:r>
        <w:rPr>
          <w:rFonts w:ascii="宋体" w:hAnsi="宋体"/>
        </w:rPr>
        <w:fldChar w:fldCharType="separate"/>
      </w:r>
      <w:r>
        <w:rPr>
          <w:rFonts w:ascii="宋体" w:hAnsi="宋体" w:eastAsia="宋体"/>
          <w:szCs w:val="22"/>
        </w:rPr>
        <w:t>（六）合同的授予</w:t>
      </w:r>
      <w:r>
        <w:tab/>
      </w:r>
      <w:r>
        <w:fldChar w:fldCharType="begin"/>
      </w:r>
      <w:r>
        <w:instrText xml:space="preserve"> PAGEREF _Toc17073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_Toc1109 </w:instrText>
      </w:r>
      <w:r>
        <w:rPr>
          <w:rFonts w:ascii="宋体" w:hAnsi="宋体"/>
        </w:rPr>
        <w:fldChar w:fldCharType="separate"/>
      </w:r>
      <w:r>
        <w:rPr>
          <w:rFonts w:ascii="宋体" w:hAnsi="宋体"/>
          <w:bCs/>
          <w:szCs w:val="22"/>
          <w:lang w:eastAsia="zh-CN"/>
        </w:rPr>
        <w:t xml:space="preserve">30. </w:t>
      </w:r>
      <w:r>
        <w:rPr>
          <w:rFonts w:ascii="宋体" w:hAnsi="宋体"/>
          <w:bCs/>
          <w:szCs w:val="22"/>
        </w:rPr>
        <w:t>合同授予标准</w:t>
      </w:r>
      <w:r>
        <w:tab/>
      </w:r>
      <w:r>
        <w:fldChar w:fldCharType="begin"/>
      </w:r>
      <w:r>
        <w:instrText xml:space="preserve"> PAGEREF _Toc1109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_Toc16237 </w:instrText>
      </w:r>
      <w:r>
        <w:rPr>
          <w:rFonts w:ascii="宋体" w:hAnsi="宋体"/>
        </w:rPr>
        <w:fldChar w:fldCharType="separate"/>
      </w:r>
      <w:r>
        <w:rPr>
          <w:rFonts w:ascii="宋体" w:hAnsi="宋体"/>
          <w:bCs/>
          <w:szCs w:val="22"/>
          <w:lang w:eastAsia="zh-CN"/>
        </w:rPr>
        <w:t xml:space="preserve">31. </w:t>
      </w:r>
      <w:r>
        <w:rPr>
          <w:rFonts w:ascii="宋体" w:hAnsi="宋体"/>
          <w:bCs/>
          <w:szCs w:val="22"/>
        </w:rPr>
        <w:t>接受和拒绝任何或所有投标的权利</w:t>
      </w:r>
      <w:r>
        <w:tab/>
      </w:r>
      <w:r>
        <w:fldChar w:fldCharType="begin"/>
      </w:r>
      <w:r>
        <w:instrText xml:space="preserve"> PAGEREF _Toc16237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_Toc11720 </w:instrText>
      </w:r>
      <w:r>
        <w:rPr>
          <w:rFonts w:ascii="宋体" w:hAnsi="宋体"/>
        </w:rPr>
        <w:fldChar w:fldCharType="separate"/>
      </w:r>
      <w:r>
        <w:rPr>
          <w:rFonts w:ascii="宋体" w:hAnsi="宋体"/>
          <w:bCs/>
          <w:szCs w:val="22"/>
          <w:lang w:eastAsia="zh-CN"/>
        </w:rPr>
        <w:t xml:space="preserve">32. </w:t>
      </w:r>
      <w:r>
        <w:rPr>
          <w:rFonts w:ascii="宋体" w:hAnsi="宋体"/>
          <w:bCs/>
          <w:szCs w:val="22"/>
        </w:rPr>
        <w:t>合同协议书的签订</w:t>
      </w:r>
      <w:r>
        <w:tab/>
      </w:r>
      <w:r>
        <w:fldChar w:fldCharType="begin"/>
      </w:r>
      <w:r>
        <w:instrText xml:space="preserve"> PAGEREF _Toc11720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_Toc25789 </w:instrText>
      </w:r>
      <w:r>
        <w:rPr>
          <w:rFonts w:ascii="宋体" w:hAnsi="宋体"/>
        </w:rPr>
        <w:fldChar w:fldCharType="separate"/>
      </w:r>
      <w:r>
        <w:rPr>
          <w:rFonts w:ascii="宋体" w:hAnsi="宋体"/>
          <w:bCs/>
          <w:szCs w:val="22"/>
          <w:lang w:eastAsia="zh-CN"/>
        </w:rPr>
        <w:t xml:space="preserve">33. </w:t>
      </w:r>
      <w:r>
        <w:rPr>
          <w:rFonts w:ascii="宋体" w:hAnsi="宋体"/>
          <w:bCs/>
          <w:szCs w:val="22"/>
        </w:rPr>
        <w:t>其他</w:t>
      </w:r>
      <w:r>
        <w:tab/>
      </w:r>
      <w:r>
        <w:fldChar w:fldCharType="begin"/>
      </w:r>
      <w:r>
        <w:instrText xml:space="preserve"> PAGEREF _Toc25789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_Toc22269 </w:instrText>
      </w:r>
      <w:r>
        <w:rPr>
          <w:rFonts w:ascii="宋体" w:hAnsi="宋体"/>
        </w:rPr>
        <w:fldChar w:fldCharType="separate"/>
      </w:r>
      <w:r>
        <w:rPr>
          <w:rFonts w:ascii="宋体" w:hAnsi="宋体"/>
          <w:bCs/>
          <w:szCs w:val="22"/>
          <w:lang w:eastAsia="zh-CN"/>
        </w:rPr>
        <w:t xml:space="preserve">34. </w:t>
      </w:r>
      <w:r>
        <w:rPr>
          <w:rFonts w:ascii="宋体" w:hAnsi="宋体"/>
          <w:bCs/>
          <w:szCs w:val="22"/>
        </w:rPr>
        <w:t>招标文件的解释权</w:t>
      </w:r>
      <w:r>
        <w:tab/>
      </w:r>
      <w:r>
        <w:fldChar w:fldCharType="begin"/>
      </w:r>
      <w:r>
        <w:instrText xml:space="preserve"> PAGEREF _Toc22269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4"/>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_Toc9040 </w:instrText>
      </w:r>
      <w:r>
        <w:rPr>
          <w:rFonts w:ascii="宋体" w:hAnsi="宋体"/>
        </w:rPr>
        <w:fldChar w:fldCharType="separate"/>
      </w:r>
      <w:r>
        <w:rPr>
          <w:rFonts w:hint="eastAsia" w:ascii="Times New Roman" w:hAnsi="Times New Roman"/>
        </w:rPr>
        <w:t>第三章</w:t>
      </w:r>
      <w:r>
        <w:rPr>
          <w:rFonts w:ascii="Times New Roman" w:hAnsi="Times New Roman"/>
        </w:rPr>
        <w:t xml:space="preserve"> </w:t>
      </w:r>
      <w:r>
        <w:rPr>
          <w:rFonts w:hint="eastAsia" w:ascii="Times New Roman" w:hAnsi="Times New Roman"/>
          <w:lang w:val="en-US"/>
        </w:rPr>
        <w:t>用户需求书</w:t>
      </w:r>
      <w:r>
        <w:tab/>
      </w:r>
      <w:r>
        <w:fldChar w:fldCharType="begin"/>
      </w:r>
      <w:r>
        <w:instrText xml:space="preserve"> PAGEREF _Toc9040 \h </w:instrText>
      </w:r>
      <w:r>
        <w:fldChar w:fldCharType="separate"/>
      </w:r>
      <w:r>
        <w:t>20</w:t>
      </w:r>
      <w:r>
        <w:fldChar w:fldCharType="end"/>
      </w:r>
      <w:r>
        <w:rPr>
          <w:rFonts w:ascii="宋体" w:hAnsi="宋体"/>
          <w:color w:val="000000" w:themeColor="text1"/>
          <w14:textFill>
            <w14:solidFill>
              <w14:schemeClr w14:val="tx1"/>
            </w14:solidFill>
          </w14:textFill>
        </w:rPr>
        <w:fldChar w:fldCharType="end"/>
      </w:r>
    </w:p>
    <w:p>
      <w:pPr>
        <w:pStyle w:val="14"/>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_Toc23507 </w:instrText>
      </w:r>
      <w:r>
        <w:rPr>
          <w:rFonts w:ascii="宋体" w:hAnsi="宋体"/>
        </w:rPr>
        <w:fldChar w:fldCharType="separate"/>
      </w:r>
      <w:r>
        <w:rPr>
          <w:rFonts w:hint="eastAsia" w:ascii="Times New Roman" w:hAnsi="Times New Roman"/>
        </w:rPr>
        <w:t>第</w:t>
      </w:r>
      <w:r>
        <w:rPr>
          <w:rFonts w:hint="eastAsia" w:ascii="Times New Roman" w:hAnsi="Times New Roman"/>
          <w:lang w:val="en-US"/>
        </w:rPr>
        <w:t>四</w:t>
      </w:r>
      <w:r>
        <w:rPr>
          <w:rFonts w:hint="eastAsia" w:ascii="Times New Roman" w:hAnsi="Times New Roman"/>
        </w:rPr>
        <w:t>章</w:t>
      </w:r>
      <w:r>
        <w:rPr>
          <w:rFonts w:ascii="Times New Roman" w:hAnsi="Times New Roman"/>
        </w:rPr>
        <w:t xml:space="preserve"> </w:t>
      </w:r>
      <w:r>
        <w:rPr>
          <w:rFonts w:hint="eastAsia" w:ascii="Times New Roman" w:hAnsi="Times New Roman"/>
        </w:rPr>
        <w:t>合同格式</w:t>
      </w:r>
      <w:r>
        <w:tab/>
      </w:r>
      <w:r>
        <w:fldChar w:fldCharType="begin"/>
      </w:r>
      <w:r>
        <w:instrText xml:space="preserve"> PAGEREF _Toc23507 \h </w:instrText>
      </w:r>
      <w:r>
        <w:fldChar w:fldCharType="separate"/>
      </w:r>
      <w:r>
        <w:t>22</w:t>
      </w:r>
      <w:r>
        <w:fldChar w:fldCharType="end"/>
      </w:r>
      <w:r>
        <w:rPr>
          <w:rFonts w:ascii="宋体" w:hAnsi="宋体"/>
          <w:color w:val="000000" w:themeColor="text1"/>
          <w14:textFill>
            <w14:solidFill>
              <w14:schemeClr w14:val="tx1"/>
            </w14:solidFill>
          </w14:textFill>
        </w:rPr>
        <w:fldChar w:fldCharType="end"/>
      </w:r>
    </w:p>
    <w:p>
      <w:pPr>
        <w:pStyle w:val="14"/>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_Toc1482 </w:instrText>
      </w:r>
      <w:r>
        <w:rPr>
          <w:rFonts w:ascii="宋体" w:hAnsi="宋体"/>
        </w:rPr>
        <w:fldChar w:fldCharType="separate"/>
      </w:r>
      <w:r>
        <w:rPr>
          <w:rFonts w:hint="eastAsia" w:ascii="黑体" w:hAnsi="黑体"/>
          <w:szCs w:val="72"/>
        </w:rPr>
        <w:t>服务合同</w:t>
      </w:r>
      <w:r>
        <w:tab/>
      </w:r>
      <w:r>
        <w:fldChar w:fldCharType="begin"/>
      </w:r>
      <w:r>
        <w:instrText xml:space="preserve"> PAGEREF _Toc1482 \h </w:instrText>
      </w:r>
      <w:r>
        <w:fldChar w:fldCharType="separate"/>
      </w:r>
      <w:r>
        <w:t>23</w:t>
      </w:r>
      <w:r>
        <w:fldChar w:fldCharType="end"/>
      </w:r>
      <w:r>
        <w:rPr>
          <w:rFonts w:ascii="宋体" w:hAnsi="宋体"/>
          <w:color w:val="000000" w:themeColor="text1"/>
          <w14:textFill>
            <w14:solidFill>
              <w14:schemeClr w14:val="tx1"/>
            </w14:solidFill>
          </w14:textFill>
        </w:rPr>
        <w:fldChar w:fldCharType="end"/>
      </w:r>
    </w:p>
    <w:p>
      <w:pPr>
        <w:pStyle w:val="14"/>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_Toc18833 </w:instrText>
      </w:r>
      <w:r>
        <w:rPr>
          <w:rFonts w:ascii="宋体" w:hAnsi="宋体"/>
        </w:rPr>
        <w:fldChar w:fldCharType="separate"/>
      </w:r>
      <w:r>
        <w:rPr>
          <w:rFonts w:hint="eastAsia" w:ascii="Times New Roman" w:hAnsi="Times New Roman"/>
        </w:rPr>
        <w:t>第</w:t>
      </w:r>
      <w:r>
        <w:rPr>
          <w:rFonts w:hint="eastAsia" w:ascii="Times New Roman" w:hAnsi="Times New Roman"/>
          <w:lang w:val="en-US"/>
        </w:rPr>
        <w:t>五</w:t>
      </w:r>
      <w:r>
        <w:rPr>
          <w:rFonts w:hint="eastAsia" w:ascii="Times New Roman" w:hAnsi="Times New Roman"/>
        </w:rPr>
        <w:t>章</w:t>
      </w:r>
      <w:r>
        <w:rPr>
          <w:rFonts w:ascii="Times New Roman" w:hAnsi="Times New Roman"/>
        </w:rPr>
        <w:t xml:space="preserve"> </w:t>
      </w:r>
      <w:r>
        <w:rPr>
          <w:rFonts w:hint="eastAsia" w:ascii="Times New Roman" w:hAnsi="Times New Roman"/>
        </w:rPr>
        <w:t>投标文件格式</w:t>
      </w:r>
      <w:r>
        <w:tab/>
      </w:r>
      <w:r>
        <w:fldChar w:fldCharType="begin"/>
      </w:r>
      <w:r>
        <w:instrText xml:space="preserve"> PAGEREF _Toc18833 \h </w:instrText>
      </w:r>
      <w:r>
        <w:fldChar w:fldCharType="separate"/>
      </w:r>
      <w:r>
        <w:t>22</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_Toc17575 </w:instrText>
      </w:r>
      <w:r>
        <w:rPr>
          <w:rFonts w:ascii="宋体" w:hAnsi="宋体"/>
        </w:rPr>
        <w:fldChar w:fldCharType="separate"/>
      </w:r>
      <w:r>
        <w:rPr>
          <w:rFonts w:hint="eastAsia"/>
          <w:szCs w:val="48"/>
        </w:rPr>
        <w:t>投标文件</w:t>
      </w:r>
      <w:r>
        <w:tab/>
      </w:r>
      <w:r>
        <w:fldChar w:fldCharType="begin"/>
      </w:r>
      <w:r>
        <w:instrText xml:space="preserve"> PAGEREF _Toc17575 \h </w:instrText>
      </w:r>
      <w:r>
        <w:fldChar w:fldCharType="separate"/>
      </w:r>
      <w:r>
        <w:t>23</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_Toc7636 </w:instrText>
      </w:r>
      <w:r>
        <w:rPr>
          <w:rFonts w:ascii="宋体" w:hAnsi="宋体"/>
        </w:rPr>
        <w:fldChar w:fldCharType="separate"/>
      </w:r>
      <w:r>
        <w:rPr>
          <w:rFonts w:ascii="宋体" w:hAnsi="宋体"/>
          <w:szCs w:val="22"/>
        </w:rPr>
        <w:t>1、投标函</w:t>
      </w:r>
      <w:r>
        <w:tab/>
      </w:r>
      <w:r>
        <w:fldChar w:fldCharType="begin"/>
      </w:r>
      <w:r>
        <w:instrText xml:space="preserve"> PAGEREF _Toc7636 \h </w:instrText>
      </w:r>
      <w:r>
        <w:fldChar w:fldCharType="separate"/>
      </w:r>
      <w:r>
        <w:t>24</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_Toc6646 </w:instrText>
      </w:r>
      <w:r>
        <w:rPr>
          <w:rFonts w:ascii="宋体" w:hAnsi="宋体"/>
        </w:rPr>
        <w:fldChar w:fldCharType="separate"/>
      </w:r>
      <w:r>
        <w:rPr>
          <w:szCs w:val="22"/>
        </w:rPr>
        <w:t xml:space="preserve">2. </w:t>
      </w:r>
      <w:r>
        <w:rPr>
          <w:rFonts w:hint="eastAsia"/>
          <w:szCs w:val="22"/>
        </w:rPr>
        <w:t>投标报价表</w:t>
      </w:r>
      <w:r>
        <w:tab/>
      </w:r>
      <w:r>
        <w:fldChar w:fldCharType="begin"/>
      </w:r>
      <w:r>
        <w:instrText xml:space="preserve"> PAGEREF _Toc6646 \h </w:instrText>
      </w:r>
      <w:r>
        <w:fldChar w:fldCharType="separate"/>
      </w:r>
      <w:r>
        <w:t>25</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_Toc6596 </w:instrText>
      </w:r>
      <w:r>
        <w:rPr>
          <w:rFonts w:ascii="宋体" w:hAnsi="宋体"/>
        </w:rPr>
        <w:fldChar w:fldCharType="separate"/>
      </w:r>
      <w:r>
        <w:rPr>
          <w:rFonts w:hint="eastAsia" w:ascii="宋体" w:hAnsi="宋体"/>
          <w:bCs/>
          <w:kern w:val="0"/>
          <w:szCs w:val="22"/>
        </w:rPr>
        <w:t>3.承诺书</w:t>
      </w:r>
      <w:r>
        <w:tab/>
      </w:r>
      <w:r>
        <w:fldChar w:fldCharType="begin"/>
      </w:r>
      <w:r>
        <w:instrText xml:space="preserve"> PAGEREF _Toc6596 \h </w:instrText>
      </w:r>
      <w:r>
        <w:fldChar w:fldCharType="separate"/>
      </w:r>
      <w:r>
        <w:t>27</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_Toc23596 </w:instrText>
      </w:r>
      <w:r>
        <w:rPr>
          <w:rFonts w:ascii="宋体" w:hAnsi="宋体"/>
        </w:rPr>
        <w:fldChar w:fldCharType="separate"/>
      </w:r>
      <w:r>
        <w:rPr>
          <w:rFonts w:hint="eastAsia" w:ascii="宋体" w:hAnsi="宋体"/>
          <w:szCs w:val="22"/>
          <w:lang w:val="en-US"/>
        </w:rPr>
        <w:t>4</w:t>
      </w:r>
      <w:r>
        <w:rPr>
          <w:rFonts w:ascii="宋体" w:hAnsi="宋体"/>
          <w:szCs w:val="22"/>
        </w:rPr>
        <w:t>、法定代表人身份证明书</w:t>
      </w:r>
      <w:r>
        <w:tab/>
      </w:r>
      <w:r>
        <w:fldChar w:fldCharType="begin"/>
      </w:r>
      <w:r>
        <w:instrText xml:space="preserve"> PAGEREF _Toc23596 \h </w:instrText>
      </w:r>
      <w:r>
        <w:fldChar w:fldCharType="separate"/>
      </w:r>
      <w:r>
        <w:t>28</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_Toc13358 </w:instrText>
      </w:r>
      <w:r>
        <w:rPr>
          <w:rFonts w:ascii="宋体" w:hAnsi="宋体"/>
        </w:rPr>
        <w:fldChar w:fldCharType="separate"/>
      </w:r>
      <w:r>
        <w:rPr>
          <w:rFonts w:hint="eastAsia" w:ascii="宋体" w:hAnsi="宋体"/>
          <w:szCs w:val="22"/>
          <w:lang w:val="en-US"/>
        </w:rPr>
        <w:t>5</w:t>
      </w:r>
      <w:r>
        <w:rPr>
          <w:rFonts w:hint="eastAsia" w:ascii="宋体" w:hAnsi="宋体"/>
          <w:szCs w:val="22"/>
        </w:rPr>
        <w:t>、法人授权委托证明书</w:t>
      </w:r>
      <w:r>
        <w:tab/>
      </w:r>
      <w:r>
        <w:fldChar w:fldCharType="begin"/>
      </w:r>
      <w:r>
        <w:instrText xml:space="preserve"> PAGEREF _Toc13358 \h </w:instrText>
      </w:r>
      <w:r>
        <w:fldChar w:fldCharType="separate"/>
      </w:r>
      <w:r>
        <w:t>29</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_Toc24678 </w:instrText>
      </w:r>
      <w:r>
        <w:rPr>
          <w:rFonts w:ascii="宋体" w:hAnsi="宋体"/>
        </w:rPr>
        <w:fldChar w:fldCharType="separate"/>
      </w:r>
      <w:r>
        <w:rPr>
          <w:rFonts w:hint="eastAsia" w:ascii="宋体" w:hAnsi="宋体"/>
          <w:szCs w:val="22"/>
          <w:lang w:val="en-US"/>
        </w:rPr>
        <w:t>6</w:t>
      </w:r>
      <w:r>
        <w:rPr>
          <w:rFonts w:ascii="宋体" w:hAnsi="宋体"/>
          <w:szCs w:val="22"/>
        </w:rPr>
        <w:t>、投标人资格证明文件</w:t>
      </w:r>
      <w:r>
        <w:tab/>
      </w:r>
      <w:r>
        <w:fldChar w:fldCharType="begin"/>
      </w:r>
      <w:r>
        <w:instrText xml:space="preserve"> PAGEREF _Toc24678 \h </w:instrText>
      </w:r>
      <w:r>
        <w:fldChar w:fldCharType="separate"/>
      </w:r>
      <w:r>
        <w:t>30</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_Toc18742 </w:instrText>
      </w:r>
      <w:r>
        <w:rPr>
          <w:rFonts w:ascii="宋体" w:hAnsi="宋体"/>
        </w:rPr>
        <w:fldChar w:fldCharType="separate"/>
      </w:r>
      <w:r>
        <w:rPr>
          <w:rFonts w:hint="eastAsia" w:ascii="宋体" w:hAnsi="宋体"/>
          <w:szCs w:val="22"/>
          <w:lang w:val="en-US"/>
        </w:rPr>
        <w:t>7</w:t>
      </w:r>
      <w:r>
        <w:rPr>
          <w:rFonts w:ascii="宋体" w:hAnsi="宋体"/>
          <w:szCs w:val="22"/>
        </w:rPr>
        <w:t>、</w:t>
      </w:r>
      <w:r>
        <w:rPr>
          <w:rFonts w:hint="eastAsia" w:ascii="宋体" w:hAnsi="宋体"/>
          <w:szCs w:val="22"/>
        </w:rPr>
        <w:t>最近</w:t>
      </w:r>
      <w:r>
        <w:rPr>
          <w:rFonts w:ascii="宋体" w:hAnsi="宋体"/>
          <w:szCs w:val="22"/>
        </w:rPr>
        <w:t>3年企业牵涉的主要诉讼案件或仲裁案件或处罚说明格式</w:t>
      </w:r>
      <w:r>
        <w:tab/>
      </w:r>
      <w:r>
        <w:fldChar w:fldCharType="begin"/>
      </w:r>
      <w:r>
        <w:instrText xml:space="preserve"> PAGEREF _Toc18742 \h </w:instrText>
      </w:r>
      <w:r>
        <w:fldChar w:fldCharType="separate"/>
      </w:r>
      <w:r>
        <w:t>31</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_Toc26569 </w:instrText>
      </w:r>
      <w:r>
        <w:rPr>
          <w:rFonts w:ascii="宋体" w:hAnsi="宋体"/>
        </w:rPr>
        <w:fldChar w:fldCharType="separate"/>
      </w:r>
      <w:r>
        <w:rPr>
          <w:rFonts w:hint="eastAsia" w:ascii="宋体" w:hAnsi="宋体"/>
          <w:szCs w:val="22"/>
          <w:lang w:val="en-US"/>
        </w:rPr>
        <w:t>8</w:t>
      </w:r>
      <w:r>
        <w:rPr>
          <w:rFonts w:ascii="宋体" w:hAnsi="宋体"/>
          <w:szCs w:val="22"/>
        </w:rPr>
        <w:t>、</w:t>
      </w:r>
      <w:r>
        <w:rPr>
          <w:rFonts w:hint="eastAsia" w:ascii="宋体" w:hAnsi="宋体"/>
          <w:szCs w:val="22"/>
          <w:lang w:val="en-US"/>
        </w:rPr>
        <w:t>“记录失信被执行人或重大税收违法案件当事人名单或政府采购严重违法失信行为”记录名单、“政府采购严重违法失信行为信息记录”中的禁止参加政府采购活动、失信被执行人的查询结果（截图打印并加盖公章）。</w:t>
      </w:r>
      <w:r>
        <w:tab/>
      </w:r>
      <w:r>
        <w:fldChar w:fldCharType="begin"/>
      </w:r>
      <w:r>
        <w:instrText xml:space="preserve"> PAGEREF _Toc26569 \h </w:instrText>
      </w:r>
      <w:r>
        <w:fldChar w:fldCharType="separate"/>
      </w:r>
      <w:r>
        <w:t>32</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_Toc23736 </w:instrText>
      </w:r>
      <w:r>
        <w:rPr>
          <w:rFonts w:ascii="宋体" w:hAnsi="宋体"/>
        </w:rPr>
        <w:fldChar w:fldCharType="separate"/>
      </w:r>
      <w:r>
        <w:rPr>
          <w:rFonts w:hint="eastAsia" w:ascii="宋体" w:hAnsi="宋体"/>
          <w:szCs w:val="22"/>
          <w:lang w:val="en-US"/>
        </w:rPr>
        <w:t>9、投标人资格承诺书格式</w:t>
      </w:r>
      <w:r>
        <w:tab/>
      </w:r>
      <w:r>
        <w:fldChar w:fldCharType="begin"/>
      </w:r>
      <w:r>
        <w:instrText xml:space="preserve"> PAGEREF _Toc23736 \h </w:instrText>
      </w:r>
      <w:r>
        <w:fldChar w:fldCharType="separate"/>
      </w:r>
      <w:r>
        <w:t>33</w:t>
      </w:r>
      <w:r>
        <w:fldChar w:fldCharType="end"/>
      </w:r>
      <w:r>
        <w:rPr>
          <w:rFonts w:ascii="宋体" w:hAnsi="宋体"/>
          <w:color w:val="000000" w:themeColor="text1"/>
          <w14:textFill>
            <w14:solidFill>
              <w14:schemeClr w14:val="tx1"/>
            </w14:solidFill>
          </w14:textFill>
        </w:rPr>
        <w:fldChar w:fldCharType="end"/>
      </w:r>
    </w:p>
    <w:p>
      <w:pPr>
        <w:pStyle w:val="9"/>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_Toc14568 </w:instrText>
      </w:r>
      <w:r>
        <w:rPr>
          <w:rFonts w:ascii="宋体" w:hAnsi="宋体"/>
        </w:rPr>
        <w:fldChar w:fldCharType="separate"/>
      </w:r>
      <w:r>
        <w:rPr>
          <w:rFonts w:hint="eastAsia" w:ascii="宋体" w:hAnsi="宋体"/>
          <w:szCs w:val="22"/>
          <w:lang w:val="en-US"/>
        </w:rPr>
        <w:t>10、投标人认为需加以说明的其他内容</w:t>
      </w:r>
      <w:r>
        <w:tab/>
      </w:r>
      <w:r>
        <w:fldChar w:fldCharType="begin"/>
      </w:r>
      <w:r>
        <w:instrText xml:space="preserve"> PAGEREF _Toc14568 \h </w:instrText>
      </w:r>
      <w:r>
        <w:fldChar w:fldCharType="separate"/>
      </w:r>
      <w:r>
        <w:t>34</w:t>
      </w:r>
      <w:r>
        <w:fldChar w:fldCharType="end"/>
      </w:r>
      <w:r>
        <w:rPr>
          <w:rFonts w:ascii="宋体" w:hAnsi="宋体"/>
          <w:color w:val="000000" w:themeColor="text1"/>
          <w14:textFill>
            <w14:solidFill>
              <w14:schemeClr w14:val="tx1"/>
            </w14:solidFill>
          </w14:textFill>
        </w:rPr>
        <w:fldChar w:fldCharType="end"/>
      </w:r>
    </w:p>
    <w:p>
      <w:pPr>
        <w:widowControl/>
        <w:jc w:val="left"/>
        <w:rPr>
          <w:color w:val="000000" w:themeColor="text1"/>
          <w:kern w:val="0"/>
          <w:sz w:val="22"/>
          <w:szCs w:val="22"/>
          <w14:textFill>
            <w14:solidFill>
              <w14:schemeClr w14:val="tx1"/>
            </w14:solidFill>
          </w14:textFill>
        </w:rPr>
      </w:pPr>
      <w:r>
        <w:rPr>
          <w:rFonts w:ascii="宋体" w:hAnsi="宋体"/>
          <w:color w:val="000000" w:themeColor="text1"/>
          <w14:textFill>
            <w14:solidFill>
              <w14:schemeClr w14:val="tx1"/>
            </w14:solidFill>
          </w14:textFill>
        </w:rPr>
        <w:fldChar w:fldCharType="end"/>
      </w:r>
      <w:r>
        <w:rPr>
          <w:rFonts w:ascii="Times New Roman" w:hAnsi="Times New Roman"/>
          <w:color w:val="000000" w:themeColor="text1"/>
          <w14:textFill>
            <w14:solidFill>
              <w14:schemeClr w14:val="tx1"/>
            </w14:solidFill>
          </w14:textFill>
        </w:rPr>
        <w:br w:type="page"/>
      </w: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3"/>
        <w:jc w:val="center"/>
        <w:rPr>
          <w:rFonts w:ascii="Times New Roman" w:hAnsi="Times New Roman"/>
          <w:color w:val="000000" w:themeColor="text1"/>
          <w14:textFill>
            <w14:solidFill>
              <w14:schemeClr w14:val="tx1"/>
            </w14:solidFill>
          </w14:textFill>
        </w:rPr>
      </w:pPr>
      <w:bookmarkStart w:id="3" w:name="_Toc5933"/>
      <w:bookmarkStart w:id="4" w:name="_Toc17391"/>
      <w:bookmarkStart w:id="5" w:name="_Toc22580"/>
      <w:r>
        <w:rPr>
          <w:rFonts w:hint="eastAsia" w:ascii="Times New Roman" w:hAnsi="Times New Roman"/>
          <w:color w:val="000000" w:themeColor="text1"/>
          <w14:textFill>
            <w14:solidFill>
              <w14:schemeClr w14:val="tx1"/>
            </w14:solidFill>
          </w14:textFill>
        </w:rPr>
        <w:t>第一章</w:t>
      </w:r>
      <w:r>
        <w:rPr>
          <w:rFonts w:ascii="Times New Roman" w:hAnsi="Times New Roman"/>
          <w:color w:val="000000" w:themeColor="text1"/>
          <w14:textFill>
            <w14:solidFill>
              <w14:schemeClr w14:val="tx1"/>
            </w14:solidFill>
          </w14:textFill>
        </w:rPr>
        <w:t xml:space="preserve">  </w:t>
      </w:r>
      <w:bookmarkEnd w:id="1"/>
      <w:bookmarkEnd w:id="2"/>
      <w:r>
        <w:rPr>
          <w:rFonts w:hint="eastAsia" w:ascii="Times New Roman" w:hAnsi="Times New Roman"/>
          <w:color w:val="000000" w:themeColor="text1"/>
          <w14:textFill>
            <w14:solidFill>
              <w14:schemeClr w14:val="tx1"/>
            </w14:solidFill>
          </w14:textFill>
        </w:rPr>
        <w:t>招标公告</w:t>
      </w:r>
      <w:bookmarkEnd w:id="3"/>
      <w:bookmarkEnd w:id="4"/>
      <w:bookmarkEnd w:id="5"/>
    </w:p>
    <w:p>
      <w:pPr>
        <w:widowControl/>
        <w:jc w:val="left"/>
        <w:rPr>
          <w:rFonts w:ascii="Times New Roman" w:hAnsi="Times New Roman"/>
          <w:b/>
          <w:bCs/>
          <w:color w:val="000000" w:themeColor="text1"/>
          <w:sz w:val="32"/>
          <w:szCs w:val="32"/>
          <w14:textFill>
            <w14:solidFill>
              <w14:schemeClr w14:val="tx1"/>
            </w14:solidFill>
          </w14:textFill>
        </w:rPr>
      </w:pPr>
      <w:bookmarkStart w:id="6" w:name="_Toc441844049"/>
      <w:r>
        <w:rPr>
          <w:rFonts w:ascii="Times New Roman" w:hAnsi="Times New Roman"/>
          <w:bCs/>
          <w:color w:val="000000" w:themeColor="text1"/>
          <w:szCs w:val="32"/>
          <w14:textFill>
            <w14:solidFill>
              <w14:schemeClr w14:val="tx1"/>
            </w14:solidFill>
          </w14:textFill>
        </w:rPr>
        <w:br w:type="page"/>
      </w:r>
    </w:p>
    <w:p>
      <w:pPr>
        <w:pStyle w:val="4"/>
        <w:tabs>
          <w:tab w:val="left" w:pos="0"/>
          <w:tab w:val="clear" w:pos="1440"/>
        </w:tabs>
        <w:ind w:left="0" w:firstLine="0"/>
        <w:jc w:val="center"/>
        <w:rPr>
          <w:rFonts w:ascii="Times New Roman" w:hAnsi="Times New Roman" w:eastAsia="宋体"/>
          <w:b w:val="0"/>
          <w:bCs/>
          <w:color w:val="000000" w:themeColor="text1"/>
          <w:szCs w:val="32"/>
          <w14:textFill>
            <w14:solidFill>
              <w14:schemeClr w14:val="tx1"/>
            </w14:solidFill>
          </w14:textFill>
        </w:rPr>
      </w:pPr>
      <w:bookmarkStart w:id="7" w:name="_Toc24143"/>
      <w:bookmarkStart w:id="8" w:name="_Toc17373"/>
      <w:bookmarkStart w:id="9" w:name="_Toc26082"/>
      <w:r>
        <w:rPr>
          <w:rFonts w:hint="eastAsia" w:ascii="Times New Roman" w:hAnsi="Times New Roman" w:eastAsia="宋体"/>
          <w:bCs/>
          <w:color w:val="000000" w:themeColor="text1"/>
          <w:szCs w:val="32"/>
          <w14:textFill>
            <w14:solidFill>
              <w14:schemeClr w14:val="tx1"/>
            </w14:solidFill>
          </w14:textFill>
        </w:rPr>
        <w:t>一、</w:t>
      </w:r>
      <w:r>
        <w:rPr>
          <w:rFonts w:ascii="Times New Roman" w:hAnsi="Times New Roman" w:eastAsia="宋体"/>
          <w:bCs/>
          <w:color w:val="000000" w:themeColor="text1"/>
          <w:szCs w:val="32"/>
          <w14:textFill>
            <w14:solidFill>
              <w14:schemeClr w14:val="tx1"/>
            </w14:solidFill>
          </w14:textFill>
        </w:rPr>
        <w:t xml:space="preserve"> </w:t>
      </w:r>
      <w:r>
        <w:rPr>
          <w:rFonts w:hint="eastAsia" w:ascii="Times New Roman" w:hAnsi="Times New Roman" w:eastAsia="宋体"/>
          <w:bCs/>
          <w:color w:val="000000" w:themeColor="text1"/>
          <w:szCs w:val="32"/>
          <w14:textFill>
            <w14:solidFill>
              <w14:schemeClr w14:val="tx1"/>
            </w14:solidFill>
          </w14:textFill>
        </w:rPr>
        <w:t>招标公告函</w:t>
      </w:r>
      <w:bookmarkEnd w:id="7"/>
      <w:bookmarkEnd w:id="8"/>
      <w:bookmarkEnd w:id="9"/>
    </w:p>
    <w:p>
      <w:pPr>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东莞市数据互联有限公司</w:t>
      </w:r>
      <w:r>
        <w:rPr>
          <w:rFonts w:ascii="宋体" w:hAnsi="宋体"/>
          <w:bCs/>
          <w:color w:val="000000" w:themeColor="text1"/>
          <w:szCs w:val="21"/>
          <w14:textFill>
            <w14:solidFill>
              <w14:schemeClr w14:val="tx1"/>
            </w14:solidFill>
          </w14:textFill>
        </w:rPr>
        <w:t>（以下简称“</w:t>
      </w: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14:textFill>
            <w14:solidFill>
              <w14:schemeClr w14:val="tx1"/>
            </w14:solidFill>
          </w14:textFill>
        </w:rPr>
        <w:t>”）就以下项目进行国内公开招标采购，详情请参见招标文件。本项目招标文件公示时间为：</w:t>
      </w:r>
      <w:r>
        <w:rPr>
          <w:rFonts w:ascii="宋体" w:hAnsi="宋体"/>
          <w:b/>
          <w:bCs/>
          <w:color w:val="000000" w:themeColor="text1"/>
          <w:szCs w:val="21"/>
          <w14:textFill>
            <w14:solidFill>
              <w14:schemeClr w14:val="tx1"/>
            </w14:solidFill>
          </w14:textFill>
        </w:rPr>
        <w:t>202</w:t>
      </w:r>
      <w:r>
        <w:rPr>
          <w:rFonts w:hint="eastAsia" w:ascii="宋体" w:hAnsi="宋体"/>
          <w:b/>
          <w:bCs/>
          <w:color w:val="000000" w:themeColor="text1"/>
          <w:szCs w:val="21"/>
          <w14:textFill>
            <w14:solidFill>
              <w14:schemeClr w14:val="tx1"/>
            </w14:solidFill>
          </w14:textFill>
        </w:rPr>
        <w:t>2</w:t>
      </w:r>
      <w:r>
        <w:rPr>
          <w:rFonts w:ascii="宋体" w:hAnsi="宋体"/>
          <w:b/>
          <w:bCs/>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5</w:t>
      </w:r>
      <w:r>
        <w:rPr>
          <w:rFonts w:ascii="宋体" w:hAnsi="宋体"/>
          <w:b/>
          <w:bCs/>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10</w:t>
      </w:r>
      <w:r>
        <w:rPr>
          <w:rFonts w:ascii="宋体" w:hAnsi="宋体"/>
          <w:b/>
          <w:bCs/>
          <w:color w:val="000000" w:themeColor="text1"/>
          <w:szCs w:val="21"/>
          <w14:textFill>
            <w14:solidFill>
              <w14:schemeClr w14:val="tx1"/>
            </w14:solidFill>
          </w14:textFill>
        </w:rPr>
        <w:t>日至202</w:t>
      </w:r>
      <w:r>
        <w:rPr>
          <w:rFonts w:hint="eastAsia" w:ascii="宋体" w:hAnsi="宋体"/>
          <w:b/>
          <w:bCs/>
          <w:color w:val="000000" w:themeColor="text1"/>
          <w:szCs w:val="21"/>
          <w14:textFill>
            <w14:solidFill>
              <w14:schemeClr w14:val="tx1"/>
            </w14:solidFill>
          </w14:textFill>
        </w:rPr>
        <w:t>2</w:t>
      </w:r>
      <w:r>
        <w:rPr>
          <w:rFonts w:ascii="宋体" w:hAnsi="宋体"/>
          <w:b/>
          <w:bCs/>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5</w:t>
      </w:r>
      <w:r>
        <w:rPr>
          <w:rFonts w:ascii="宋体" w:hAnsi="宋体"/>
          <w:b/>
          <w:bCs/>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19</w:t>
      </w:r>
      <w:r>
        <w:rPr>
          <w:rFonts w:ascii="宋体" w:hAnsi="宋体"/>
          <w:b/>
          <w:bCs/>
          <w:color w:val="000000" w:themeColor="text1"/>
          <w:szCs w:val="21"/>
          <w14:textFill>
            <w14:solidFill>
              <w14:schemeClr w14:val="tx1"/>
            </w14:solidFill>
          </w14:textFill>
        </w:rPr>
        <w:t>日</w:t>
      </w:r>
      <w:r>
        <w:rPr>
          <w:rFonts w:ascii="宋体" w:hAnsi="宋体"/>
          <w:bCs/>
          <w:color w:val="000000" w:themeColor="text1"/>
          <w:szCs w:val="21"/>
          <w14:textFill>
            <w14:solidFill>
              <w14:schemeClr w14:val="tx1"/>
            </w14:solidFill>
          </w14:textFill>
        </w:rPr>
        <w:t>，欢迎符合条件的</w:t>
      </w:r>
      <w:r>
        <w:rPr>
          <w:rFonts w:hint="eastAsia" w:ascii="宋体" w:hAnsi="宋体"/>
          <w:bCs/>
          <w:color w:val="000000" w:themeColor="text1"/>
          <w:szCs w:val="21"/>
          <w14:textFill>
            <w14:solidFill>
              <w14:schemeClr w14:val="tx1"/>
            </w14:solidFill>
          </w14:textFill>
        </w:rPr>
        <w:t>潜在</w:t>
      </w:r>
      <w:r>
        <w:rPr>
          <w:rFonts w:ascii="宋体" w:hAnsi="宋体"/>
          <w:bCs/>
          <w:color w:val="000000" w:themeColor="text1"/>
          <w:szCs w:val="21"/>
          <w14:textFill>
            <w14:solidFill>
              <w14:schemeClr w14:val="tx1"/>
            </w14:solidFill>
          </w14:textFill>
        </w:rPr>
        <w:t>投标人参加投标。有关事项如下：</w:t>
      </w:r>
    </w:p>
    <w:p>
      <w:pPr>
        <w:numPr>
          <w:ilvl w:val="0"/>
          <w:numId w:val="1"/>
        </w:numPr>
        <w:spacing w:line="38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w:t>
      </w:r>
      <w:r>
        <w:rPr>
          <w:rFonts w:ascii="宋体" w:hAnsi="宋体"/>
          <w:bCs/>
          <w:color w:val="000000" w:themeColor="text1"/>
          <w:szCs w:val="21"/>
          <w14:textFill>
            <w14:solidFill>
              <w14:schemeClr w14:val="tx1"/>
            </w14:solidFill>
          </w14:textFill>
        </w:rPr>
        <w:t>编号：</w:t>
      </w:r>
      <w:r>
        <w:rPr>
          <w:rFonts w:hint="eastAsia" w:ascii="宋体" w:hAnsi="宋体"/>
          <w:bCs/>
          <w:color w:val="000000" w:themeColor="text1"/>
          <w:szCs w:val="21"/>
          <w14:textFill>
            <w14:solidFill>
              <w14:schemeClr w14:val="tx1"/>
            </w14:solidFill>
          </w14:textFill>
        </w:rPr>
        <w:t>SL-CG2022007</w:t>
      </w:r>
    </w:p>
    <w:p>
      <w:pPr>
        <w:numPr>
          <w:ilvl w:val="0"/>
          <w:numId w:val="1"/>
        </w:numPr>
        <w:spacing w:line="38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项目名称：</w:t>
      </w:r>
      <w:r>
        <w:rPr>
          <w:rFonts w:hint="eastAsia" w:ascii="宋体" w:hAnsi="宋体"/>
          <w:bCs/>
          <w:color w:val="000000" w:themeColor="text1"/>
          <w:szCs w:val="21"/>
          <w14:textFill>
            <w14:solidFill>
              <w14:schemeClr w14:val="tx1"/>
            </w14:solidFill>
          </w14:textFill>
        </w:rPr>
        <w:t>数据中心暖通空调水系统加药水处理一体化服务采购项目</w:t>
      </w:r>
    </w:p>
    <w:p>
      <w:pPr>
        <w:numPr>
          <w:ilvl w:val="0"/>
          <w:numId w:val="1"/>
        </w:numPr>
        <w:spacing w:line="38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采购</w:t>
      </w:r>
      <w:r>
        <w:rPr>
          <w:rFonts w:hint="eastAsia" w:ascii="宋体" w:hAnsi="宋体"/>
          <w:bCs/>
          <w:color w:val="000000" w:themeColor="text1"/>
          <w:szCs w:val="21"/>
          <w14:textFill>
            <w14:solidFill>
              <w14:schemeClr w14:val="tx1"/>
            </w14:solidFill>
          </w14:textFill>
        </w:rPr>
        <w:t>内容</w:t>
      </w:r>
      <w:r>
        <w:rPr>
          <w:rFonts w:ascii="宋体" w:hAnsi="宋体"/>
          <w:bCs/>
          <w:color w:val="000000" w:themeColor="text1"/>
          <w:szCs w:val="21"/>
          <w14:textFill>
            <w14:solidFill>
              <w14:schemeClr w14:val="tx1"/>
            </w14:solidFill>
          </w14:textFill>
        </w:rPr>
        <w:t>：</w:t>
      </w:r>
    </w:p>
    <w:tbl>
      <w:tblPr>
        <w:tblStyle w:val="17"/>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29"/>
        <w:gridCol w:w="1233"/>
        <w:gridCol w:w="2717"/>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46"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序号</w:t>
            </w:r>
          </w:p>
        </w:tc>
        <w:tc>
          <w:tcPr>
            <w:tcW w:w="2829"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分项</w:t>
            </w:r>
            <w:r>
              <w:rPr>
                <w:rFonts w:ascii="Times New Roman" w:hAnsi="Times New Roman"/>
                <w:color w:val="000000" w:themeColor="text1"/>
                <w:szCs w:val="21"/>
                <w14:textFill>
                  <w14:solidFill>
                    <w14:schemeClr w14:val="tx1"/>
                  </w14:solidFill>
                </w14:textFill>
              </w:rPr>
              <w:t>名称</w:t>
            </w:r>
          </w:p>
        </w:tc>
        <w:tc>
          <w:tcPr>
            <w:tcW w:w="1233" w:type="dxa"/>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预算价</w:t>
            </w:r>
          </w:p>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（元）</w:t>
            </w:r>
          </w:p>
        </w:tc>
        <w:tc>
          <w:tcPr>
            <w:tcW w:w="2717"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服务期</w:t>
            </w:r>
          </w:p>
        </w:tc>
        <w:tc>
          <w:tcPr>
            <w:tcW w:w="875"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供应商</w:t>
            </w:r>
            <w:r>
              <w:rPr>
                <w:rFonts w:ascii="Times New Roman" w:hAnsi="Times New Roman"/>
                <w:color w:val="000000" w:themeColor="text1"/>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1</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sz w:val="22"/>
                <w:szCs w:val="22"/>
              </w:rPr>
            </w:pPr>
            <w:r>
              <w:rPr>
                <w:rFonts w:hint="eastAsia"/>
              </w:rPr>
              <w:t>数据中心暖通空调水系统加药水处理一体化服务采购项目</w:t>
            </w:r>
          </w:p>
        </w:tc>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cs="宋体" w:asciiTheme="minorEastAsia" w:hAnsiTheme="minorEastAsia" w:eastAsiaTheme="minorEastAsia"/>
                <w:bCs/>
                <w:sz w:val="22"/>
                <w:szCs w:val="22"/>
              </w:rPr>
              <w:t>131515</w:t>
            </w:r>
          </w:p>
        </w:tc>
        <w:tc>
          <w:tcPr>
            <w:tcW w:w="271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1年</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1</w:t>
            </w:r>
          </w:p>
        </w:tc>
      </w:tr>
    </w:tbl>
    <w:p>
      <w:pPr>
        <w:numPr>
          <w:ilvl w:val="0"/>
          <w:numId w:val="1"/>
        </w:numPr>
        <w:spacing w:line="38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资金来源：企业自筹。</w:t>
      </w:r>
    </w:p>
    <w:p>
      <w:pPr>
        <w:numPr>
          <w:ilvl w:val="0"/>
          <w:numId w:val="1"/>
        </w:numPr>
        <w:snapToGrid w:val="0"/>
        <w:spacing w:line="38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投标人资格要求：</w:t>
      </w:r>
    </w:p>
    <w:p>
      <w:pPr>
        <w:numPr>
          <w:ilvl w:val="0"/>
          <w:numId w:val="3"/>
        </w:numPr>
        <w:tabs>
          <w:tab w:val="left" w:pos="480"/>
        </w:tabs>
        <w:snapToGrid w:val="0"/>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中华人民共和国境内注册的有合法经营资格的国内独立法人或组织，具有独立承担民事责任的能力（提供相关证明材料加盖公章）。如果是法人，须提供营业执照、税务登记证、组织机构代码证复印件加盖公章，如果是“三证合一”或“五证合一”的营业执照，则不需要提供税务登记证和组织机构代码证。</w:t>
      </w:r>
    </w:p>
    <w:p>
      <w:pPr>
        <w:tabs>
          <w:tab w:val="left" w:pos="480"/>
        </w:tabs>
        <w:snapToGrid w:val="0"/>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w:t>
      </w:r>
      <w:r>
        <w:rPr>
          <w:rFonts w:hint="eastAsia" w:ascii="宋体" w:hAnsi="宋体"/>
          <w:b/>
          <w:color w:val="000000" w:themeColor="text1"/>
          <w:szCs w:val="21"/>
          <w14:textFill>
            <w14:solidFill>
              <w14:schemeClr w14:val="tx1"/>
            </w14:solidFill>
          </w14:textFill>
        </w:rPr>
        <w:t>具备</w:t>
      </w:r>
      <w:bookmarkStart w:id="10" w:name="_Hlk44956715"/>
      <w:r>
        <w:rPr>
          <w:rFonts w:hint="eastAsia" w:ascii="宋体" w:hAnsi="宋体"/>
          <w:b/>
          <w:color w:val="000000" w:themeColor="text1"/>
          <w:szCs w:val="21"/>
          <w14:textFill>
            <w14:solidFill>
              <w14:schemeClr w14:val="tx1"/>
            </w14:solidFill>
          </w14:textFill>
        </w:rPr>
        <w:t>有效期内</w:t>
      </w:r>
      <w:bookmarkEnd w:id="10"/>
      <w:r>
        <w:rPr>
          <w:rFonts w:hint="eastAsia" w:ascii="宋体" w:hAnsi="宋体"/>
          <w:b/>
          <w:color w:val="000000" w:themeColor="text1"/>
          <w:szCs w:val="21"/>
          <w14:textFill>
            <w14:solidFill>
              <w14:schemeClr w14:val="tx1"/>
            </w14:solidFill>
          </w14:textFill>
        </w:rPr>
        <w:t>“工业、商用循环水处理”资质证书。</w:t>
      </w:r>
    </w:p>
    <w:p>
      <w:pPr>
        <w:tabs>
          <w:tab w:val="left" w:pos="480"/>
        </w:tabs>
        <w:snapToGrid w:val="0"/>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中国执行信息公开网”失信被执行人。（以招标人于投标截止日当天在“信用中国”网站（www.creditchina.gov.cn）、中国政府采购网(www.ccgp.gov.cn)及中国执行信息公开网（</w:t>
      </w:r>
      <w:r>
        <w:rPr>
          <w:rFonts w:ascii="宋体" w:hAnsi="宋体"/>
          <w:bCs/>
          <w:color w:val="000000" w:themeColor="text1"/>
          <w:szCs w:val="21"/>
          <w14:textFill>
            <w14:solidFill>
              <w14:schemeClr w14:val="tx1"/>
            </w14:solidFill>
          </w14:textFill>
        </w:rPr>
        <w:t>http://zxgk.court.gov.cn/</w:t>
      </w:r>
      <w:r>
        <w:rPr>
          <w:rFonts w:hint="eastAsia" w:ascii="宋体" w:hAnsi="宋体"/>
          <w:bCs/>
          <w:color w:val="000000" w:themeColor="text1"/>
          <w:szCs w:val="21"/>
          <w14:textFill>
            <w14:solidFill>
              <w14:schemeClr w14:val="tx1"/>
            </w14:solidFill>
          </w14:textFill>
        </w:rPr>
        <w:t>）查询结果为准，如相关失信记录已失效，投标人需提供相关证明资料）。</w:t>
      </w:r>
    </w:p>
    <w:p>
      <w:pPr>
        <w:tabs>
          <w:tab w:val="left" w:pos="480"/>
        </w:tabs>
        <w:snapToGrid w:val="0"/>
        <w:spacing w:line="34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4）单位负责人为同一人或者存在直接控股、管理关系的不同供应商，不得参加同一合同项下的招标投标活动。</w:t>
      </w:r>
    </w:p>
    <w:p>
      <w:pPr>
        <w:tabs>
          <w:tab w:val="left" w:pos="480"/>
        </w:tabs>
        <w:snapToGrid w:val="0"/>
        <w:spacing w:line="34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5）投标人（含其授权的下属单位、分支机构）在投标前三年内，在经营活动中不存在大额诉讼或多宗诉讼或其它违法、违约等影响本次招标项目正常履行的情形（须提供书面声明函）。</w:t>
      </w:r>
    </w:p>
    <w:p>
      <w:pPr>
        <w:pStyle w:val="7"/>
        <w:spacing w:line="340" w:lineRule="exact"/>
        <w:ind w:firstLine="420" w:firstLineChars="200"/>
        <w:rPr>
          <w:rFonts w:ascii="宋体" w:hAnsi="宋体"/>
          <w:bCs/>
          <w:color w:val="000000" w:themeColor="text1"/>
          <w:kern w:val="2"/>
          <w:sz w:val="21"/>
          <w:szCs w:val="21"/>
          <w:lang w:val="en-US"/>
          <w14:textFill>
            <w14:solidFill>
              <w14:schemeClr w14:val="tx1"/>
            </w14:solidFill>
          </w14:textFill>
        </w:rPr>
      </w:pPr>
      <w:r>
        <w:rPr>
          <w:rFonts w:hint="eastAsia" w:ascii="宋体" w:hAnsi="宋体"/>
          <w:bCs/>
          <w:color w:val="000000" w:themeColor="text1"/>
          <w:kern w:val="2"/>
          <w:sz w:val="21"/>
          <w:szCs w:val="21"/>
          <w:lang w:val="en-US"/>
          <w14:textFill>
            <w14:solidFill>
              <w14:schemeClr w14:val="tx1"/>
            </w14:solidFill>
          </w14:textFill>
        </w:rPr>
        <w:t>6）如果投标人或其关联公司曾与东莞市交通投资集团有限公司及其下属企业签订合同的，该投标人或其关联公司须在履约过程中无严重违约而导致合同变更、中止、解除的情形。（须提供书面承诺函）</w:t>
      </w:r>
    </w:p>
    <w:p>
      <w:pPr>
        <w:pStyle w:val="7"/>
        <w:spacing w:line="340" w:lineRule="exact"/>
        <w:ind w:firstLine="420" w:firstLineChars="200"/>
        <w:rPr>
          <w:rFonts w:ascii="宋体" w:hAnsi="宋体"/>
          <w:bCs/>
          <w:color w:val="000000" w:themeColor="text1"/>
          <w:kern w:val="2"/>
          <w:sz w:val="21"/>
          <w:szCs w:val="21"/>
          <w:lang w:val="en-US"/>
          <w14:textFill>
            <w14:solidFill>
              <w14:schemeClr w14:val="tx1"/>
            </w14:solidFill>
          </w14:textFill>
        </w:rPr>
      </w:pPr>
      <w:r>
        <w:rPr>
          <w:rFonts w:hint="eastAsia" w:ascii="宋体" w:hAnsi="宋体"/>
          <w:bCs/>
          <w:color w:val="000000" w:themeColor="text1"/>
          <w:kern w:val="2"/>
          <w:sz w:val="21"/>
          <w:szCs w:val="21"/>
          <w:lang w:val="en-US"/>
          <w14:textFill>
            <w14:solidFill>
              <w14:schemeClr w14:val="tx1"/>
            </w14:solidFill>
          </w14:textFill>
        </w:rPr>
        <w:t>7）投标人或其关联公司无正在与东莞市交通投资集团有限公司及其下属企业发生诉讼的。（须提供书面承诺函）</w:t>
      </w:r>
    </w:p>
    <w:p>
      <w:pPr>
        <w:pStyle w:val="7"/>
        <w:spacing w:line="340" w:lineRule="exact"/>
        <w:ind w:firstLine="420" w:firstLineChars="200"/>
        <w:rPr>
          <w:rFonts w:ascii="宋体" w:hAnsi="宋体"/>
          <w:bCs/>
          <w:color w:val="000000" w:themeColor="text1"/>
          <w:kern w:val="2"/>
          <w:sz w:val="21"/>
          <w:szCs w:val="21"/>
          <w:lang w:val="en-US"/>
          <w14:textFill>
            <w14:solidFill>
              <w14:schemeClr w14:val="tx1"/>
            </w14:solidFill>
          </w14:textFill>
        </w:rPr>
      </w:pPr>
      <w:r>
        <w:rPr>
          <w:rFonts w:hint="eastAsia" w:ascii="宋体" w:hAnsi="宋体"/>
          <w:bCs/>
          <w:color w:val="000000" w:themeColor="text1"/>
          <w:kern w:val="2"/>
          <w:sz w:val="21"/>
          <w:szCs w:val="21"/>
          <w:lang w:val="en-US"/>
          <w14:textFill>
            <w14:solidFill>
              <w14:schemeClr w14:val="tx1"/>
            </w14:solidFill>
          </w14:textFill>
        </w:rPr>
        <w:t>8）无法院判决或仲裁裁决认定投标人或其关联公司在与东莞市交通投资集团有限公司及其下属企业履约过程中存在违约责任或过失责任的。（须提供书面承诺函）</w:t>
      </w:r>
    </w:p>
    <w:p>
      <w:pPr>
        <w:tabs>
          <w:tab w:val="left" w:pos="480"/>
        </w:tabs>
        <w:snapToGrid w:val="0"/>
        <w:spacing w:line="34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9）本次采购项目不接受联合体投标。</w:t>
      </w:r>
    </w:p>
    <w:p>
      <w:pPr>
        <w:numPr>
          <w:ilvl w:val="0"/>
          <w:numId w:val="1"/>
        </w:numPr>
        <w:snapToGrid w:val="0"/>
        <w:spacing w:line="340" w:lineRule="exact"/>
        <w:rPr>
          <w:rFonts w:ascii="宋体" w:hAnsi="宋体"/>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踏勘</w:t>
      </w:r>
      <w:r>
        <w:rPr>
          <w:rFonts w:ascii="宋体" w:hAnsi="宋体"/>
          <w:color w:val="000000" w:themeColor="text1"/>
          <w:szCs w:val="21"/>
          <w14:textFill>
            <w14:solidFill>
              <w14:schemeClr w14:val="tx1"/>
            </w14:solidFill>
          </w14:textFill>
        </w:rPr>
        <w:t>现场：本项目不组织踏勘现场。如有需要，投标人自行踏勘现场。</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本项目采用</w:t>
      </w:r>
      <w:bookmarkStart w:id="11" w:name="_Hlk1990883"/>
      <w:r>
        <w:rPr>
          <w:rFonts w:hint="eastAsia" w:ascii="宋体" w:hAnsi="宋体"/>
          <w:bCs/>
          <w:color w:val="000000" w:themeColor="text1"/>
          <w:szCs w:val="21"/>
          <w14:textFill>
            <w14:solidFill>
              <w14:schemeClr w14:val="tx1"/>
            </w14:solidFill>
          </w14:textFill>
        </w:rPr>
        <w:t>“不记名网上下载”的方式发布招标文件</w:t>
      </w:r>
      <w:bookmarkEnd w:id="11"/>
      <w:r>
        <w:rPr>
          <w:rFonts w:hint="eastAsia" w:ascii="宋体" w:hAnsi="宋体"/>
          <w:bCs/>
          <w:color w:val="000000" w:themeColor="text1"/>
          <w:szCs w:val="21"/>
          <w14:textFill>
            <w14:solidFill>
              <w14:schemeClr w14:val="tx1"/>
            </w14:solidFill>
          </w14:textFill>
        </w:rPr>
        <w:t>，有意向的投标人直接在</w:t>
      </w:r>
      <w:r>
        <w:rPr>
          <w:rFonts w:hint="eastAsia" w:ascii="宋体" w:hAnsi="宋体"/>
          <w:b/>
          <w:color w:val="000000" w:themeColor="text1"/>
          <w:szCs w:val="21"/>
          <w:lang w:val="en-US" w:eastAsia="zh-CN"/>
          <w14:textFill>
            <w14:solidFill>
              <w14:schemeClr w14:val="tx1"/>
            </w14:solidFill>
          </w14:textFill>
        </w:rPr>
        <w:t>2022</w:t>
      </w:r>
      <w:r>
        <w:rPr>
          <w:rFonts w:ascii="宋体" w:hAnsi="宋体"/>
          <w:b/>
          <w:color w:val="000000" w:themeColor="text1"/>
          <w:szCs w:val="21"/>
          <w14:textFill>
            <w14:solidFill>
              <w14:schemeClr w14:val="tx1"/>
            </w14:solidFill>
          </w14:textFill>
        </w:rPr>
        <w:t>年</w:t>
      </w:r>
      <w:r>
        <w:rPr>
          <w:rFonts w:hint="eastAsia"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lang w:val="en-US" w:eastAsia="zh-CN"/>
          <w14:textFill>
            <w14:solidFill>
              <w14:schemeClr w14:val="tx1"/>
            </w14:solidFill>
          </w14:textFill>
        </w:rPr>
        <w:t>5</w:t>
      </w:r>
      <w:r>
        <w:rPr>
          <w:rFonts w:ascii="宋体" w:hAnsi="宋体"/>
          <w:b/>
          <w:color w:val="000000" w:themeColor="text1"/>
          <w:szCs w:val="21"/>
          <w14:textFill>
            <w14:solidFill>
              <w14:schemeClr w14:val="tx1"/>
            </w14:solidFill>
          </w14:textFill>
        </w:rPr>
        <w:t>月</w:t>
      </w:r>
      <w:r>
        <w:rPr>
          <w:rFonts w:hint="eastAsia" w:ascii="宋体" w:hAnsi="宋体"/>
          <w:b/>
          <w:color w:val="000000" w:themeColor="text1"/>
          <w:szCs w:val="21"/>
          <w:lang w:val="en-US" w:eastAsia="zh-CN"/>
          <w14:textFill>
            <w14:solidFill>
              <w14:schemeClr w14:val="tx1"/>
            </w14:solidFill>
          </w14:textFill>
        </w:rPr>
        <w:t>10</w:t>
      </w:r>
      <w:r>
        <w:rPr>
          <w:rFonts w:ascii="宋体" w:hAnsi="宋体"/>
          <w:b/>
          <w:color w:val="000000" w:themeColor="text1"/>
          <w:szCs w:val="21"/>
          <w14:textFill>
            <w14:solidFill>
              <w14:schemeClr w14:val="tx1"/>
            </w14:solidFill>
          </w14:textFill>
        </w:rPr>
        <w:t>日至</w:t>
      </w:r>
      <w:r>
        <w:rPr>
          <w:rFonts w:hint="eastAsia" w:ascii="宋体" w:hAnsi="宋体"/>
          <w:b/>
          <w:color w:val="000000" w:themeColor="text1"/>
          <w:szCs w:val="21"/>
          <w:lang w:val="en-US" w:eastAsia="zh-CN"/>
          <w14:textFill>
            <w14:solidFill>
              <w14:schemeClr w14:val="tx1"/>
            </w14:solidFill>
          </w14:textFill>
        </w:rPr>
        <w:t>2022</w:t>
      </w:r>
      <w:r>
        <w:rPr>
          <w:rFonts w:ascii="宋体" w:hAnsi="宋体"/>
          <w:b/>
          <w:color w:val="000000" w:themeColor="text1"/>
          <w:szCs w:val="21"/>
          <w14:textFill>
            <w14:solidFill>
              <w14:schemeClr w14:val="tx1"/>
            </w14:solidFill>
          </w14:textFill>
        </w:rPr>
        <w:t>年</w:t>
      </w:r>
      <w:r>
        <w:rPr>
          <w:rFonts w:hint="eastAsia" w:ascii="宋体" w:hAnsi="宋体"/>
          <w:b/>
          <w:color w:val="000000" w:themeColor="text1"/>
          <w:szCs w:val="21"/>
          <w:lang w:val="en-US" w:eastAsia="zh-CN"/>
          <w14:textFill>
            <w14:solidFill>
              <w14:schemeClr w14:val="tx1"/>
            </w14:solidFill>
          </w14:textFill>
        </w:rPr>
        <w:t>5</w:t>
      </w:r>
      <w:r>
        <w:rPr>
          <w:rFonts w:ascii="宋体" w:hAnsi="宋体"/>
          <w:b/>
          <w:color w:val="000000" w:themeColor="text1"/>
          <w:szCs w:val="21"/>
          <w14:textFill>
            <w14:solidFill>
              <w14:schemeClr w14:val="tx1"/>
            </w14:solidFill>
          </w14:textFill>
        </w:rPr>
        <w:t>月</w:t>
      </w:r>
      <w:r>
        <w:rPr>
          <w:rFonts w:hint="eastAsia" w:ascii="宋体" w:hAnsi="宋体"/>
          <w:b/>
          <w:color w:val="000000" w:themeColor="text1"/>
          <w:szCs w:val="21"/>
          <w:lang w:val="en-US" w:eastAsia="zh-CN"/>
          <w14:textFill>
            <w14:solidFill>
              <w14:schemeClr w14:val="tx1"/>
            </w14:solidFill>
          </w14:textFill>
        </w:rPr>
        <w:t>19</w:t>
      </w:r>
      <w:r>
        <w:rPr>
          <w:rFonts w:ascii="宋体" w:hAnsi="宋体"/>
          <w:b/>
          <w:color w:val="000000" w:themeColor="text1"/>
          <w:szCs w:val="21"/>
          <w14:textFill>
            <w14:solidFill>
              <w14:schemeClr w14:val="tx1"/>
            </w14:solidFill>
          </w14:textFill>
        </w:rPr>
        <w:t>日</w:t>
      </w:r>
      <w:r>
        <w:rPr>
          <w:rFonts w:hint="eastAsia" w:ascii="宋体" w:hAnsi="宋体"/>
          <w:b/>
          <w:color w:val="000000" w:themeColor="text1"/>
          <w:szCs w:val="21"/>
          <w14:textFill>
            <w14:solidFill>
              <w14:schemeClr w14:val="tx1"/>
            </w14:solidFill>
          </w14:textFill>
        </w:rPr>
        <w:t>止</w:t>
      </w:r>
      <w:r>
        <w:rPr>
          <w:rFonts w:hint="eastAsia" w:ascii="宋体" w:hAnsi="宋体"/>
          <w:bCs/>
          <w:color w:val="000000" w:themeColor="text1"/>
          <w:szCs w:val="21"/>
          <w14:textFill>
            <w14:solidFill>
              <w14:schemeClr w14:val="tx1"/>
            </w14:solidFill>
          </w14:textFill>
        </w:rPr>
        <w:t>，在东莞市交通投资集团有限公司官网下载招标文件。</w:t>
      </w:r>
    </w:p>
    <w:p>
      <w:pPr>
        <w:pStyle w:val="23"/>
        <w:ind w:left="480" w:hanging="480"/>
        <w:rPr>
          <w:rFonts w:hAnsi="宋体"/>
          <w:bCs/>
          <w:color w:val="000000" w:themeColor="text1"/>
          <w:kern w:val="2"/>
          <w:sz w:val="21"/>
          <w:szCs w:val="21"/>
          <w14:textFill>
            <w14:solidFill>
              <w14:schemeClr w14:val="tx1"/>
            </w14:solidFill>
          </w14:textFill>
        </w:rPr>
      </w:pPr>
      <w:r>
        <w:rPr>
          <w:rFonts w:hint="eastAsia" w:hAnsi="宋体"/>
          <w:bCs/>
          <w:color w:val="000000" w:themeColor="text1"/>
          <w:kern w:val="2"/>
          <w:sz w:val="21"/>
          <w:szCs w:val="21"/>
          <w14:textFill>
            <w14:solidFill>
              <w14:schemeClr w14:val="tx1"/>
            </w14:solidFill>
          </w14:textFill>
        </w:rPr>
        <w:t>报名截止时间：</w:t>
      </w:r>
      <w:r>
        <w:rPr>
          <w:rFonts w:hAnsi="宋体"/>
          <w:bCs/>
          <w:color w:val="000000" w:themeColor="text1"/>
          <w:sz w:val="21"/>
          <w:szCs w:val="21"/>
          <w14:textFill>
            <w14:solidFill>
              <w14:schemeClr w14:val="tx1"/>
            </w14:solidFill>
          </w14:textFill>
        </w:rPr>
        <w:t>202</w:t>
      </w:r>
      <w:r>
        <w:rPr>
          <w:rFonts w:hint="eastAsia" w:hAnsi="宋体"/>
          <w:bCs/>
          <w:color w:val="000000" w:themeColor="text1"/>
          <w:sz w:val="21"/>
          <w:szCs w:val="21"/>
          <w14:textFill>
            <w14:solidFill>
              <w14:schemeClr w14:val="tx1"/>
            </w14:solidFill>
          </w14:textFill>
        </w:rPr>
        <w:t>2</w:t>
      </w:r>
      <w:r>
        <w:rPr>
          <w:rFonts w:hAnsi="宋体"/>
          <w:bCs/>
          <w:color w:val="000000" w:themeColor="text1"/>
          <w:sz w:val="21"/>
          <w:szCs w:val="21"/>
          <w14:textFill>
            <w14:solidFill>
              <w14:schemeClr w14:val="tx1"/>
            </w14:solidFill>
          </w14:textFill>
        </w:rPr>
        <w:t>年</w:t>
      </w:r>
      <w:r>
        <w:rPr>
          <w:rFonts w:hint="eastAsia" w:hAnsi="宋体"/>
          <w:bCs/>
          <w:color w:val="000000" w:themeColor="text1"/>
          <w:sz w:val="21"/>
          <w:szCs w:val="21"/>
          <w:u w:val="single"/>
          <w:lang w:val="en-US" w:eastAsia="zh-CN"/>
          <w14:textFill>
            <w14:solidFill>
              <w14:schemeClr w14:val="tx1"/>
            </w14:solidFill>
          </w14:textFill>
        </w:rPr>
        <w:t>5</w:t>
      </w:r>
      <w:r>
        <w:rPr>
          <w:rFonts w:hAnsi="宋体"/>
          <w:bCs/>
          <w:color w:val="000000" w:themeColor="text1"/>
          <w:sz w:val="21"/>
          <w:szCs w:val="21"/>
          <w14:textFill>
            <w14:solidFill>
              <w14:schemeClr w14:val="tx1"/>
            </w14:solidFill>
          </w14:textFill>
        </w:rPr>
        <w:t>月</w:t>
      </w:r>
      <w:r>
        <w:rPr>
          <w:rFonts w:hint="eastAsia" w:hAnsi="宋体"/>
          <w:bCs/>
          <w:color w:val="000000" w:themeColor="text1"/>
          <w:sz w:val="21"/>
          <w:szCs w:val="21"/>
          <w:u w:val="single"/>
          <w:lang w:val="en-US" w:eastAsia="zh-CN"/>
          <w14:textFill>
            <w14:solidFill>
              <w14:schemeClr w14:val="tx1"/>
            </w14:solidFill>
          </w14:textFill>
        </w:rPr>
        <w:t>19</w:t>
      </w:r>
      <w:r>
        <w:rPr>
          <w:rFonts w:hAnsi="宋体"/>
          <w:bCs/>
          <w:color w:val="000000" w:themeColor="text1"/>
          <w:sz w:val="21"/>
          <w:szCs w:val="21"/>
          <w14:textFill>
            <w14:solidFill>
              <w14:schemeClr w14:val="tx1"/>
            </w14:solidFill>
          </w14:textFill>
        </w:rPr>
        <w:t>日</w:t>
      </w:r>
      <w:r>
        <w:rPr>
          <w:rFonts w:hint="eastAsia" w:hAnsi="宋体"/>
          <w:bCs/>
          <w:color w:val="000000" w:themeColor="text1"/>
          <w:sz w:val="21"/>
          <w:szCs w:val="21"/>
          <w:u w:val="single"/>
          <w:lang w:val="en-US" w:eastAsia="zh-CN"/>
          <w14:textFill>
            <w14:solidFill>
              <w14:schemeClr w14:val="tx1"/>
            </w14:solidFill>
          </w14:textFill>
        </w:rPr>
        <w:t>14</w:t>
      </w:r>
      <w:r>
        <w:rPr>
          <w:rFonts w:hint="eastAsia" w:hAnsi="宋体"/>
          <w:bCs/>
          <w:color w:val="000000" w:themeColor="text1"/>
          <w:sz w:val="21"/>
          <w:szCs w:val="21"/>
          <w:u w:val="single"/>
          <w14:textFill>
            <w14:solidFill>
              <w14:schemeClr w14:val="tx1"/>
            </w14:solidFill>
          </w14:textFill>
        </w:rPr>
        <w:t>：</w:t>
      </w:r>
      <w:r>
        <w:rPr>
          <w:rFonts w:hint="eastAsia" w:hAnsi="宋体"/>
          <w:bCs/>
          <w:color w:val="000000" w:themeColor="text1"/>
          <w:sz w:val="21"/>
          <w:szCs w:val="21"/>
          <w:u w:val="single"/>
          <w:lang w:val="en-US" w:eastAsia="zh-CN"/>
          <w14:textFill>
            <w14:solidFill>
              <w14:schemeClr w14:val="tx1"/>
            </w14:solidFill>
          </w14:textFill>
        </w:rPr>
        <w:t>30</w:t>
      </w:r>
      <w:r>
        <w:rPr>
          <w:rFonts w:hint="eastAsia" w:hAnsi="宋体"/>
          <w:bCs/>
          <w:color w:val="000000" w:themeColor="text1"/>
          <w:sz w:val="21"/>
          <w:szCs w:val="21"/>
          <w14:textFill>
            <w14:solidFill>
              <w14:schemeClr w14:val="tx1"/>
            </w14:solidFill>
          </w14:textFill>
        </w:rPr>
        <w:t>前</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投标时间：202</w:t>
      </w:r>
      <w:r>
        <w:rPr>
          <w:rFonts w:hint="eastAsia" w:ascii="宋体" w:hAnsi="宋体"/>
          <w:bCs/>
          <w:color w:val="000000" w:themeColor="text1"/>
          <w:szCs w:val="21"/>
          <w14:textFill>
            <w14:solidFill>
              <w14:schemeClr w14:val="tx1"/>
            </w14:solidFill>
          </w14:textFill>
        </w:rPr>
        <w:t>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lang w:val="en-US" w:eastAsia="zh-CN"/>
          <w14:textFill>
            <w14:solidFill>
              <w14:schemeClr w14:val="tx1"/>
            </w14:solidFill>
          </w14:textFill>
        </w:rPr>
        <w:t>5</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19</w:t>
      </w:r>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lang w:val="en-US" w:eastAsia="zh-CN"/>
          <w14:textFill>
            <w14:solidFill>
              <w14:schemeClr w14:val="tx1"/>
            </w14:solidFill>
          </w14:textFill>
        </w:rPr>
        <w:t>14</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00</w:t>
      </w:r>
      <w:r>
        <w:rPr>
          <w:rFonts w:ascii="宋体" w:hAnsi="宋体"/>
          <w:bCs/>
          <w:color w:val="000000" w:themeColor="text1"/>
          <w:szCs w:val="21"/>
          <w14:textFill>
            <w14:solidFill>
              <w14:schemeClr w14:val="tx1"/>
            </w14:solidFill>
          </w14:textFill>
        </w:rPr>
        <w:t>至</w:t>
      </w:r>
      <w:r>
        <w:rPr>
          <w:rFonts w:hint="eastAsia" w:ascii="宋体" w:hAnsi="宋体"/>
          <w:bCs/>
          <w:color w:val="000000" w:themeColor="text1"/>
          <w:szCs w:val="21"/>
          <w:u w:val="single"/>
          <w:lang w:val="en-US" w:eastAsia="zh-CN"/>
          <w14:textFill>
            <w14:solidFill>
              <w14:schemeClr w14:val="tx1"/>
            </w14:solidFill>
          </w14:textFill>
        </w:rPr>
        <w:t>14</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30</w:t>
      </w:r>
      <w:r>
        <w:rPr>
          <w:rFonts w:hint="eastAsia" w:ascii="宋体" w:hAnsi="宋体"/>
          <w:bCs/>
          <w:color w:val="000000" w:themeColor="text1"/>
          <w:szCs w:val="21"/>
          <w14:textFill>
            <w14:solidFill>
              <w14:schemeClr w14:val="tx1"/>
            </w14:solidFill>
          </w14:textFill>
        </w:rPr>
        <w:t xml:space="preserve">      </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投标截止及开标时间：202</w:t>
      </w:r>
      <w:r>
        <w:rPr>
          <w:rFonts w:hint="eastAsia" w:ascii="宋体" w:hAnsi="宋体"/>
          <w:bCs/>
          <w:color w:val="000000" w:themeColor="text1"/>
          <w:szCs w:val="21"/>
          <w14:textFill>
            <w14:solidFill>
              <w14:schemeClr w14:val="tx1"/>
            </w14:solidFill>
          </w14:textFill>
        </w:rPr>
        <w:t>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u w:val="single"/>
          <w:lang w:val="en-US" w:eastAsia="zh-CN"/>
          <w14:textFill>
            <w14:solidFill>
              <w14:schemeClr w14:val="tx1"/>
            </w14:solidFill>
          </w14:textFill>
        </w:rPr>
        <w:t>5</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19</w:t>
      </w:r>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lang w:val="en-US" w:eastAsia="zh-CN"/>
          <w14:textFill>
            <w14:solidFill>
              <w14:schemeClr w14:val="tx1"/>
            </w14:solidFill>
          </w14:textFill>
        </w:rPr>
        <w:t>14</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30</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投标及开标地点：</w:t>
      </w:r>
      <w:bookmarkStart w:id="12" w:name="_Hlk36110264"/>
      <w:r>
        <w:rPr>
          <w:rFonts w:ascii="宋体" w:hAnsi="宋体"/>
          <w:bCs/>
          <w:color w:val="000000" w:themeColor="text1"/>
          <w:szCs w:val="21"/>
          <w14:textFill>
            <w14:solidFill>
              <w14:schemeClr w14:val="tx1"/>
            </w14:solidFill>
          </w14:textFill>
        </w:rPr>
        <w:t>广东省东莞市</w:t>
      </w:r>
      <w:r>
        <w:rPr>
          <w:rFonts w:hint="eastAsia" w:ascii="宋体" w:hAnsi="宋体"/>
          <w:bCs/>
          <w:color w:val="000000" w:themeColor="text1"/>
          <w:szCs w:val="21"/>
          <w14:textFill>
            <w14:solidFill>
              <w14:schemeClr w14:val="tx1"/>
            </w14:solidFill>
          </w14:textFill>
        </w:rPr>
        <w:t>东城街道东城路</w:t>
      </w:r>
      <w:r>
        <w:rPr>
          <w:rFonts w:ascii="宋体" w:hAnsi="宋体"/>
          <w:bCs/>
          <w:color w:val="000000" w:themeColor="text1"/>
          <w:szCs w:val="21"/>
          <w14:textFill>
            <w14:solidFill>
              <w14:schemeClr w14:val="tx1"/>
            </w14:solidFill>
          </w14:textFill>
        </w:rPr>
        <w:t>561</w:t>
      </w:r>
      <w:r>
        <w:rPr>
          <w:rFonts w:hint="eastAsia" w:ascii="宋体" w:hAnsi="宋体"/>
          <w:bCs/>
          <w:color w:val="000000" w:themeColor="text1"/>
          <w:szCs w:val="21"/>
          <w14:textFill>
            <w14:solidFill>
              <w14:schemeClr w14:val="tx1"/>
            </w14:solidFill>
          </w14:textFill>
        </w:rPr>
        <w:t>号东城街道办事处</w:t>
      </w:r>
      <w:r>
        <w:rPr>
          <w:rFonts w:ascii="宋体" w:hAnsi="宋体"/>
          <w:bCs/>
          <w:color w:val="000000" w:themeColor="text1"/>
          <w:szCs w:val="21"/>
          <w14:textFill>
            <w14:solidFill>
              <w14:schemeClr w14:val="tx1"/>
            </w14:solidFill>
          </w14:textFill>
        </w:rPr>
        <w:t>2号楼2楼</w:t>
      </w:r>
      <w:r>
        <w:rPr>
          <w:rFonts w:hint="eastAsia" w:ascii="宋体" w:hAnsi="宋体"/>
          <w:bCs/>
          <w:color w:val="000000" w:themeColor="text1"/>
          <w:szCs w:val="21"/>
          <w14:textFill>
            <w14:solidFill>
              <w14:schemeClr w14:val="tx1"/>
            </w14:solidFill>
          </w14:textFill>
        </w:rPr>
        <w:t>（</w:t>
      </w:r>
      <w:bookmarkStart w:id="354" w:name="_GoBack"/>
      <w:bookmarkEnd w:id="354"/>
      <w:r>
        <w:rPr>
          <w:rFonts w:ascii="宋体" w:hAnsi="宋体"/>
          <w:bCs/>
          <w:color w:val="000000" w:themeColor="text1"/>
          <w:szCs w:val="21"/>
          <w14:textFill>
            <w14:solidFill>
              <w14:schemeClr w14:val="tx1"/>
            </w14:solidFill>
          </w14:textFill>
        </w:rPr>
        <w:t>公共资源交易</w:t>
      </w:r>
      <w:r>
        <w:rPr>
          <w:rFonts w:hint="eastAsia" w:ascii="宋体" w:hAnsi="宋体"/>
          <w:bCs/>
          <w:color w:val="000000" w:themeColor="text1"/>
          <w:szCs w:val="21"/>
          <w14:textFill>
            <w14:solidFill>
              <w14:schemeClr w14:val="tx1"/>
            </w14:solidFill>
          </w14:textFill>
        </w:rPr>
        <w:t>大厅）</w:t>
      </w:r>
      <w:r>
        <w:rPr>
          <w:rFonts w:ascii="宋体" w:hAnsi="宋体"/>
          <w:bCs/>
          <w:color w:val="000000" w:themeColor="text1"/>
          <w:szCs w:val="21"/>
          <w14:textFill>
            <w14:solidFill>
              <w14:schemeClr w14:val="tx1"/>
            </w14:solidFill>
          </w14:textFill>
        </w:rPr>
        <w:t>开标</w:t>
      </w:r>
      <w:r>
        <w:rPr>
          <w:rFonts w:hint="eastAsia" w:ascii="宋体" w:hAnsi="宋体"/>
          <w:bCs/>
          <w:color w:val="000000" w:themeColor="text1"/>
          <w:szCs w:val="21"/>
          <w:u w:val="single"/>
          <w:lang w:val="en-US" w:eastAsia="zh-CN"/>
          <w14:textFill>
            <w14:solidFill>
              <w14:schemeClr w14:val="tx1"/>
            </w14:solidFill>
          </w14:textFill>
        </w:rPr>
        <w:t>1</w:t>
      </w:r>
      <w:r>
        <w:rPr>
          <w:rFonts w:ascii="宋体" w:hAnsi="宋体"/>
          <w:bCs/>
          <w:color w:val="000000" w:themeColor="text1"/>
          <w:szCs w:val="21"/>
          <w14:textFill>
            <w14:solidFill>
              <w14:schemeClr w14:val="tx1"/>
            </w14:solidFill>
          </w14:textFill>
        </w:rPr>
        <w:t>室</w:t>
      </w:r>
      <w:bookmarkEnd w:id="12"/>
      <w:r>
        <w:rPr>
          <w:rFonts w:ascii="宋体" w:hAnsi="宋体"/>
          <w:bCs/>
          <w:color w:val="000000" w:themeColor="text1"/>
          <w:szCs w:val="21"/>
          <w14:textFill>
            <w14:solidFill>
              <w14:schemeClr w14:val="tx1"/>
            </w14:solidFill>
          </w14:textFill>
        </w:rPr>
        <w:t>。</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本采购项目不举行集中答疑会，统一在网上集中答疑，如有任何疑问以书面形式</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将疑问函原件</w:t>
      </w:r>
      <w:r>
        <w:rPr>
          <w:rFonts w:hint="eastAsia" w:ascii="宋体" w:hAnsi="宋体"/>
          <w:bCs/>
          <w:color w:val="000000" w:themeColor="text1"/>
          <w:szCs w:val="21"/>
          <w14:textFill>
            <w14:solidFill>
              <w14:schemeClr w14:val="tx1"/>
            </w14:solidFill>
          </w14:textFill>
        </w:rPr>
        <w:t>加盖公章</w:t>
      </w:r>
      <w:r>
        <w:rPr>
          <w:rFonts w:ascii="宋体" w:hAnsi="宋体"/>
          <w:bCs/>
          <w:color w:val="000000" w:themeColor="text1"/>
          <w:szCs w:val="21"/>
          <w14:textFill>
            <w14:solidFill>
              <w14:schemeClr w14:val="tx1"/>
            </w14:solidFill>
          </w14:textFill>
        </w:rPr>
        <w:t>送至</w:t>
      </w:r>
      <w:r>
        <w:rPr>
          <w:rFonts w:hint="eastAsia" w:ascii="宋体" w:hAnsi="宋体"/>
          <w:bCs/>
          <w:color w:val="000000" w:themeColor="text1"/>
          <w:szCs w:val="21"/>
          <w14:textFill>
            <w14:solidFill>
              <w14:schemeClr w14:val="tx1"/>
            </w14:solidFill>
          </w14:textFill>
        </w:rPr>
        <w:t>招标单位</w:t>
      </w:r>
      <w:r>
        <w:rPr>
          <w:rFonts w:ascii="宋体" w:hAnsi="宋体"/>
          <w:bCs/>
          <w:color w:val="000000" w:themeColor="text1"/>
          <w:szCs w:val="21"/>
          <w14:textFill>
            <w14:solidFill>
              <w14:schemeClr w14:val="tx1"/>
            </w14:solidFill>
          </w14:textFill>
        </w:rPr>
        <w:t>。</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14:textFill>
            <w14:solidFill>
              <w14:schemeClr w14:val="tx1"/>
            </w14:solidFill>
          </w14:textFill>
        </w:rPr>
        <w:t>将不负责投标人准备投标文件所发生的任何成本费用。</w:t>
      </w:r>
    </w:p>
    <w:p>
      <w:pPr>
        <w:pStyle w:val="7"/>
        <w:spacing w:line="360" w:lineRule="atLeast"/>
      </w:pPr>
    </w:p>
    <w:p>
      <w:pPr>
        <w:snapToGrid w:val="0"/>
        <w:spacing w:line="360" w:lineRule="atLeast"/>
        <w:ind w:left="546" w:leftChars="229" w:hanging="65" w:hangingChars="31"/>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招标单位名称：</w:t>
      </w:r>
      <w:r>
        <w:rPr>
          <w:rFonts w:hint="eastAsia" w:ascii="宋体" w:hAnsi="宋体"/>
          <w:bCs/>
          <w:color w:val="000000" w:themeColor="text1"/>
          <w:szCs w:val="21"/>
          <w:u w:val="single"/>
          <w14:textFill>
            <w14:solidFill>
              <w14:schemeClr w14:val="tx1"/>
            </w14:solidFill>
          </w14:textFill>
        </w:rPr>
        <w:t>东莞市数据互联有限公司</w:t>
      </w:r>
    </w:p>
    <w:p>
      <w:pPr>
        <w:snapToGrid w:val="0"/>
        <w:spacing w:line="360" w:lineRule="atLeast"/>
        <w:ind w:left="548" w:leftChars="229" w:hanging="67" w:hangingChars="32"/>
        <w:rPr>
          <w:rFonts w:ascii="宋体" w:hAnsi="宋体" w:cs="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详细地址：</w:t>
      </w:r>
      <w:r>
        <w:rPr>
          <w:rFonts w:hint="eastAsia" w:ascii="宋体" w:hAnsi="宋体"/>
          <w:bCs/>
          <w:color w:val="000000" w:themeColor="text1"/>
          <w:szCs w:val="21"/>
          <w14:textFill>
            <w14:solidFill>
              <w14:schemeClr w14:val="tx1"/>
            </w14:solidFill>
          </w14:textFill>
        </w:rPr>
        <w:t>广东省东莞市寮步镇曲岭一路85号</w:t>
      </w:r>
    </w:p>
    <w:p>
      <w:pPr>
        <w:snapToGrid w:val="0"/>
        <w:spacing w:line="360" w:lineRule="atLeast"/>
        <w:ind w:firstLine="457" w:firstLineChars="218"/>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邮    编：</w:t>
      </w:r>
      <w:r>
        <w:rPr>
          <w:rFonts w:ascii="宋体" w:hAnsi="宋体"/>
          <w:bCs/>
          <w:color w:val="000000" w:themeColor="text1"/>
          <w:szCs w:val="21"/>
          <w:u w:val="single"/>
          <w14:textFill>
            <w14:solidFill>
              <w14:schemeClr w14:val="tx1"/>
            </w14:solidFill>
          </w14:textFill>
        </w:rPr>
        <w:t>523000</w:t>
      </w:r>
      <w:r>
        <w:rPr>
          <w:rFonts w:ascii="宋体" w:hAnsi="宋体"/>
          <w:bCs/>
          <w:color w:val="000000" w:themeColor="text1"/>
          <w:szCs w:val="21"/>
          <w14:textFill>
            <w14:solidFill>
              <w14:schemeClr w14:val="tx1"/>
            </w14:solidFill>
          </w14:textFill>
        </w:rPr>
        <w:t xml:space="preserve">             联 系 人</w:t>
      </w: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u w:val="single"/>
          <w14:textFill>
            <w14:solidFill>
              <w14:schemeClr w14:val="tx1"/>
            </w14:solidFill>
          </w14:textFill>
        </w:rPr>
        <w:t xml:space="preserve"> 刘先生</w:t>
      </w:r>
      <w:r>
        <w:rPr>
          <w:rFonts w:ascii="宋体" w:hAnsi="宋体"/>
          <w:bCs/>
          <w:color w:val="000000" w:themeColor="text1"/>
          <w:szCs w:val="21"/>
          <w:u w:val="single"/>
          <w14:textFill>
            <w14:solidFill>
              <w14:schemeClr w14:val="tx1"/>
            </w14:solidFill>
          </w14:textFill>
        </w:rPr>
        <w:t xml:space="preserve"> </w:t>
      </w:r>
    </w:p>
    <w:p>
      <w:pPr>
        <w:snapToGrid w:val="0"/>
        <w:spacing w:line="360" w:lineRule="atLeast"/>
        <w:ind w:left="546" w:leftChars="229" w:hanging="65" w:hangingChars="31"/>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电    话：</w:t>
      </w:r>
      <w:r>
        <w:rPr>
          <w:rFonts w:ascii="宋体" w:hAnsi="宋体"/>
          <w:bCs/>
          <w:color w:val="000000" w:themeColor="text1"/>
          <w:szCs w:val="21"/>
          <w:u w:val="single"/>
          <w14:textFill>
            <w14:solidFill>
              <w14:schemeClr w14:val="tx1"/>
            </w14:solidFill>
          </w14:textFill>
        </w:rPr>
        <w:t xml:space="preserve"> 0769-</w:t>
      </w:r>
      <w:r>
        <w:rPr>
          <w:rFonts w:hint="eastAsia" w:ascii="宋体" w:hAnsi="宋体"/>
          <w:bCs/>
          <w:color w:val="000000" w:themeColor="text1"/>
          <w:szCs w:val="21"/>
          <w:u w:val="single"/>
          <w14:textFill>
            <w14:solidFill>
              <w14:schemeClr w14:val="tx1"/>
            </w14:solidFill>
          </w14:textFill>
        </w:rPr>
        <w:t>23308212</w:t>
      </w:r>
      <w:r>
        <w:rPr>
          <w:rFonts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 xml:space="preserve">    传    真：</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u w:val="single"/>
          <w14:textFill>
            <w14:solidFill>
              <w14:schemeClr w14:val="tx1"/>
            </w14:solidFill>
          </w14:textFill>
        </w:rPr>
        <w:t xml:space="preserve">    </w:t>
      </w:r>
    </w:p>
    <w:p>
      <w:pPr>
        <w:tabs>
          <w:tab w:val="left" w:pos="480"/>
        </w:tabs>
        <w:snapToGrid w:val="0"/>
        <w:spacing w:line="380" w:lineRule="exact"/>
        <w:ind w:firstLine="5460" w:firstLineChars="2600"/>
        <w:jc w:val="left"/>
        <w:rPr>
          <w:rFonts w:ascii="宋体" w:hAnsi="宋体"/>
          <w:bCs/>
          <w:color w:val="000000" w:themeColor="text1"/>
          <w:szCs w:val="21"/>
          <w14:textFill>
            <w14:solidFill>
              <w14:schemeClr w14:val="tx1"/>
            </w14:solidFill>
          </w14:textFill>
        </w:rPr>
      </w:pPr>
    </w:p>
    <w:p>
      <w:pPr>
        <w:pStyle w:val="7"/>
      </w:pPr>
    </w:p>
    <w:p>
      <w:pPr>
        <w:tabs>
          <w:tab w:val="left" w:pos="480"/>
        </w:tabs>
        <w:snapToGrid w:val="0"/>
        <w:spacing w:line="380" w:lineRule="exact"/>
        <w:ind w:firstLine="5880" w:firstLineChars="2800"/>
        <w:jc w:val="left"/>
        <w:rPr>
          <w:rFonts w:ascii="Times New Roman" w:hAnsi="Times New Roman"/>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lang w:val="en-US" w:eastAsia="zh-CN"/>
          <w14:textFill>
            <w14:solidFill>
              <w14:schemeClr w14:val="tx1"/>
            </w14:solidFill>
          </w14:textFill>
        </w:rPr>
        <w:t>5</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lang w:val="en-US" w:eastAsia="zh-CN"/>
          <w14:textFill>
            <w14:solidFill>
              <w14:schemeClr w14:val="tx1"/>
            </w14:solidFill>
          </w14:textFill>
        </w:rPr>
        <w:t>10</w:t>
      </w:r>
      <w:r>
        <w:rPr>
          <w:rFonts w:ascii="宋体" w:hAnsi="宋体"/>
          <w:bCs/>
          <w:color w:val="000000" w:themeColor="text1"/>
          <w:szCs w:val="21"/>
          <w14:textFill>
            <w14:solidFill>
              <w14:schemeClr w14:val="tx1"/>
            </w14:solidFill>
          </w14:textFill>
        </w:rPr>
        <w:t>日</w:t>
      </w:r>
      <w:r>
        <w:rPr>
          <w:rFonts w:ascii="Times New Roman" w:hAnsi="Times New Roman"/>
          <w:color w:val="000000" w:themeColor="text1"/>
          <w:szCs w:val="21"/>
          <w14:textFill>
            <w14:solidFill>
              <w14:schemeClr w14:val="tx1"/>
            </w14:solidFill>
          </w14:textFill>
        </w:rPr>
        <w:br w:type="page"/>
      </w: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3"/>
        <w:numPr>
          <w:ilvl w:val="0"/>
          <w:numId w:val="4"/>
        </w:numPr>
        <w:jc w:val="center"/>
        <w:rPr>
          <w:rFonts w:ascii="Times New Roman" w:hAnsi="Times New Roman"/>
          <w:color w:val="000000" w:themeColor="text1"/>
          <w14:textFill>
            <w14:solidFill>
              <w14:schemeClr w14:val="tx1"/>
            </w14:solidFill>
          </w14:textFill>
        </w:rPr>
      </w:pPr>
      <w:bookmarkStart w:id="13" w:name="_Toc1274"/>
      <w:bookmarkStart w:id="14" w:name="_Toc24850"/>
      <w:bookmarkStart w:id="15" w:name="_Toc11196"/>
      <w:r>
        <w:rPr>
          <w:rFonts w:hint="eastAsia" w:ascii="Times New Roman" w:hAnsi="Times New Roman"/>
          <w:color w:val="000000" w:themeColor="text1"/>
          <w14:textFill>
            <w14:solidFill>
              <w14:schemeClr w14:val="tx1"/>
            </w14:solidFill>
          </w14:textFill>
        </w:rPr>
        <w:t>投标人须知</w:t>
      </w:r>
      <w:bookmarkEnd w:id="6"/>
      <w:bookmarkEnd w:id="13"/>
      <w:bookmarkEnd w:id="14"/>
      <w:bookmarkEnd w:id="15"/>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7"/>
        <w:rPr>
          <w:rFonts w:ascii="Times New Roman" w:hAnsi="Times New Roman"/>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widowControl/>
        <w:jc w:val="left"/>
        <w:rPr>
          <w:rFonts w:ascii="Times New Roman" w:hAnsi="Times New Roman"/>
          <w:color w:val="000000" w:themeColor="text1"/>
          <w14:textFill>
            <w14:solidFill>
              <w14:schemeClr w14:val="tx1"/>
            </w14:solidFill>
          </w14:textFill>
        </w:rPr>
      </w:pPr>
      <w:bookmarkStart w:id="16" w:name="_Toc425348132"/>
      <w:bookmarkStart w:id="17" w:name="_Toc396137231"/>
      <w:bookmarkStart w:id="18" w:name="_Toc441844050"/>
      <w:r>
        <w:rPr>
          <w:rFonts w:ascii="Times New Roman" w:hAnsi="Times New Roman"/>
          <w:color w:val="000000" w:themeColor="text1"/>
          <w14:textFill>
            <w14:solidFill>
              <w14:schemeClr w14:val="tx1"/>
            </w14:solidFill>
          </w14:textFill>
        </w:rPr>
        <w:br w:type="page"/>
      </w:r>
    </w:p>
    <w:p>
      <w:pPr>
        <w:pStyle w:val="4"/>
        <w:numPr>
          <w:ilvl w:val="0"/>
          <w:numId w:val="5"/>
        </w:numPr>
        <w:spacing w:line="360" w:lineRule="auto"/>
        <w:jc w:val="center"/>
        <w:rPr>
          <w:rFonts w:ascii="Times New Roman" w:hAnsi="Times New Roman" w:eastAsia="宋体"/>
          <w:bCs/>
          <w:color w:val="000000" w:themeColor="text1"/>
          <w:kern w:val="44"/>
          <w14:textFill>
            <w14:solidFill>
              <w14:schemeClr w14:val="tx1"/>
            </w14:solidFill>
          </w14:textFill>
        </w:rPr>
      </w:pPr>
      <w:bookmarkStart w:id="19" w:name="_Toc23811"/>
      <w:bookmarkStart w:id="20" w:name="_Toc8855"/>
      <w:bookmarkStart w:id="21" w:name="_Toc4210"/>
      <w:r>
        <w:rPr>
          <w:rFonts w:hint="eastAsia" w:ascii="Times New Roman" w:hAnsi="Times New Roman" w:eastAsia="宋体"/>
          <w:bCs/>
          <w:color w:val="000000" w:themeColor="text1"/>
          <w:kern w:val="44"/>
          <w14:textFill>
            <w14:solidFill>
              <w14:schemeClr w14:val="tx1"/>
            </w14:solidFill>
          </w14:textFill>
        </w:rPr>
        <w:t>投标人须知前附表</w:t>
      </w:r>
      <w:bookmarkEnd w:id="16"/>
      <w:bookmarkEnd w:id="17"/>
      <w:bookmarkEnd w:id="18"/>
      <w:bookmarkEnd w:id="19"/>
      <w:bookmarkEnd w:id="20"/>
      <w:bookmarkEnd w:id="21"/>
    </w:p>
    <w:tbl>
      <w:tblPr>
        <w:tblStyle w:val="17"/>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tcBorders>
              <w:top w:val="doub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项目</w:t>
            </w:r>
          </w:p>
        </w:tc>
        <w:tc>
          <w:tcPr>
            <w:tcW w:w="1559" w:type="dxa"/>
            <w:tcBorders>
              <w:top w:val="doub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内容</w:t>
            </w:r>
          </w:p>
        </w:tc>
        <w:tc>
          <w:tcPr>
            <w:tcW w:w="6749" w:type="dxa"/>
            <w:tcBorders>
              <w:top w:val="double" w:color="auto" w:sz="4" w:space="0"/>
              <w:left w:val="single" w:color="auto" w:sz="4" w:space="0"/>
              <w:bottom w:val="single" w:color="auto" w:sz="4" w:space="0"/>
              <w:right w:val="doub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项目预算金额</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宋体" w:hAnsi="宋体" w:eastAsia="黑体"/>
                <w:bCs/>
                <w:color w:val="000000" w:themeColor="text1"/>
                <w:sz w:val="22"/>
                <w:szCs w:val="22"/>
                <w14:textFill>
                  <w14:solidFill>
                    <w14:schemeClr w14:val="tx1"/>
                  </w14:solidFill>
                </w14:textFill>
              </w:rPr>
            </w:pPr>
            <w:r>
              <w:rPr>
                <w:rFonts w:hint="eastAsia" w:ascii="Times New Roman" w:hAnsi="Times New Roman" w:cs="宋体"/>
                <w:bCs/>
                <w:color w:val="000000" w:themeColor="text1"/>
                <w:sz w:val="22"/>
                <w:szCs w:val="22"/>
                <w14:textFill>
                  <w14:solidFill>
                    <w14:schemeClr w14:val="tx1"/>
                  </w14:solidFill>
                </w14:textFill>
              </w:rPr>
              <w:t>详见《招标公告函》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资金来源</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Times New Roman" w:hAnsi="Times New Roman" w:cs="宋体"/>
                <w:bCs/>
                <w:color w:val="000000" w:themeColor="text1"/>
                <w:sz w:val="22"/>
                <w:szCs w:val="22"/>
                <w14:textFill>
                  <w14:solidFill>
                    <w14:schemeClr w14:val="tx1"/>
                  </w14:solidFill>
                </w14:textFill>
              </w:rPr>
            </w:pPr>
            <w:r>
              <w:rPr>
                <w:rFonts w:hint="eastAsia" w:ascii="Times New Roman" w:hAnsi="Times New Roman" w:cs="宋体"/>
                <w:bCs/>
                <w:color w:val="000000" w:themeColor="text1"/>
                <w:sz w:val="22"/>
                <w:szCs w:val="22"/>
                <w14:textFill>
                  <w14:solidFill>
                    <w14:schemeClr w14:val="tx1"/>
                  </w14:solidFill>
                </w14:textFill>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i/>
                <w:color w:val="000000" w:themeColor="text1"/>
                <w:sz w:val="22"/>
                <w:szCs w:val="22"/>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东莞市数据互联有限公司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合格的投标人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u w:val="single"/>
                <w:lang w:val="zh-CN"/>
                <w14:textFill>
                  <w14:solidFill>
                    <w14:schemeClr w14:val="tx1"/>
                  </w14:solidFill>
                </w14:textFill>
              </w:rPr>
            </w:pPr>
            <w:r>
              <w:rPr>
                <w:rFonts w:ascii="宋体" w:hAnsi="宋体"/>
                <w:bCs/>
                <w:color w:val="000000" w:themeColor="text1"/>
                <w:sz w:val="22"/>
                <w:szCs w:val="22"/>
                <w14:textFill>
                  <w14:solidFill>
                    <w14:schemeClr w14:val="tx1"/>
                  </w14:solidFill>
                </w14:textFill>
              </w:rPr>
              <w:t>见第一章《</w:t>
            </w:r>
            <w:r>
              <w:rPr>
                <w:rFonts w:hint="eastAsia" w:ascii="宋体" w:hAnsi="宋体"/>
                <w:bCs/>
                <w:color w:val="000000" w:themeColor="text1"/>
                <w:sz w:val="22"/>
                <w:szCs w:val="22"/>
                <w14:textFill>
                  <w14:solidFill>
                    <w14:schemeClr w14:val="tx1"/>
                  </w14:solidFill>
                </w14:textFill>
              </w:rPr>
              <w:t>招标公告</w:t>
            </w:r>
            <w:r>
              <w:rPr>
                <w:rFonts w:ascii="宋体" w:hAnsi="宋体"/>
                <w:bCs/>
                <w:color w:val="000000" w:themeColor="text1"/>
                <w:sz w:val="22"/>
                <w:szCs w:val="22"/>
                <w14:textFill>
                  <w14:solidFill>
                    <w14:schemeClr w14:val="tx1"/>
                  </w14:solidFill>
                </w14:textFill>
              </w:rPr>
              <w:t>》中第5款的</w:t>
            </w:r>
            <w:r>
              <w:rPr>
                <w:rFonts w:ascii="宋体" w:hAnsi="宋体"/>
                <w:b/>
                <w:bCs/>
                <w:color w:val="000000" w:themeColor="text1"/>
                <w:sz w:val="22"/>
                <w:szCs w:val="22"/>
                <w:u w:val="single"/>
                <w14:textFill>
                  <w14:solidFill>
                    <w14:schemeClr w14:val="tx1"/>
                  </w14:solidFill>
                </w14:textFill>
              </w:rPr>
              <w:t>投标人资格要求。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left w:val="doub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关于联合体投标</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本项目</w:t>
            </w:r>
            <w:r>
              <w:rPr>
                <w:rFonts w:ascii="宋体" w:hAnsi="宋体"/>
                <w:b/>
                <w:color w:val="000000" w:themeColor="text1"/>
                <w:sz w:val="22"/>
                <w:szCs w:val="22"/>
                <w:u w:val="single"/>
                <w:lang w:val="zh-CN"/>
                <w14:textFill>
                  <w14:solidFill>
                    <w14:schemeClr w14:val="tx1"/>
                  </w14:solidFill>
                </w14:textFill>
              </w:rPr>
              <w:t>不允许</w:t>
            </w:r>
            <w:r>
              <w:rPr>
                <w:rFonts w:ascii="宋体" w:hAnsi="宋体"/>
                <w:color w:val="000000" w:themeColor="text1"/>
                <w:sz w:val="22"/>
                <w:szCs w:val="22"/>
                <w:lang w:val="zh-CN"/>
                <w14:textFill>
                  <w14:solidFill>
                    <w14:schemeClr w14:val="tx1"/>
                  </w14:solidFill>
                </w14:textFill>
              </w:rPr>
              <w:t>联合体投标，招标文件中与允许联合体投标有关的条款、文字表述或格式不适用于本次</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踏勘现场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不集中组织，由投标人自行踏勘现场。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招标文件的</w:t>
            </w:r>
            <w:r>
              <w:rPr>
                <w:rFonts w:hint="eastAsia" w:ascii="宋体" w:hAnsi="宋体"/>
                <w:color w:val="000000" w:themeColor="text1"/>
                <w:sz w:val="22"/>
                <w:szCs w:val="22"/>
                <w14:textFill>
                  <w14:solidFill>
                    <w14:schemeClr w14:val="tx1"/>
                  </w14:solidFill>
                </w14:textFill>
              </w:rPr>
              <w:t>异议</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见第二章《投标须知》中第</w:t>
            </w:r>
            <w:r>
              <w:rPr>
                <w:rFonts w:ascii="宋体" w:hAnsi="宋体"/>
                <w:color w:val="000000" w:themeColor="text1"/>
                <w:sz w:val="22"/>
                <w:szCs w:val="22"/>
                <w14:textFill>
                  <w14:solidFill>
                    <w14:schemeClr w14:val="tx1"/>
                  </w14:solidFill>
                </w14:textFill>
              </w:rPr>
              <w:t>8款的</w:t>
            </w:r>
            <w:r>
              <w:rPr>
                <w:rFonts w:hint="eastAsia" w:ascii="宋体" w:hAnsi="宋体"/>
                <w:b/>
                <w:color w:val="000000" w:themeColor="text1"/>
                <w:sz w:val="22"/>
                <w:szCs w:val="22"/>
                <w:u w:val="single"/>
                <w14:textFill>
                  <w14:solidFill>
                    <w14:schemeClr w14:val="tx1"/>
                  </w14:solidFill>
                </w14:textFill>
              </w:rPr>
              <w:t>招标文件的异议</w:t>
            </w:r>
            <w:r>
              <w:rPr>
                <w:rFonts w:hint="eastAsia" w:ascii="宋体" w:hAnsi="宋体"/>
                <w:color w:val="000000" w:themeColor="text1"/>
                <w:sz w:val="22"/>
                <w:szCs w:val="22"/>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报价</w:t>
            </w:r>
            <w:r>
              <w:rPr>
                <w:rFonts w:hint="eastAsia" w:ascii="宋体" w:hAnsi="宋体"/>
                <w:color w:val="000000" w:themeColor="text1"/>
                <w:sz w:val="22"/>
                <w:szCs w:val="22"/>
                <w14:textFill>
                  <w14:solidFill>
                    <w14:schemeClr w14:val="tx1"/>
                  </w14:solidFill>
                </w14:textFill>
              </w:rPr>
              <w:t>要求</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ind w:right="-21" w:rightChars="-1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1.报价应包含完成用户需求书中约定部分工作内容的含税人民币价格。</w:t>
            </w:r>
          </w:p>
          <w:p>
            <w:pPr>
              <w:spacing w:line="360" w:lineRule="exact"/>
              <w:ind w:right="-21" w:rightChars="-1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2.投标报价应包括国家规定的所有税费及与项目相关的所有费用。</w:t>
            </w:r>
          </w:p>
          <w:p>
            <w:pPr>
              <w:spacing w:line="360" w:lineRule="exact"/>
              <w:ind w:right="-21" w:rightChars="-10"/>
              <w:rPr>
                <w:rFonts w:ascii="宋体" w:hAnsi="宋体"/>
                <w:b/>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3.投标人应以人民币为结算单位。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投标保证金</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ind w:right="-21" w:rightChars="-10"/>
            </w:pPr>
            <w:r>
              <w:rPr>
                <w:rFonts w:hint="eastAsia"/>
              </w:rPr>
              <w:t>无需递交投标保证金。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18.1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投标有效期</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color w:val="000000" w:themeColor="text1"/>
                <w:sz w:val="22"/>
                <w:szCs w:val="22"/>
                <w14:textFill>
                  <w14:solidFill>
                    <w14:schemeClr w14:val="tx1"/>
                  </w14:solidFill>
                </w14:textFill>
              </w:rPr>
            </w:pPr>
            <w:r>
              <w:rPr>
                <w:rFonts w:ascii="宋体" w:hAnsi="宋体"/>
                <w:bCs/>
                <w:color w:val="000000" w:themeColor="text1"/>
                <w:sz w:val="22"/>
                <w:szCs w:val="22"/>
                <w:lang w:val="zh-CN"/>
                <w14:textFill>
                  <w14:solidFill>
                    <w14:schemeClr w14:val="tx1"/>
                  </w14:solidFill>
                </w14:textFill>
              </w:rPr>
              <w:t>递交投标文件截止日后90日内有效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000000" w:themeColor="text1"/>
                <w:sz w:val="22"/>
                <w:szCs w:val="22"/>
                <w14:textFill>
                  <w14:solidFill>
                    <w14:schemeClr w14:val="tx1"/>
                  </w14:solidFill>
                </w14:textFill>
              </w:rPr>
            </w:pPr>
            <w:r>
              <w:rPr>
                <w:rFonts w:ascii="宋体" w:hAnsi="宋体"/>
                <w:b/>
                <w:bCs/>
                <w:color w:val="000000" w:themeColor="text1"/>
                <w:sz w:val="22"/>
                <w:szCs w:val="22"/>
                <w14:textFill>
                  <w14:solidFill>
                    <w14:schemeClr w14:val="tx1"/>
                  </w14:solidFill>
                </w14:textFill>
              </w:rPr>
              <w:t>投标截止时间</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本项目投标截止时间为</w:t>
            </w:r>
            <w:r>
              <w:rPr>
                <w:rFonts w:hint="eastAsia" w:ascii="宋体" w:hAnsi="宋体"/>
                <w:b/>
                <w:bCs/>
                <w:color w:val="000000" w:themeColor="text1"/>
                <w:sz w:val="22"/>
                <w:szCs w:val="22"/>
                <w:lang w:val="en-US" w:eastAsia="zh-CN"/>
                <w14:textFill>
                  <w14:solidFill>
                    <w14:schemeClr w14:val="tx1"/>
                  </w14:solidFill>
                </w14:textFill>
              </w:rPr>
              <w:t>2022</w:t>
            </w:r>
            <w:r>
              <w:rPr>
                <w:rFonts w:ascii="宋体" w:hAnsi="宋体"/>
                <w:b/>
                <w:bCs/>
                <w:color w:val="000000" w:themeColor="text1"/>
                <w:sz w:val="22"/>
                <w:szCs w:val="22"/>
                <w14:textFill>
                  <w14:solidFill>
                    <w14:schemeClr w14:val="tx1"/>
                  </w14:solidFill>
                </w14:textFill>
              </w:rPr>
              <w:t>年</w:t>
            </w:r>
            <w:r>
              <w:rPr>
                <w:rFonts w:hint="eastAsia" w:ascii="宋体" w:hAnsi="宋体"/>
                <w:b/>
                <w:bCs/>
                <w:color w:val="000000" w:themeColor="text1"/>
                <w:sz w:val="22"/>
                <w:szCs w:val="22"/>
                <w:lang w:val="en-US" w:eastAsia="zh-CN"/>
                <w14:textFill>
                  <w14:solidFill>
                    <w14:schemeClr w14:val="tx1"/>
                  </w14:solidFill>
                </w14:textFill>
              </w:rPr>
              <w:t>5</w:t>
            </w:r>
            <w:r>
              <w:rPr>
                <w:rFonts w:ascii="宋体" w:hAnsi="宋体"/>
                <w:b/>
                <w:bCs/>
                <w:color w:val="000000" w:themeColor="text1"/>
                <w:sz w:val="22"/>
                <w:szCs w:val="22"/>
                <w14:textFill>
                  <w14:solidFill>
                    <w14:schemeClr w14:val="tx1"/>
                  </w14:solidFill>
                </w14:textFill>
              </w:rPr>
              <w:t>月</w:t>
            </w:r>
            <w:r>
              <w:rPr>
                <w:rFonts w:hint="eastAsia" w:ascii="宋体" w:hAnsi="宋体"/>
                <w:b/>
                <w:bCs/>
                <w:color w:val="000000" w:themeColor="text1"/>
                <w:sz w:val="22"/>
                <w:szCs w:val="22"/>
                <w:lang w:val="en-US" w:eastAsia="zh-CN"/>
                <w14:textFill>
                  <w14:solidFill>
                    <w14:schemeClr w14:val="tx1"/>
                  </w14:solidFill>
                </w14:textFill>
              </w:rPr>
              <w:t>19</w:t>
            </w:r>
            <w:r>
              <w:rPr>
                <w:rFonts w:ascii="宋体" w:hAnsi="宋体"/>
                <w:b/>
                <w:bCs/>
                <w:color w:val="000000" w:themeColor="text1"/>
                <w:sz w:val="22"/>
                <w:szCs w:val="22"/>
                <w14:textFill>
                  <w14:solidFill>
                    <w14:schemeClr w14:val="tx1"/>
                  </w14:solidFill>
                </w14:textFill>
              </w:rPr>
              <w:t>日</w:t>
            </w:r>
            <w:r>
              <w:rPr>
                <w:rFonts w:hint="eastAsia" w:ascii="宋体" w:hAnsi="宋体"/>
                <w:b/>
                <w:bCs/>
                <w:color w:val="000000" w:themeColor="text1"/>
                <w:sz w:val="22"/>
                <w:szCs w:val="22"/>
                <w:lang w:val="en-US" w:eastAsia="zh-CN"/>
                <w14:textFill>
                  <w14:solidFill>
                    <w14:schemeClr w14:val="tx1"/>
                  </w14:solidFill>
                </w14:textFill>
              </w:rPr>
              <w:t>14</w:t>
            </w:r>
            <w:r>
              <w:rPr>
                <w:rFonts w:ascii="宋体" w:hAnsi="宋体"/>
                <w:b/>
                <w:bCs/>
                <w:color w:val="000000" w:themeColor="text1"/>
                <w:sz w:val="22"/>
                <w:szCs w:val="22"/>
                <w14:textFill>
                  <w14:solidFill>
                    <w14:schemeClr w14:val="tx1"/>
                  </w14:solidFill>
                </w14:textFill>
              </w:rPr>
              <w:t>时</w:t>
            </w:r>
            <w:r>
              <w:rPr>
                <w:rFonts w:hint="eastAsia" w:ascii="宋体" w:hAnsi="宋体"/>
                <w:b/>
                <w:bCs/>
                <w:color w:val="000000" w:themeColor="text1"/>
                <w:sz w:val="22"/>
                <w:szCs w:val="22"/>
                <w:lang w:val="en-US" w:eastAsia="zh-CN"/>
                <w14:textFill>
                  <w14:solidFill>
                    <w14:schemeClr w14:val="tx1"/>
                  </w14:solidFill>
                </w14:textFill>
              </w:rPr>
              <w:t>30</w:t>
            </w:r>
            <w:r>
              <w:rPr>
                <w:rFonts w:ascii="宋体" w:hAnsi="宋体"/>
                <w:b/>
                <w:bCs/>
                <w:color w:val="000000" w:themeColor="text1"/>
                <w:sz w:val="22"/>
                <w:szCs w:val="22"/>
                <w14:textFill>
                  <w14:solidFill>
                    <w14:schemeClr w14:val="tx1"/>
                  </w14:solidFill>
                </w14:textFill>
              </w:rPr>
              <w:t>分</w:t>
            </w:r>
            <w:r>
              <w:rPr>
                <w:rFonts w:ascii="宋体" w:hAnsi="宋体"/>
                <w:color w:val="000000" w:themeColor="text1"/>
                <w:sz w:val="22"/>
                <w:szCs w:val="22"/>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24.1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评标委员会</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本项目不组建评标委员会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定</w:t>
            </w:r>
            <w:r>
              <w:rPr>
                <w:rFonts w:ascii="宋体" w:hAnsi="宋体"/>
                <w:bCs/>
                <w:color w:val="000000" w:themeColor="text1"/>
                <w:sz w:val="22"/>
                <w:szCs w:val="22"/>
                <w14:textFill>
                  <w14:solidFill>
                    <w14:schemeClr w14:val="tx1"/>
                  </w14:solidFill>
                </w14:textFill>
              </w:rPr>
              <w:t>标方法</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经审查投标文件符合要求的前提下，价低者得。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9.5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信息公告媒体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本次采购项目公告在</w:t>
            </w:r>
            <w:r>
              <w:rPr>
                <w:rFonts w:asciiTheme="minorEastAsia" w:hAnsiTheme="minorEastAsia" w:eastAsiaTheme="minorEastAsia"/>
                <w:bCs/>
                <w:color w:val="000000" w:themeColor="text1"/>
                <w:sz w:val="21"/>
                <w:szCs w:val="21"/>
                <w14:textFill>
                  <w14:solidFill>
                    <w14:schemeClr w14:val="tx1"/>
                  </w14:solidFill>
                </w14:textFill>
              </w:rPr>
              <w:t>东莞市交通投资集团有限公司官方网站（http://www.dgjtjt.com.cn）媒体上公布，并视为有效送达，不再另行通知。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结果公示媒体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color w:val="000000" w:themeColor="text1"/>
                <w:sz w:val="22"/>
                <w:szCs w:val="22"/>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本次采购项目公告在东莞市交通投资集团有限公司官方网站（http://www.dgjtjt.com.cn）媒体上公布，并视为有效送达，不再另行通知。</w:t>
            </w:r>
          </w:p>
        </w:tc>
      </w:tr>
    </w:tbl>
    <w:p>
      <w:pPr>
        <w:rPr>
          <w:color w:val="000000" w:themeColor="text1"/>
          <w14:textFill>
            <w14:solidFill>
              <w14:schemeClr w14:val="tx1"/>
            </w14:solidFill>
          </w14:textFill>
        </w:rPr>
        <w:sectPr>
          <w:footerReference r:id="rId6" w:type="default"/>
          <w:pgSz w:w="11906" w:h="16838"/>
          <w:pgMar w:top="1440" w:right="1800" w:bottom="1440" w:left="1800" w:header="851" w:footer="992" w:gutter="0"/>
          <w:pgNumType w:start="1"/>
          <w:cols w:space="425" w:num="1"/>
          <w:docGrid w:type="lines" w:linePitch="312" w:charSpace="0"/>
        </w:sectPr>
      </w:pPr>
      <w:bookmarkStart w:id="22" w:name="_Toc441844051"/>
    </w:p>
    <w:p>
      <w:pPr>
        <w:pStyle w:val="4"/>
        <w:spacing w:line="360" w:lineRule="auto"/>
        <w:ind w:left="0" w:firstLine="0"/>
        <w:jc w:val="center"/>
        <w:rPr>
          <w:rFonts w:ascii="Times New Roman" w:hAnsi="Times New Roman" w:eastAsia="宋体"/>
          <w:bCs/>
          <w:color w:val="000000" w:themeColor="text1"/>
          <w:kern w:val="44"/>
          <w14:textFill>
            <w14:solidFill>
              <w14:schemeClr w14:val="tx1"/>
            </w14:solidFill>
          </w14:textFill>
        </w:rPr>
      </w:pPr>
      <w:bookmarkStart w:id="23" w:name="_Toc10363"/>
      <w:bookmarkStart w:id="24" w:name="_Toc30386"/>
      <w:bookmarkStart w:id="25" w:name="_Toc18892"/>
      <w:r>
        <w:rPr>
          <w:rFonts w:hint="eastAsia" w:ascii="Times New Roman" w:hAnsi="Times New Roman" w:eastAsia="宋体"/>
          <w:bCs/>
          <w:color w:val="000000" w:themeColor="text1"/>
          <w:kern w:val="44"/>
          <w14:textFill>
            <w14:solidFill>
              <w14:schemeClr w14:val="tx1"/>
            </w14:solidFill>
          </w14:textFill>
        </w:rPr>
        <w:t>二、投标人须知</w:t>
      </w:r>
      <w:bookmarkEnd w:id="22"/>
      <w:bookmarkEnd w:id="23"/>
      <w:bookmarkEnd w:id="24"/>
      <w:bookmarkEnd w:id="25"/>
    </w:p>
    <w:p>
      <w:pPr>
        <w:pStyle w:val="4"/>
        <w:tabs>
          <w:tab w:val="left" w:pos="142"/>
          <w:tab w:val="clear" w:pos="1440"/>
        </w:tabs>
        <w:ind w:left="0" w:firstLine="0"/>
        <w:rPr>
          <w:rFonts w:ascii="Times New Roman" w:hAnsi="Times New Roman" w:eastAsia="宋体"/>
          <w:color w:val="000000" w:themeColor="text1"/>
          <w:sz w:val="28"/>
          <w:szCs w:val="28"/>
          <w14:textFill>
            <w14:solidFill>
              <w14:schemeClr w14:val="tx1"/>
            </w14:solidFill>
          </w14:textFill>
        </w:rPr>
      </w:pPr>
      <w:bookmarkStart w:id="26" w:name="_Toc8503"/>
      <w:bookmarkStart w:id="27" w:name="_Toc441844052"/>
      <w:bookmarkStart w:id="28" w:name="_Toc25677"/>
      <w:bookmarkStart w:id="29" w:name="_Toc11090"/>
      <w:r>
        <w:rPr>
          <w:rFonts w:hint="eastAsia" w:ascii="Times New Roman" w:hAnsi="Times New Roman" w:eastAsia="宋体"/>
          <w:color w:val="000000" w:themeColor="text1"/>
          <w:sz w:val="28"/>
          <w:szCs w:val="28"/>
          <w14:textFill>
            <w14:solidFill>
              <w14:schemeClr w14:val="tx1"/>
            </w14:solidFill>
          </w14:textFill>
        </w:rPr>
        <w:t>（一）总则</w:t>
      </w:r>
      <w:bookmarkEnd w:id="26"/>
      <w:bookmarkEnd w:id="27"/>
      <w:bookmarkEnd w:id="28"/>
      <w:bookmarkEnd w:id="29"/>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30" w:name="_Toc441844053"/>
      <w:bookmarkStart w:id="31" w:name="_Toc439256278"/>
      <w:bookmarkStart w:id="32" w:name="_Toc31371"/>
      <w:bookmarkStart w:id="33" w:name="_Toc19284"/>
      <w:bookmarkStart w:id="34" w:name="_Toc382907620"/>
      <w:bookmarkStart w:id="35" w:name="_Toc29186"/>
      <w:bookmarkStart w:id="36" w:name="_Toc314064451"/>
      <w:r>
        <w:rPr>
          <w:rFonts w:ascii="宋体" w:hAnsi="宋体"/>
          <w:b/>
          <w:bCs/>
          <w:color w:val="000000" w:themeColor="text1"/>
          <w:sz w:val="22"/>
          <w:szCs w:val="22"/>
          <w14:textFill>
            <w14:solidFill>
              <w14:schemeClr w14:val="tx1"/>
            </w14:solidFill>
          </w14:textFill>
        </w:rPr>
        <w:t>招标范围及资金来源</w:t>
      </w:r>
      <w:bookmarkEnd w:id="30"/>
      <w:bookmarkEnd w:id="31"/>
      <w:bookmarkEnd w:id="32"/>
      <w:bookmarkEnd w:id="33"/>
      <w:bookmarkEnd w:id="34"/>
      <w:bookmarkEnd w:id="35"/>
      <w:bookmarkEnd w:id="36"/>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1.1  招标范围：详细要求见</w:t>
      </w:r>
      <w:r>
        <w:rPr>
          <w:rFonts w:hint="eastAsia" w:ascii="宋体" w:hAnsi="宋体"/>
          <w:bCs/>
          <w:color w:val="000000" w:themeColor="text1"/>
          <w:sz w:val="22"/>
          <w:szCs w:val="22"/>
          <w14:textFill>
            <w14:solidFill>
              <w14:schemeClr w14:val="tx1"/>
            </w14:solidFill>
          </w14:textFill>
        </w:rPr>
        <w:t>本</w:t>
      </w:r>
      <w:r>
        <w:rPr>
          <w:rFonts w:ascii="宋体" w:hAnsi="宋体"/>
          <w:bCs/>
          <w:color w:val="000000" w:themeColor="text1"/>
          <w:sz w:val="22"/>
          <w:szCs w:val="22"/>
          <w14:textFill>
            <w14:solidFill>
              <w14:schemeClr w14:val="tx1"/>
            </w14:solidFill>
          </w14:textFill>
        </w:rPr>
        <w:t>招标文件。本次招标，投标人必须对全部内容进行报价，不得缺漏。</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1.2  资金来源：</w:t>
      </w:r>
      <w:r>
        <w:rPr>
          <w:rFonts w:ascii="宋体" w:hAnsi="宋体"/>
          <w:b/>
          <w:bCs/>
          <w:color w:val="000000" w:themeColor="text1"/>
          <w:sz w:val="22"/>
          <w:szCs w:val="22"/>
          <w:u w:val="single"/>
          <w14:textFill>
            <w14:solidFill>
              <w14:schemeClr w14:val="tx1"/>
            </w14:solidFill>
          </w14:textFill>
        </w:rPr>
        <w:t>详见投标人须知前附表</w:t>
      </w:r>
      <w:r>
        <w:rPr>
          <w:rFonts w:ascii="宋体" w:hAnsi="宋体"/>
          <w:bCs/>
          <w:color w:val="000000" w:themeColor="text1"/>
          <w:sz w:val="22"/>
          <w:szCs w:val="22"/>
          <w14:textFill>
            <w14:solidFill>
              <w14:schemeClr w14:val="tx1"/>
            </w14:solidFill>
          </w14:textFill>
        </w:rPr>
        <w:t>。</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1.3  项目预算金额：</w:t>
      </w:r>
      <w:r>
        <w:rPr>
          <w:rFonts w:ascii="宋体" w:hAnsi="宋体"/>
          <w:b/>
          <w:bCs/>
          <w:color w:val="000000" w:themeColor="text1"/>
          <w:sz w:val="22"/>
          <w:szCs w:val="22"/>
          <w:u w:val="single"/>
          <w14:textFill>
            <w14:solidFill>
              <w14:schemeClr w14:val="tx1"/>
            </w14:solidFill>
          </w14:textFill>
        </w:rPr>
        <w:t>详见投标人须知前附表。</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37" w:name="_Toc382907621"/>
      <w:bookmarkStart w:id="38" w:name="_Toc20951"/>
      <w:bookmarkStart w:id="39" w:name="_Toc18969"/>
      <w:bookmarkStart w:id="40" w:name="_Toc439256279"/>
      <w:bookmarkStart w:id="41" w:name="_Toc10041"/>
      <w:bookmarkStart w:id="42" w:name="_Toc317604605"/>
      <w:bookmarkStart w:id="43" w:name="_Toc441844054"/>
      <w:r>
        <w:rPr>
          <w:rFonts w:ascii="宋体" w:hAnsi="宋体"/>
          <w:b/>
          <w:bCs/>
          <w:color w:val="000000" w:themeColor="text1"/>
          <w:sz w:val="22"/>
          <w:szCs w:val="22"/>
          <w14:textFill>
            <w14:solidFill>
              <w14:schemeClr w14:val="tx1"/>
            </w14:solidFill>
          </w14:textFill>
        </w:rPr>
        <w:t>定义</w:t>
      </w:r>
      <w:bookmarkEnd w:id="37"/>
      <w:bookmarkEnd w:id="38"/>
      <w:bookmarkEnd w:id="39"/>
      <w:bookmarkEnd w:id="40"/>
      <w:bookmarkEnd w:id="41"/>
      <w:bookmarkEnd w:id="42"/>
      <w:bookmarkEnd w:id="43"/>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 xml:space="preserve">2.1  </w:t>
      </w:r>
      <w:r>
        <w:rPr>
          <w:rFonts w:hint="eastAsia" w:ascii="宋体" w:hAnsi="宋体"/>
          <w:bCs/>
          <w:color w:val="000000" w:themeColor="text1"/>
          <w:sz w:val="22"/>
          <w:szCs w:val="22"/>
          <w14:textFill>
            <w14:solidFill>
              <w14:schemeClr w14:val="tx1"/>
            </w14:solidFill>
          </w14:textFill>
        </w:rPr>
        <w:t>招标人</w:t>
      </w:r>
      <w:r>
        <w:rPr>
          <w:rFonts w:ascii="宋体" w:hAnsi="宋体"/>
          <w:bCs/>
          <w:color w:val="000000" w:themeColor="text1"/>
          <w:sz w:val="22"/>
          <w:szCs w:val="22"/>
          <w14:textFill>
            <w14:solidFill>
              <w14:schemeClr w14:val="tx1"/>
            </w14:solidFill>
          </w14:textFill>
        </w:rPr>
        <w:t>：</w:t>
      </w:r>
      <w:r>
        <w:rPr>
          <w:rFonts w:ascii="宋体" w:hAnsi="宋体"/>
          <w:b/>
          <w:bCs/>
          <w:color w:val="000000" w:themeColor="text1"/>
          <w:sz w:val="22"/>
          <w:szCs w:val="22"/>
          <w:u w:val="single"/>
          <w14:textFill>
            <w14:solidFill>
              <w14:schemeClr w14:val="tx1"/>
            </w14:solidFill>
          </w14:textFill>
        </w:rPr>
        <w:t>详见投标人须知前附表。</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2</w:t>
      </w:r>
      <w:r>
        <w:rPr>
          <w:rFonts w:ascii="宋体" w:hAnsi="宋体"/>
          <w:bCs/>
          <w:color w:val="000000" w:themeColor="text1"/>
          <w:sz w:val="22"/>
          <w:szCs w:val="22"/>
          <w14:textFill>
            <w14:solidFill>
              <w14:schemeClr w14:val="tx1"/>
            </w14:solidFill>
          </w14:textFill>
        </w:rPr>
        <w:t xml:space="preserve">  评标委员会：评标委员会是依据有关规定组建的专门负责本次招标其评标工作的临时性机构。</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 xml:space="preserve">3 </w:t>
      </w:r>
      <w:r>
        <w:rPr>
          <w:rFonts w:ascii="宋体" w:hAnsi="宋体"/>
          <w:bCs/>
          <w:color w:val="000000" w:themeColor="text1"/>
          <w:sz w:val="22"/>
          <w:szCs w:val="22"/>
          <w14:textFill>
            <w14:solidFill>
              <w14:schemeClr w14:val="tx1"/>
            </w14:solidFill>
          </w14:textFill>
        </w:rPr>
        <w:t xml:space="preserve"> 日期：指日历日。评审时，对投标中出现的“工作日”按五个工作日折合七个日历日计算，且评标委员会可能会就有关日期作出对该投标人不利的折算或量化，投标人不得对此提出异议，否则其投标将被拒绝。</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4</w:t>
      </w:r>
      <w:r>
        <w:rPr>
          <w:rFonts w:ascii="宋体" w:hAnsi="宋体"/>
          <w:bCs/>
          <w:color w:val="000000" w:themeColor="text1"/>
          <w:sz w:val="22"/>
          <w:szCs w:val="22"/>
          <w14:textFill>
            <w14:solidFill>
              <w14:schemeClr w14:val="tx1"/>
            </w14:solidFill>
          </w14:textFill>
        </w:rPr>
        <w:t xml:space="preserve">  时间：指北京时间。</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5</w:t>
      </w:r>
      <w:r>
        <w:rPr>
          <w:rFonts w:ascii="宋体" w:hAnsi="宋体"/>
          <w:bCs/>
          <w:color w:val="000000" w:themeColor="text1"/>
          <w:sz w:val="22"/>
          <w:szCs w:val="22"/>
          <w14:textFill>
            <w14:solidFill>
              <w14:schemeClr w14:val="tx1"/>
            </w14:solidFill>
          </w14:textFill>
        </w:rPr>
        <w:t xml:space="preserve">  合同：指由本次招标所产生的合同或合约文件。</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6</w:t>
      </w:r>
      <w:r>
        <w:rPr>
          <w:rFonts w:ascii="宋体" w:hAnsi="宋体"/>
          <w:bCs/>
          <w:color w:val="000000" w:themeColor="text1"/>
          <w:sz w:val="22"/>
          <w:szCs w:val="22"/>
          <w14:textFill>
            <w14:solidFill>
              <w14:schemeClr w14:val="tx1"/>
            </w14:solidFill>
          </w14:textFill>
        </w:rPr>
        <w:t xml:space="preserve">  招标文件中所规定“书面形式”，是指任何手写的、打印的或印刷的方式，通讯方式包括专人递交或传真发送。</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7</w:t>
      </w:r>
      <w:r>
        <w:rPr>
          <w:rFonts w:ascii="宋体" w:hAnsi="宋体"/>
          <w:bCs/>
          <w:color w:val="000000" w:themeColor="text1"/>
          <w:sz w:val="22"/>
          <w:szCs w:val="22"/>
          <w14:textFill>
            <w14:solidFill>
              <w14:schemeClr w14:val="tx1"/>
            </w14:solidFill>
          </w14:textFill>
        </w:rPr>
        <w:t xml:space="preserve">  服务：指投标人须向</w:t>
      </w:r>
      <w:r>
        <w:rPr>
          <w:rFonts w:hint="eastAsia" w:ascii="宋体" w:hAnsi="宋体"/>
          <w:bCs/>
          <w:color w:val="000000" w:themeColor="text1"/>
          <w:sz w:val="22"/>
          <w:szCs w:val="22"/>
          <w14:textFill>
            <w14:solidFill>
              <w14:schemeClr w14:val="tx1"/>
            </w14:solidFill>
          </w14:textFill>
        </w:rPr>
        <w:t>招标人</w:t>
      </w:r>
      <w:r>
        <w:rPr>
          <w:rFonts w:ascii="宋体" w:hAnsi="宋体"/>
          <w:bCs/>
          <w:color w:val="000000" w:themeColor="text1"/>
          <w:sz w:val="22"/>
          <w:szCs w:val="22"/>
          <w14:textFill>
            <w14:solidFill>
              <w14:schemeClr w14:val="tx1"/>
            </w14:solidFill>
          </w14:textFill>
        </w:rPr>
        <w:t>提供的符合招标文件要求的服务。</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8</w:t>
      </w:r>
      <w:r>
        <w:rPr>
          <w:rFonts w:ascii="宋体" w:hAnsi="宋体"/>
          <w:bCs/>
          <w:color w:val="000000" w:themeColor="text1"/>
          <w:sz w:val="22"/>
          <w:szCs w:val="22"/>
          <w14:textFill>
            <w14:solidFill>
              <w14:schemeClr w14:val="tx1"/>
            </w14:solidFill>
          </w14:textFill>
        </w:rPr>
        <w:t xml:space="preserve">  货物：指投标人须向</w:t>
      </w:r>
      <w:r>
        <w:rPr>
          <w:rFonts w:hint="eastAsia" w:ascii="宋体" w:hAnsi="宋体"/>
          <w:bCs/>
          <w:color w:val="000000" w:themeColor="text1"/>
          <w:sz w:val="22"/>
          <w:szCs w:val="22"/>
          <w14:textFill>
            <w14:solidFill>
              <w14:schemeClr w14:val="tx1"/>
            </w14:solidFill>
          </w14:textFill>
        </w:rPr>
        <w:t>招标人</w:t>
      </w:r>
      <w:r>
        <w:rPr>
          <w:rFonts w:ascii="宋体" w:hAnsi="宋体"/>
          <w:bCs/>
          <w:color w:val="000000" w:themeColor="text1"/>
          <w:sz w:val="22"/>
          <w:szCs w:val="22"/>
          <w14:textFill>
            <w14:solidFill>
              <w14:schemeClr w14:val="tx1"/>
            </w14:solidFill>
          </w14:textFill>
        </w:rPr>
        <w:t>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26"/>
        <w:numPr>
          <w:ilvl w:val="0"/>
          <w:numId w:val="6"/>
        </w:numPr>
        <w:spacing w:line="360" w:lineRule="auto"/>
        <w:ind w:left="0" w:firstLine="0" w:firstLineChars="0"/>
        <w:outlineLvl w:val="2"/>
        <w:rPr>
          <w:rFonts w:ascii="Times New Roman" w:hAnsi="Times New Roman"/>
          <w:b/>
          <w:bCs/>
          <w:color w:val="000000" w:themeColor="text1"/>
          <w:sz w:val="22"/>
          <w:szCs w:val="22"/>
          <w14:textFill>
            <w14:solidFill>
              <w14:schemeClr w14:val="tx1"/>
            </w14:solidFill>
          </w14:textFill>
        </w:rPr>
      </w:pPr>
      <w:bookmarkStart w:id="44" w:name="_Toc13198"/>
      <w:bookmarkStart w:id="45" w:name="_Toc32593"/>
      <w:bookmarkStart w:id="46" w:name="_Toc6218"/>
      <w:bookmarkStart w:id="47" w:name="_Toc441844055"/>
      <w:r>
        <w:rPr>
          <w:rFonts w:hint="eastAsia" w:ascii="Times New Roman" w:hAnsi="Times New Roman"/>
          <w:b/>
          <w:bCs/>
          <w:color w:val="000000" w:themeColor="text1"/>
          <w:sz w:val="22"/>
          <w:szCs w:val="22"/>
          <w14:textFill>
            <w14:solidFill>
              <w14:schemeClr w14:val="tx1"/>
            </w14:solidFill>
          </w14:textFill>
        </w:rPr>
        <w:t>合格的投标人</w:t>
      </w:r>
      <w:bookmarkEnd w:id="44"/>
      <w:bookmarkEnd w:id="45"/>
      <w:bookmarkEnd w:id="46"/>
      <w:bookmarkEnd w:id="47"/>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3.1</w:t>
      </w:r>
      <w:r>
        <w:rPr>
          <w:rFonts w:ascii="Times New Roman" w:hAnsi="Times New Roman"/>
          <w:bCs/>
          <w:color w:val="000000" w:themeColor="text1"/>
          <w:sz w:val="22"/>
          <w:szCs w:val="22"/>
          <w14:textFill>
            <w14:solidFill>
              <w14:schemeClr w14:val="tx1"/>
            </w14:solidFill>
          </w14:textFill>
        </w:rPr>
        <w:t xml:space="preserve">  </w:t>
      </w:r>
      <w:r>
        <w:rPr>
          <w:rFonts w:ascii="宋体" w:hAnsi="宋体"/>
          <w:bCs/>
          <w:color w:val="000000" w:themeColor="text1"/>
          <w:sz w:val="22"/>
          <w:szCs w:val="22"/>
          <w14:textFill>
            <w14:solidFill>
              <w14:schemeClr w14:val="tx1"/>
            </w14:solidFill>
          </w14:textFill>
        </w:rPr>
        <w:t>合格的投标人条件见第一章《</w:t>
      </w:r>
      <w:r>
        <w:rPr>
          <w:rFonts w:hint="eastAsia" w:ascii="宋体" w:hAnsi="宋体"/>
          <w:bCs/>
          <w:color w:val="000000" w:themeColor="text1"/>
          <w:sz w:val="22"/>
          <w:szCs w:val="22"/>
          <w14:textFill>
            <w14:solidFill>
              <w14:schemeClr w14:val="tx1"/>
            </w14:solidFill>
          </w14:textFill>
        </w:rPr>
        <w:t>招标公告</w:t>
      </w:r>
      <w:r>
        <w:rPr>
          <w:rFonts w:ascii="宋体" w:hAnsi="宋体"/>
          <w:bCs/>
          <w:color w:val="000000" w:themeColor="text1"/>
          <w:sz w:val="22"/>
          <w:szCs w:val="22"/>
          <w14:textFill>
            <w14:solidFill>
              <w14:schemeClr w14:val="tx1"/>
            </w14:solidFill>
          </w14:textFill>
        </w:rPr>
        <w:t>》中第5款的</w:t>
      </w:r>
      <w:r>
        <w:rPr>
          <w:rFonts w:ascii="宋体" w:hAnsi="宋体"/>
          <w:b/>
          <w:bCs/>
          <w:color w:val="000000" w:themeColor="text1"/>
          <w:sz w:val="22"/>
          <w:szCs w:val="22"/>
          <w:u w:val="single"/>
          <w14:textFill>
            <w14:solidFill>
              <w14:schemeClr w14:val="tx1"/>
            </w14:solidFill>
          </w14:textFill>
        </w:rPr>
        <w:t>投标人资格要求</w:t>
      </w:r>
      <w:r>
        <w:rPr>
          <w:rFonts w:ascii="宋体" w:hAnsi="宋体"/>
          <w:bCs/>
          <w:color w:val="000000" w:themeColor="text1"/>
          <w:sz w:val="22"/>
          <w:szCs w:val="22"/>
          <w14:textFill>
            <w14:solidFill>
              <w14:schemeClr w14:val="tx1"/>
            </w14:solidFill>
          </w14:textFill>
        </w:rPr>
        <w:t>。</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 xml:space="preserve">3.2  </w:t>
      </w:r>
      <w:r>
        <w:rPr>
          <w:rFonts w:hint="eastAsia" w:hAnsi="宋体"/>
          <w:color w:val="000000" w:themeColor="text1"/>
          <w:sz w:val="22"/>
          <w:szCs w:val="22"/>
          <w:lang w:val="zh-CN"/>
          <w14:textFill>
            <w14:solidFill>
              <w14:schemeClr w14:val="tx1"/>
            </w14:solidFill>
          </w14:textFill>
        </w:rPr>
        <w:t>投标人符合《中华人民共和国招标投标法》第二十六条的规定。</w:t>
      </w:r>
    </w:p>
    <w:p>
      <w:pPr>
        <w:spacing w:line="360" w:lineRule="auto"/>
        <w:ind w:left="550" w:hanging="550" w:hangingChars="250"/>
        <w:rPr>
          <w:rFonts w:ascii="宋体" w:hAnsi="宋体"/>
          <w:bCs/>
          <w:color w:val="000000" w:themeColor="text1"/>
          <w:sz w:val="22"/>
          <w:szCs w:val="22"/>
          <w14:textFill>
            <w14:solidFill>
              <w14:schemeClr w14:val="tx1"/>
            </w14:solidFill>
          </w14:textFill>
        </w:rPr>
      </w:pPr>
      <w:bookmarkStart w:id="48" w:name="_Toc326689458"/>
      <w:bookmarkStart w:id="49" w:name="_Toc321994722"/>
      <w:bookmarkStart w:id="50" w:name="_Toc395863070"/>
      <w:bookmarkStart w:id="51" w:name="_Toc401738041"/>
      <w:bookmarkStart w:id="52" w:name="_Toc326689368"/>
      <w:bookmarkStart w:id="53" w:name="_Toc427232302"/>
      <w:r>
        <w:rPr>
          <w:rFonts w:ascii="宋体" w:hAnsi="宋体"/>
          <w:bCs/>
          <w:color w:val="000000" w:themeColor="text1"/>
          <w:sz w:val="22"/>
          <w:szCs w:val="22"/>
          <w14:textFill>
            <w14:solidFill>
              <w14:schemeClr w14:val="tx1"/>
            </w14:solidFill>
          </w14:textFill>
        </w:rPr>
        <w:t xml:space="preserve">3.3  </w:t>
      </w:r>
      <w:bookmarkEnd w:id="48"/>
      <w:bookmarkEnd w:id="49"/>
      <w:bookmarkEnd w:id="50"/>
      <w:bookmarkEnd w:id="51"/>
      <w:bookmarkEnd w:id="52"/>
      <w:bookmarkEnd w:id="53"/>
      <w:r>
        <w:rPr>
          <w:rFonts w:hint="eastAsia" w:hAnsi="宋体"/>
          <w:color w:val="000000" w:themeColor="text1"/>
          <w:sz w:val="22"/>
          <w:szCs w:val="22"/>
          <w14:textFill>
            <w14:solidFill>
              <w14:schemeClr w14:val="tx1"/>
            </w14:solidFill>
          </w14:textFill>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hAnsi="宋体"/>
          <w:color w:val="000000" w:themeColor="text1"/>
          <w:sz w:val="22"/>
          <w:szCs w:val="22"/>
          <w14:textFill>
            <w14:solidFill>
              <w14:schemeClr w14:val="tx1"/>
            </w14:solidFill>
          </w14:textFill>
        </w:rPr>
        <w:t>3</w:t>
      </w:r>
      <w:r>
        <w:rPr>
          <w:rFonts w:hint="eastAsia" w:hAnsi="宋体"/>
          <w:color w:val="000000" w:themeColor="text1"/>
          <w:sz w:val="22"/>
          <w:szCs w:val="22"/>
          <w14:textFill>
            <w14:solidFill>
              <w14:schemeClr w14:val="tx1"/>
            </w14:solidFill>
          </w14:textFill>
        </w:rPr>
        <w:t>年企业牵涉的主要诉讼案件或处罚说明”，如果不主动填报而被事后发现的，将取消其投标（中标）资格，并按有关规定从重处理。</w:t>
      </w:r>
    </w:p>
    <w:p>
      <w:pPr>
        <w:spacing w:line="360" w:lineRule="auto"/>
        <w:ind w:left="550" w:hanging="550" w:hangingChars="250"/>
        <w:rPr>
          <w:rFonts w:hAnsi="宋体"/>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 xml:space="preserve">3.4  </w:t>
      </w:r>
      <w:r>
        <w:rPr>
          <w:rFonts w:hint="eastAsia" w:hAnsi="宋体"/>
          <w:color w:val="000000" w:themeColor="text1"/>
          <w:sz w:val="22"/>
          <w:szCs w:val="22"/>
          <w:lang w:val="zh-CN"/>
          <w14:textFill>
            <w14:solidFill>
              <w14:schemeClr w14:val="tx1"/>
            </w14:solidFill>
          </w14:textFill>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 xml:space="preserve">3.5  </w:t>
      </w:r>
      <w:r>
        <w:rPr>
          <w:rFonts w:hint="eastAsia" w:ascii="宋体" w:hAnsi="宋体"/>
          <w:bCs/>
          <w:color w:val="000000" w:themeColor="text1"/>
          <w:sz w:val="22"/>
          <w:szCs w:val="22"/>
          <w14:textFill>
            <w14:solidFill>
              <w14:schemeClr w14:val="tx1"/>
            </w14:solidFill>
          </w14:textFill>
        </w:rPr>
        <w:t>与招标人存在利害关系可能影响招标公正性的法人、其他组织或者个人，不得参加投标。</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 xml:space="preserve">3.6  </w:t>
      </w:r>
      <w:r>
        <w:rPr>
          <w:rFonts w:ascii="宋体" w:hAnsi="宋体"/>
          <w:color w:val="000000" w:themeColor="text1"/>
          <w:sz w:val="22"/>
          <w:szCs w:val="22"/>
          <w:lang w:val="zh-CN"/>
          <w14:textFill>
            <w14:solidFill>
              <w14:schemeClr w14:val="tx1"/>
            </w14:solidFill>
          </w14:textFill>
        </w:rPr>
        <w:t>联合体投标的投标人应当满足下列条件：</w:t>
      </w:r>
      <w:r>
        <w:rPr>
          <w:rFonts w:hint="eastAsia" w:ascii="宋体" w:hAnsi="宋体"/>
          <w:b/>
          <w:bCs/>
          <w:color w:val="000000" w:themeColor="text1"/>
          <w:sz w:val="22"/>
          <w:szCs w:val="22"/>
          <w:lang w:val="zh-CN"/>
          <w14:textFill>
            <w14:solidFill>
              <w14:schemeClr w14:val="tx1"/>
            </w14:solidFill>
          </w14:textFill>
        </w:rPr>
        <w:t>（</w:t>
      </w:r>
      <w:r>
        <w:rPr>
          <w:rFonts w:hint="eastAsia" w:ascii="宋体" w:hAnsi="宋体"/>
          <w:b/>
          <w:bCs/>
          <w:color w:val="000000" w:themeColor="text1"/>
          <w:sz w:val="22"/>
          <w:szCs w:val="22"/>
          <w14:textFill>
            <w14:solidFill>
              <w14:schemeClr w14:val="tx1"/>
            </w14:solidFill>
          </w14:textFill>
        </w:rPr>
        <w:t>本项目不接受联合体投标</w:t>
      </w:r>
      <w:r>
        <w:rPr>
          <w:rFonts w:hint="eastAsia" w:ascii="宋体" w:hAnsi="宋体"/>
          <w:b/>
          <w:bCs/>
          <w:color w:val="000000" w:themeColor="text1"/>
          <w:sz w:val="22"/>
          <w:szCs w:val="22"/>
          <w:lang w:val="zh-CN"/>
          <w14:textFill>
            <w14:solidFill>
              <w14:schemeClr w14:val="tx1"/>
            </w14:solidFill>
          </w14:textFill>
        </w:rPr>
        <w:t>）</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3.6.1 以联合体形式进行</w:t>
      </w:r>
      <w:r>
        <w:rPr>
          <w:rFonts w:hint="eastAsia" w:ascii="宋体" w:hAnsi="宋体"/>
          <w:bCs/>
          <w:color w:val="000000" w:themeColor="text1"/>
          <w:sz w:val="22"/>
          <w:szCs w:val="22"/>
          <w14:textFill>
            <w14:solidFill>
              <w14:schemeClr w14:val="tx1"/>
            </w14:solidFill>
          </w14:textFill>
        </w:rPr>
        <w:t>投标</w:t>
      </w:r>
      <w:r>
        <w:rPr>
          <w:rFonts w:ascii="宋体" w:hAnsi="宋体"/>
          <w:bCs/>
          <w:color w:val="000000" w:themeColor="text1"/>
          <w:sz w:val="22"/>
          <w:szCs w:val="22"/>
          <w14:textFill>
            <w14:solidFill>
              <w14:schemeClr w14:val="tx1"/>
            </w14:solidFill>
          </w14:textFill>
        </w:rPr>
        <w:t>的，联合体各方之间应当签订联合体协议，明确约定联合体各方承担的工作和义务，并将共同联合体协议连同投标文件一并提交。</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3.6.2 以联合体形式参加采购活动的，联合体各方不得再单独参加或者与其他投标人另外组成联合体参加同一合同项下的采购活动。</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3.6.3 以联合体进行投标的，可以由联合体中的一方或者共同提交</w:t>
      </w:r>
      <w:r>
        <w:rPr>
          <w:rFonts w:hint="eastAsia" w:ascii="宋体" w:hAnsi="宋体"/>
          <w:bCs/>
          <w:color w:val="000000" w:themeColor="text1"/>
          <w:sz w:val="22"/>
          <w:szCs w:val="22"/>
          <w14:textFill>
            <w14:solidFill>
              <w14:schemeClr w14:val="tx1"/>
            </w14:solidFill>
          </w14:textFill>
        </w:rPr>
        <w:t>通过邮箱报名成功的截图（加盖公章的</w:t>
      </w:r>
      <w:r>
        <w:rPr>
          <w:rFonts w:hint="eastAsia" w:ascii="宋体" w:hAnsi="宋体"/>
          <w:b/>
          <w:color w:val="000000" w:themeColor="text1"/>
          <w:sz w:val="22"/>
          <w:szCs w:val="22"/>
          <w14:textFill>
            <w14:solidFill>
              <w14:schemeClr w14:val="tx1"/>
            </w14:solidFill>
          </w14:textFill>
        </w:rPr>
        <w:t>报名表</w:t>
      </w:r>
      <w:r>
        <w:rPr>
          <w:rFonts w:hint="eastAsia" w:ascii="宋体" w:hAnsi="宋体"/>
          <w:bCs/>
          <w:color w:val="000000" w:themeColor="text1"/>
          <w:sz w:val="22"/>
          <w:szCs w:val="22"/>
          <w14:textFill>
            <w14:solidFill>
              <w14:schemeClr w14:val="tx1"/>
            </w14:solidFill>
          </w14:textFill>
        </w:rPr>
        <w:t>及</w:t>
      </w:r>
      <w:r>
        <w:rPr>
          <w:rFonts w:hint="eastAsia" w:ascii="宋体" w:hAnsi="宋体"/>
          <w:b/>
          <w:color w:val="000000" w:themeColor="text1"/>
          <w:sz w:val="22"/>
          <w:szCs w:val="22"/>
          <w14:textFill>
            <w14:solidFill>
              <w14:schemeClr w14:val="tx1"/>
            </w14:solidFill>
          </w14:textFill>
        </w:rPr>
        <w:t>通过招标人邮箱回复报名成功的截图</w:t>
      </w:r>
      <w:r>
        <w:rPr>
          <w:rFonts w:hint="eastAsia" w:ascii="宋体" w:hAnsi="宋体"/>
          <w:bCs/>
          <w:color w:val="000000" w:themeColor="text1"/>
          <w:sz w:val="22"/>
          <w:szCs w:val="22"/>
          <w14:textFill>
            <w14:solidFill>
              <w14:schemeClr w14:val="tx1"/>
            </w14:solidFill>
          </w14:textFill>
        </w:rPr>
        <w:t>）</w:t>
      </w:r>
      <w:r>
        <w:rPr>
          <w:rFonts w:ascii="宋体" w:hAnsi="宋体"/>
          <w:bCs/>
          <w:color w:val="000000" w:themeColor="text1"/>
          <w:sz w:val="22"/>
          <w:szCs w:val="22"/>
          <w14:textFill>
            <w14:solidFill>
              <w14:schemeClr w14:val="tx1"/>
            </w14:solidFill>
          </w14:textFill>
        </w:rPr>
        <w:t>，以一方名义提交的</w:t>
      </w:r>
      <w:r>
        <w:rPr>
          <w:rFonts w:hint="eastAsia" w:ascii="宋体" w:hAnsi="宋体"/>
          <w:bCs/>
          <w:color w:val="000000" w:themeColor="text1"/>
          <w:sz w:val="22"/>
          <w:szCs w:val="22"/>
          <w14:textFill>
            <w14:solidFill>
              <w14:schemeClr w14:val="tx1"/>
            </w14:solidFill>
          </w14:textFill>
        </w:rPr>
        <w:t>报名表及通过招标人邮箱回复报名成功的截图</w:t>
      </w:r>
      <w:r>
        <w:rPr>
          <w:rFonts w:ascii="宋体" w:hAnsi="宋体"/>
          <w:bCs/>
          <w:color w:val="000000" w:themeColor="text1"/>
          <w:sz w:val="22"/>
          <w:szCs w:val="22"/>
          <w14:textFill>
            <w14:solidFill>
              <w14:schemeClr w14:val="tx1"/>
            </w14:solidFill>
          </w14:textFill>
        </w:rPr>
        <w:t>的，对联合体各方均具有约束力。</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3.6.4 联合体中有同类资质的投标人按照联合体分工承担相同工作的，按照资质等级较低的投标人确定资质等级。</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3.6.5 联合体各方应当共同与</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人签订采购合同，就采购合同约定的事项对</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人承担连带责任。</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54" w:name="_Toc441844056"/>
      <w:bookmarkStart w:id="55" w:name="_Toc32629"/>
      <w:bookmarkStart w:id="56" w:name="_Toc15704"/>
      <w:bookmarkStart w:id="57" w:name="_Toc6049"/>
      <w:r>
        <w:rPr>
          <w:rFonts w:ascii="宋体" w:hAnsi="宋体"/>
          <w:b/>
          <w:bCs/>
          <w:color w:val="000000" w:themeColor="text1"/>
          <w:sz w:val="22"/>
          <w:szCs w:val="22"/>
          <w14:textFill>
            <w14:solidFill>
              <w14:schemeClr w14:val="tx1"/>
            </w14:solidFill>
          </w14:textFill>
        </w:rPr>
        <w:t>合格的货物和服务</w:t>
      </w:r>
      <w:bookmarkEnd w:id="54"/>
      <w:bookmarkEnd w:id="55"/>
      <w:bookmarkEnd w:id="56"/>
      <w:bookmarkEnd w:id="57"/>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4.1  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4.2  服务是指除货物和工程以外的其他采购对象，其中包括投标人须承担的运输、安装、技术支持、培训及招标文件规定的其它服务。</w:t>
      </w:r>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4.3  投标人应保证,</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人在中华人民共和国使用货物或服务的任何一部分时,</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人免受第三方提出侵犯其专利权、商标权或其它知识产权的起诉。</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58" w:name="_Toc441844057"/>
      <w:bookmarkStart w:id="59" w:name="_Toc283"/>
      <w:bookmarkStart w:id="60" w:name="_Toc10910"/>
      <w:bookmarkStart w:id="61" w:name="_Toc3243"/>
      <w:r>
        <w:rPr>
          <w:rFonts w:ascii="宋体" w:hAnsi="宋体"/>
          <w:b/>
          <w:bCs/>
          <w:color w:val="000000" w:themeColor="text1"/>
          <w:sz w:val="22"/>
          <w:szCs w:val="22"/>
          <w14:textFill>
            <w14:solidFill>
              <w14:schemeClr w14:val="tx1"/>
            </w14:solidFill>
          </w14:textFill>
        </w:rPr>
        <w:t>投标费用</w:t>
      </w:r>
      <w:bookmarkEnd w:id="58"/>
      <w:bookmarkEnd w:id="59"/>
      <w:bookmarkEnd w:id="60"/>
      <w:bookmarkEnd w:id="61"/>
    </w:p>
    <w:p>
      <w:pPr>
        <w:tabs>
          <w:tab w:val="left" w:pos="567"/>
        </w:tabs>
        <w:spacing w:line="360" w:lineRule="auto"/>
        <w:ind w:left="567" w:hanging="567"/>
        <w:rPr>
          <w:rFonts w:ascii="宋体" w:hAnsi="宋体"/>
          <w:color w:val="000000" w:themeColor="text1"/>
          <w:sz w:val="22"/>
          <w:szCs w:val="22"/>
          <w:lang w:val="zh-CN"/>
          <w14:textFill>
            <w14:solidFill>
              <w14:schemeClr w14:val="tx1"/>
            </w14:solidFill>
          </w14:textFill>
        </w:rPr>
      </w:pPr>
      <w:r>
        <w:rPr>
          <w:rFonts w:ascii="宋体" w:hAnsi="宋体"/>
          <w:b/>
          <w:color w:val="000000" w:themeColor="text1"/>
          <w:sz w:val="22"/>
          <w:szCs w:val="22"/>
          <w:lang w:val="zh-CN"/>
          <w14:textFill>
            <w14:solidFill>
              <w14:schemeClr w14:val="tx1"/>
            </w14:solidFill>
          </w14:textFill>
        </w:rPr>
        <w:t>5.1  不论投标结果如何，投标人应承担自身因投标文件编制、递交及其他参加本采购活动所涉及的一切费用，</w:t>
      </w:r>
      <w:r>
        <w:rPr>
          <w:rFonts w:hint="eastAsia" w:ascii="宋体" w:hAnsi="宋体"/>
          <w:b/>
          <w:color w:val="000000" w:themeColor="text1"/>
          <w:sz w:val="22"/>
          <w:szCs w:val="22"/>
          <w:lang w:val="zh-CN"/>
          <w14:textFill>
            <w14:solidFill>
              <w14:schemeClr w14:val="tx1"/>
            </w14:solidFill>
          </w14:textFill>
        </w:rPr>
        <w:t>招标</w:t>
      </w:r>
      <w:r>
        <w:rPr>
          <w:rFonts w:ascii="宋体" w:hAnsi="宋体"/>
          <w:b/>
          <w:color w:val="000000" w:themeColor="text1"/>
          <w:sz w:val="22"/>
          <w:szCs w:val="22"/>
          <w:lang w:val="zh-CN"/>
          <w14:textFill>
            <w14:solidFill>
              <w14:schemeClr w14:val="tx1"/>
            </w14:solidFill>
          </w14:textFill>
        </w:rPr>
        <w:t>人对上述费用不负任何责任</w:t>
      </w:r>
      <w:r>
        <w:rPr>
          <w:rFonts w:ascii="宋体" w:hAnsi="宋体"/>
          <w:color w:val="000000" w:themeColor="text1"/>
          <w:sz w:val="22"/>
          <w:szCs w:val="22"/>
          <w:lang w:val="zh-CN"/>
          <w14:textFill>
            <w14:solidFill>
              <w14:schemeClr w14:val="tx1"/>
            </w14:solidFill>
          </w14:textFill>
        </w:rPr>
        <w:t>。</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62" w:name="_Toc33540087"/>
      <w:bookmarkEnd w:id="62"/>
      <w:bookmarkStart w:id="63" w:name="_Toc33540093"/>
      <w:bookmarkEnd w:id="63"/>
      <w:bookmarkStart w:id="64" w:name="_Toc33540091"/>
      <w:bookmarkEnd w:id="64"/>
      <w:bookmarkStart w:id="65" w:name="_Toc33540090"/>
      <w:bookmarkEnd w:id="65"/>
      <w:bookmarkStart w:id="66" w:name="_Toc33540092"/>
      <w:bookmarkEnd w:id="66"/>
      <w:bookmarkStart w:id="67" w:name="_Toc33540088"/>
      <w:bookmarkEnd w:id="67"/>
      <w:bookmarkStart w:id="68" w:name="_Toc33540089"/>
      <w:bookmarkEnd w:id="68"/>
      <w:bookmarkStart w:id="69" w:name="_Toc441844058"/>
      <w:bookmarkStart w:id="70" w:name="_Toc17786"/>
      <w:bookmarkStart w:id="71" w:name="_Toc12510"/>
      <w:bookmarkStart w:id="72" w:name="_Toc11306"/>
      <w:r>
        <w:rPr>
          <w:rFonts w:ascii="宋体" w:hAnsi="宋体"/>
          <w:b/>
          <w:bCs/>
          <w:color w:val="000000" w:themeColor="text1"/>
          <w:sz w:val="22"/>
          <w:szCs w:val="22"/>
          <w14:textFill>
            <w14:solidFill>
              <w14:schemeClr w14:val="tx1"/>
            </w14:solidFill>
          </w14:textFill>
        </w:rPr>
        <w:t>踏勘现场</w:t>
      </w:r>
      <w:bookmarkEnd w:id="69"/>
      <w:r>
        <w:rPr>
          <w:rFonts w:hint="eastAsia" w:ascii="宋体" w:hAnsi="宋体"/>
          <w:b/>
          <w:bCs/>
          <w:color w:val="000000" w:themeColor="text1"/>
          <w:sz w:val="22"/>
          <w:szCs w:val="22"/>
          <w14:textFill>
            <w14:solidFill>
              <w14:schemeClr w14:val="tx1"/>
            </w14:solidFill>
          </w14:textFill>
        </w:rPr>
        <w:t>（本项目</w:t>
      </w:r>
      <w:r>
        <w:rPr>
          <w:rFonts w:ascii="宋体" w:hAnsi="宋体"/>
          <w:b/>
          <w:bCs/>
          <w:color w:val="000000" w:themeColor="text1"/>
          <w:sz w:val="22"/>
          <w:szCs w:val="22"/>
          <w14:textFill>
            <w14:solidFill>
              <w14:schemeClr w14:val="tx1"/>
            </w14:solidFill>
          </w14:textFill>
        </w:rPr>
        <w:t>不</w:t>
      </w:r>
      <w:r>
        <w:rPr>
          <w:rFonts w:hint="eastAsia" w:ascii="宋体" w:hAnsi="宋体"/>
          <w:b/>
          <w:bCs/>
          <w:color w:val="000000" w:themeColor="text1"/>
          <w:sz w:val="22"/>
          <w:szCs w:val="22"/>
          <w14:textFill>
            <w14:solidFill>
              <w14:schemeClr w14:val="tx1"/>
            </w14:solidFill>
          </w14:textFill>
        </w:rPr>
        <w:t>组织踏勘</w:t>
      </w:r>
      <w:r>
        <w:rPr>
          <w:rFonts w:ascii="宋体" w:hAnsi="宋体"/>
          <w:b/>
          <w:bCs/>
          <w:color w:val="000000" w:themeColor="text1"/>
          <w:sz w:val="22"/>
          <w:szCs w:val="22"/>
          <w14:textFill>
            <w14:solidFill>
              <w14:schemeClr w14:val="tx1"/>
            </w14:solidFill>
          </w14:textFill>
        </w:rPr>
        <w:t>现场</w:t>
      </w:r>
      <w:r>
        <w:rPr>
          <w:rFonts w:hint="eastAsia" w:ascii="宋体" w:hAnsi="宋体"/>
          <w:b/>
          <w:bCs/>
          <w:color w:val="000000" w:themeColor="text1"/>
          <w:sz w:val="22"/>
          <w:szCs w:val="22"/>
          <w14:textFill>
            <w14:solidFill>
              <w14:schemeClr w14:val="tx1"/>
            </w14:solidFill>
          </w14:textFill>
        </w:rPr>
        <w:t>）</w:t>
      </w:r>
      <w:bookmarkEnd w:id="70"/>
      <w:bookmarkEnd w:id="71"/>
      <w:bookmarkEnd w:id="72"/>
    </w:p>
    <w:p>
      <w:pPr>
        <w:tabs>
          <w:tab w:val="left" w:pos="0"/>
        </w:tabs>
        <w:spacing w:line="360" w:lineRule="auto"/>
        <w:ind w:left="550" w:hanging="550" w:hangingChars="2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6.1  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spacing w:line="360" w:lineRule="auto"/>
        <w:ind w:left="550" w:hanging="550" w:hangingChars="2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 xml:space="preserve">6.2  </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人向投标人提供的有关现场的数据和资料，是</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人现有的能被投标人利用的资料，</w:t>
      </w:r>
      <w:r>
        <w:rPr>
          <w:rFonts w:hint="eastAsia" w:ascii="宋体" w:hAnsi="宋体"/>
          <w:color w:val="000000" w:themeColor="text1"/>
          <w:sz w:val="22"/>
          <w:szCs w:val="22"/>
          <w:lang w:val="zh-CN"/>
          <w14:textFill>
            <w14:solidFill>
              <w14:schemeClr w14:val="tx1"/>
            </w14:solidFill>
          </w14:textFill>
        </w:rPr>
        <w:t>招标人</w:t>
      </w:r>
      <w:r>
        <w:rPr>
          <w:rFonts w:ascii="宋体" w:hAnsi="宋体"/>
          <w:color w:val="000000" w:themeColor="text1"/>
          <w:sz w:val="22"/>
          <w:szCs w:val="22"/>
          <w:lang w:val="zh-CN"/>
          <w14:textFill>
            <w14:solidFill>
              <w14:schemeClr w14:val="tx1"/>
            </w14:solidFill>
          </w14:textFill>
        </w:rPr>
        <w:t>对投标人做出的任何推论、理解和结论均不负责任。</w:t>
      </w:r>
    </w:p>
    <w:p>
      <w:pPr>
        <w:tabs>
          <w:tab w:val="left" w:pos="0"/>
        </w:tabs>
        <w:spacing w:line="360" w:lineRule="auto"/>
        <w:ind w:left="552" w:leftChars="1" w:hanging="550" w:hangingChars="2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6.3  经</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人允许，投标人可为踏勘目的进入</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人承担有关的责任和蒙受损失。</w:t>
      </w:r>
    </w:p>
    <w:p>
      <w:pPr>
        <w:pStyle w:val="4"/>
        <w:tabs>
          <w:tab w:val="left" w:pos="142"/>
          <w:tab w:val="clear" w:pos="1440"/>
        </w:tabs>
        <w:ind w:left="0" w:firstLine="0"/>
        <w:rPr>
          <w:rFonts w:ascii="Times New Roman" w:hAnsi="Times New Roman" w:eastAsia="宋体"/>
          <w:color w:val="000000" w:themeColor="text1"/>
          <w:sz w:val="28"/>
          <w:szCs w:val="28"/>
          <w14:textFill>
            <w14:solidFill>
              <w14:schemeClr w14:val="tx1"/>
            </w14:solidFill>
          </w14:textFill>
        </w:rPr>
      </w:pPr>
      <w:bookmarkStart w:id="73" w:name="_Toc1295"/>
      <w:bookmarkStart w:id="74" w:name="_Toc4784"/>
      <w:bookmarkStart w:id="75" w:name="_Toc441844059"/>
      <w:bookmarkStart w:id="76" w:name="_Toc2680"/>
      <w:r>
        <w:rPr>
          <w:rFonts w:hint="eastAsia" w:ascii="Times New Roman" w:hAnsi="Times New Roman" w:eastAsia="宋体"/>
          <w:color w:val="000000" w:themeColor="text1"/>
          <w:sz w:val="28"/>
          <w:szCs w:val="28"/>
          <w14:textFill>
            <w14:solidFill>
              <w14:schemeClr w14:val="tx1"/>
            </w14:solidFill>
          </w14:textFill>
        </w:rPr>
        <w:t>（二）招标文件</w:t>
      </w:r>
      <w:bookmarkEnd w:id="73"/>
      <w:bookmarkEnd w:id="74"/>
      <w:bookmarkEnd w:id="75"/>
      <w:bookmarkEnd w:id="76"/>
    </w:p>
    <w:p>
      <w:pPr>
        <w:pStyle w:val="26"/>
        <w:numPr>
          <w:ilvl w:val="0"/>
          <w:numId w:val="6"/>
        </w:numPr>
        <w:spacing w:line="360" w:lineRule="auto"/>
        <w:ind w:left="0" w:firstLine="0" w:firstLineChars="0"/>
        <w:outlineLvl w:val="2"/>
        <w:rPr>
          <w:rFonts w:ascii="Times New Roman" w:hAnsi="Times New Roman"/>
          <w:b/>
          <w:bCs/>
          <w:color w:val="000000" w:themeColor="text1"/>
          <w:sz w:val="22"/>
          <w:szCs w:val="22"/>
          <w14:textFill>
            <w14:solidFill>
              <w14:schemeClr w14:val="tx1"/>
            </w14:solidFill>
          </w14:textFill>
        </w:rPr>
      </w:pPr>
      <w:bookmarkStart w:id="77" w:name="_Toc14554"/>
      <w:bookmarkStart w:id="78" w:name="_Toc9794"/>
      <w:bookmarkStart w:id="79" w:name="_Toc441844060"/>
      <w:bookmarkStart w:id="80" w:name="_Toc18850"/>
      <w:r>
        <w:rPr>
          <w:rFonts w:hint="eastAsia" w:ascii="Times New Roman" w:hAnsi="Times New Roman"/>
          <w:b/>
          <w:bCs/>
          <w:color w:val="000000" w:themeColor="text1"/>
          <w:sz w:val="22"/>
          <w:szCs w:val="22"/>
          <w14:textFill>
            <w14:solidFill>
              <w14:schemeClr w14:val="tx1"/>
            </w14:solidFill>
          </w14:textFill>
        </w:rPr>
        <w:t>招标文件的组成</w:t>
      </w:r>
      <w:bookmarkEnd w:id="77"/>
      <w:bookmarkEnd w:id="78"/>
      <w:bookmarkEnd w:id="79"/>
      <w:bookmarkEnd w:id="80"/>
    </w:p>
    <w:p>
      <w:pPr>
        <w:spacing w:line="360" w:lineRule="auto"/>
        <w:ind w:left="420" w:hanging="420"/>
        <w:rPr>
          <w:rFonts w:ascii="Times New Roman" w:hAnsi="Times New Roman"/>
          <w:color w:val="000000" w:themeColor="text1"/>
          <w:sz w:val="22"/>
          <w:szCs w:val="22"/>
          <w:lang w:val="zh-CN"/>
          <w14:textFill>
            <w14:solidFill>
              <w14:schemeClr w14:val="tx1"/>
            </w14:solidFill>
          </w14:textFill>
        </w:rPr>
      </w:pPr>
      <w:r>
        <w:rPr>
          <w:rFonts w:ascii="Times New Roman" w:hAnsi="Times New Roman"/>
          <w:color w:val="000000" w:themeColor="text1"/>
          <w:sz w:val="22"/>
          <w:szCs w:val="22"/>
          <w:lang w:val="zh-CN"/>
          <w14:textFill>
            <w14:solidFill>
              <w14:schemeClr w14:val="tx1"/>
            </w14:solidFill>
          </w14:textFill>
        </w:rPr>
        <w:t xml:space="preserve">7.1  </w:t>
      </w:r>
      <w:r>
        <w:rPr>
          <w:rFonts w:hint="eastAsia" w:ascii="Times New Roman" w:hAnsi="Times New Roman"/>
          <w:color w:val="000000" w:themeColor="text1"/>
          <w:sz w:val="22"/>
          <w:szCs w:val="22"/>
          <w:lang w:val="zh-CN"/>
          <w14:textFill>
            <w14:solidFill>
              <w14:schemeClr w14:val="tx1"/>
            </w14:solidFill>
          </w14:textFill>
        </w:rPr>
        <w:t>招标文件包括：</w:t>
      </w:r>
    </w:p>
    <w:p>
      <w:pPr>
        <w:spacing w:line="360" w:lineRule="auto"/>
        <w:ind w:left="420" w:leftChars="200" w:firstLine="110" w:firstLineChars="50"/>
        <w:rPr>
          <w:rFonts w:ascii="Times New Roman" w:hAnsi="Times New Roman"/>
          <w:color w:val="000000" w:themeColor="text1"/>
          <w:sz w:val="22"/>
          <w:szCs w:val="22"/>
          <w:lang w:val="zh-CN"/>
          <w14:textFill>
            <w14:solidFill>
              <w14:schemeClr w14:val="tx1"/>
            </w14:solidFill>
          </w14:textFill>
        </w:rPr>
      </w:pPr>
      <w:r>
        <w:rPr>
          <w:rFonts w:hint="eastAsia" w:ascii="Times New Roman" w:hAnsi="Times New Roman"/>
          <w:color w:val="000000" w:themeColor="text1"/>
          <w:sz w:val="22"/>
          <w:szCs w:val="22"/>
          <w:lang w:val="zh-CN"/>
          <w14:textFill>
            <w14:solidFill>
              <w14:schemeClr w14:val="tx1"/>
            </w14:solidFill>
          </w14:textFill>
        </w:rPr>
        <w:t>第一章</w:t>
      </w:r>
      <w:r>
        <w:rPr>
          <w:rFonts w:ascii="Times New Roman" w:hAnsi="Times New Roman"/>
          <w:color w:val="000000" w:themeColor="text1"/>
          <w:sz w:val="22"/>
          <w:szCs w:val="22"/>
          <w:lang w:val="zh-CN"/>
          <w14:textFill>
            <w14:solidFill>
              <w14:schemeClr w14:val="tx1"/>
            </w14:solidFill>
          </w14:textFill>
        </w:rPr>
        <w:t xml:space="preserve">  </w:t>
      </w:r>
      <w:r>
        <w:rPr>
          <w:rFonts w:hint="eastAsia" w:ascii="Times New Roman" w:hAnsi="Times New Roman"/>
          <w:color w:val="000000" w:themeColor="text1"/>
          <w:sz w:val="22"/>
          <w:szCs w:val="22"/>
          <w:lang w:val="zh-CN"/>
          <w14:textFill>
            <w14:solidFill>
              <w14:schemeClr w14:val="tx1"/>
            </w14:solidFill>
          </w14:textFill>
        </w:rPr>
        <w:t>招标公告；</w:t>
      </w:r>
    </w:p>
    <w:p>
      <w:pPr>
        <w:spacing w:line="360" w:lineRule="auto"/>
        <w:ind w:left="420" w:leftChars="200" w:firstLine="110" w:firstLineChars="50"/>
        <w:rPr>
          <w:rFonts w:ascii="Times New Roman" w:hAnsi="Times New Roman"/>
          <w:color w:val="000000" w:themeColor="text1"/>
          <w:sz w:val="22"/>
          <w:szCs w:val="22"/>
          <w:lang w:val="zh-CN"/>
          <w14:textFill>
            <w14:solidFill>
              <w14:schemeClr w14:val="tx1"/>
            </w14:solidFill>
          </w14:textFill>
        </w:rPr>
      </w:pPr>
      <w:r>
        <w:rPr>
          <w:rFonts w:hint="eastAsia" w:ascii="Times New Roman" w:hAnsi="Times New Roman"/>
          <w:color w:val="000000" w:themeColor="text1"/>
          <w:sz w:val="22"/>
          <w:szCs w:val="22"/>
          <w:lang w:val="zh-CN"/>
          <w14:textFill>
            <w14:solidFill>
              <w14:schemeClr w14:val="tx1"/>
            </w14:solidFill>
          </w14:textFill>
        </w:rPr>
        <w:t>第二章</w:t>
      </w:r>
      <w:r>
        <w:rPr>
          <w:rFonts w:ascii="Times New Roman" w:hAnsi="Times New Roman"/>
          <w:color w:val="000000" w:themeColor="text1"/>
          <w:sz w:val="22"/>
          <w:szCs w:val="22"/>
          <w:lang w:val="zh-CN"/>
          <w14:textFill>
            <w14:solidFill>
              <w14:schemeClr w14:val="tx1"/>
            </w14:solidFill>
          </w14:textFill>
        </w:rPr>
        <w:t xml:space="preserve">  </w:t>
      </w:r>
      <w:r>
        <w:rPr>
          <w:rFonts w:hint="eastAsia" w:ascii="Times New Roman" w:hAnsi="Times New Roman"/>
          <w:color w:val="000000" w:themeColor="text1"/>
          <w:sz w:val="22"/>
          <w:szCs w:val="22"/>
          <w:lang w:val="zh-CN"/>
          <w14:textFill>
            <w14:solidFill>
              <w14:schemeClr w14:val="tx1"/>
            </w14:solidFill>
          </w14:textFill>
        </w:rPr>
        <w:t>投标人须知；</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第三章  评标方法；</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w:t>
      </w:r>
      <w:r>
        <w:rPr>
          <w:rFonts w:hint="eastAsia" w:ascii="宋体" w:hAnsi="宋体"/>
          <w:color w:val="000000" w:themeColor="text1"/>
          <w:sz w:val="22"/>
          <w:szCs w:val="22"/>
          <w14:textFill>
            <w14:solidFill>
              <w14:schemeClr w14:val="tx1"/>
            </w14:solidFill>
          </w14:textFill>
        </w:rPr>
        <w:t>四</w:t>
      </w:r>
      <w:r>
        <w:rPr>
          <w:rFonts w:ascii="宋体" w:hAnsi="宋体"/>
          <w:color w:val="000000" w:themeColor="text1"/>
          <w:sz w:val="22"/>
          <w:szCs w:val="22"/>
          <w:lang w:val="zh-CN"/>
          <w14:textFill>
            <w14:solidFill>
              <w14:schemeClr w14:val="tx1"/>
            </w14:solidFill>
          </w14:textFill>
        </w:rPr>
        <w:t>章  合同书格式；</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w:t>
      </w:r>
      <w:r>
        <w:rPr>
          <w:rFonts w:hint="eastAsia" w:ascii="宋体" w:hAnsi="宋体"/>
          <w:color w:val="000000" w:themeColor="text1"/>
          <w:sz w:val="22"/>
          <w:szCs w:val="22"/>
          <w14:textFill>
            <w14:solidFill>
              <w14:schemeClr w14:val="tx1"/>
            </w14:solidFill>
          </w14:textFill>
        </w:rPr>
        <w:t>五</w:t>
      </w:r>
      <w:r>
        <w:rPr>
          <w:rFonts w:ascii="宋体" w:hAnsi="宋体"/>
          <w:color w:val="000000" w:themeColor="text1"/>
          <w:sz w:val="22"/>
          <w:szCs w:val="22"/>
          <w:lang w:val="zh-CN"/>
          <w14:textFill>
            <w14:solidFill>
              <w14:schemeClr w14:val="tx1"/>
            </w14:solidFill>
          </w14:textFill>
        </w:rPr>
        <w:t>章  投标文件格式。</w:t>
      </w:r>
    </w:p>
    <w:p>
      <w:pPr>
        <w:spacing w:line="360" w:lineRule="auto"/>
        <w:ind w:left="550" w:hanging="550" w:hangingChars="2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7.2  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81" w:name="_Toc395863076"/>
      <w:bookmarkStart w:id="82" w:name="_Toc441844061"/>
      <w:bookmarkStart w:id="83" w:name="_Toc18093"/>
      <w:bookmarkStart w:id="84" w:name="_Toc3222"/>
      <w:bookmarkStart w:id="85" w:name="_Toc12670"/>
      <w:r>
        <w:rPr>
          <w:rFonts w:ascii="宋体" w:hAnsi="宋体"/>
          <w:b/>
          <w:bCs/>
          <w:color w:val="000000" w:themeColor="text1"/>
          <w:sz w:val="22"/>
          <w:szCs w:val="22"/>
          <w14:textFill>
            <w14:solidFill>
              <w14:schemeClr w14:val="tx1"/>
            </w14:solidFill>
          </w14:textFill>
        </w:rPr>
        <w:t>招标文件的</w:t>
      </w:r>
      <w:bookmarkEnd w:id="81"/>
      <w:bookmarkEnd w:id="82"/>
      <w:r>
        <w:rPr>
          <w:rFonts w:hint="eastAsia" w:ascii="宋体" w:hAnsi="宋体"/>
          <w:b/>
          <w:bCs/>
          <w:color w:val="000000" w:themeColor="text1"/>
          <w:sz w:val="22"/>
          <w:szCs w:val="22"/>
          <w14:textFill>
            <w14:solidFill>
              <w14:schemeClr w14:val="tx1"/>
            </w14:solidFill>
          </w14:textFill>
        </w:rPr>
        <w:t>异议</w:t>
      </w:r>
      <w:bookmarkEnd w:id="83"/>
      <w:bookmarkEnd w:id="84"/>
      <w:bookmarkEnd w:id="85"/>
    </w:p>
    <w:p>
      <w:pPr>
        <w:pStyle w:val="27"/>
        <w:spacing w:line="360" w:lineRule="auto"/>
        <w:ind w:left="550" w:hanging="550" w:hangingChars="250"/>
        <w:rPr>
          <w:rFonts w:ascii="宋体" w:eastAsia="宋体"/>
          <w:color w:val="000000" w:themeColor="text1"/>
          <w:sz w:val="22"/>
          <w:szCs w:val="22"/>
          <w14:textFill>
            <w14:solidFill>
              <w14:schemeClr w14:val="tx1"/>
            </w14:solidFill>
          </w14:textFill>
        </w:rPr>
      </w:pPr>
      <w:bookmarkStart w:id="86" w:name="_Toc39071044"/>
      <w:bookmarkStart w:id="87" w:name="_Toc36971219"/>
      <w:r>
        <w:rPr>
          <w:rFonts w:ascii="宋体" w:eastAsia="宋体"/>
          <w:color w:val="000000" w:themeColor="text1"/>
          <w:sz w:val="22"/>
          <w:szCs w:val="22"/>
          <w14:textFill>
            <w14:solidFill>
              <w14:schemeClr w14:val="tx1"/>
            </w14:solidFill>
          </w14:textFill>
        </w:rPr>
        <w:t xml:space="preserve">8.1  </w:t>
      </w:r>
      <w:r>
        <w:rPr>
          <w:rFonts w:hint="eastAsia" w:ascii="宋体" w:eastAsia="宋体"/>
          <w:color w:val="000000" w:themeColor="text1"/>
          <w:sz w:val="22"/>
          <w:szCs w:val="22"/>
          <w14:textFill>
            <w14:solidFill>
              <w14:schemeClr w14:val="tx1"/>
            </w14:solidFill>
          </w14:textFill>
        </w:rPr>
        <w:t>投标人或者其他利害关系人对招标文件有异议的，应当在投标截止时间</w:t>
      </w:r>
      <w:r>
        <w:rPr>
          <w:rFonts w:ascii="宋体" w:eastAsia="宋体"/>
          <w:color w:val="000000" w:themeColor="text1"/>
          <w:sz w:val="22"/>
          <w:szCs w:val="22"/>
          <w14:textFill>
            <w14:solidFill>
              <w14:schemeClr w14:val="tx1"/>
            </w14:solidFill>
          </w14:textFill>
        </w:rPr>
        <w:t>10日前以书面形式向招标</w:t>
      </w:r>
      <w:r>
        <w:rPr>
          <w:rFonts w:hint="eastAsia" w:ascii="宋体" w:eastAsia="宋体"/>
          <w:color w:val="000000" w:themeColor="text1"/>
          <w:sz w:val="22"/>
          <w:szCs w:val="22"/>
          <w:lang w:val="en-US"/>
          <w14:textFill>
            <w14:solidFill>
              <w14:schemeClr w14:val="tx1"/>
            </w14:solidFill>
          </w14:textFill>
        </w:rPr>
        <w:t>人</w:t>
      </w:r>
      <w:r>
        <w:rPr>
          <w:rFonts w:ascii="宋体" w:eastAsia="宋体"/>
          <w:color w:val="000000" w:themeColor="text1"/>
          <w:sz w:val="22"/>
          <w:szCs w:val="22"/>
          <w14:textFill>
            <w14:solidFill>
              <w14:schemeClr w14:val="tx1"/>
            </w14:solidFill>
          </w14:textFill>
        </w:rPr>
        <w:t>提出，并将材料原件送达招标</w:t>
      </w:r>
      <w:r>
        <w:rPr>
          <w:rFonts w:hint="eastAsia" w:ascii="宋体" w:eastAsia="宋体"/>
          <w:color w:val="000000" w:themeColor="text1"/>
          <w:sz w:val="22"/>
          <w:szCs w:val="22"/>
          <w:lang w:val="en-US"/>
          <w14:textFill>
            <w14:solidFill>
              <w14:schemeClr w14:val="tx1"/>
            </w14:solidFill>
          </w14:textFill>
        </w:rPr>
        <w:t>人</w:t>
      </w:r>
      <w:r>
        <w:rPr>
          <w:rFonts w:ascii="宋体" w:eastAsia="宋体"/>
          <w:color w:val="000000" w:themeColor="text1"/>
          <w:sz w:val="22"/>
          <w:szCs w:val="22"/>
          <w14:textFill>
            <w14:solidFill>
              <w14:schemeClr w14:val="tx1"/>
            </w14:solidFill>
          </w14:textFill>
        </w:rPr>
        <w:t>，逾期则视为对招标文件所有内容无异议。异议书面材料必须加盖投标人法人公章，并注明联系人、联系电话、联系地址。超出提交接收异议截止时间而提出的任何疑问，招标</w:t>
      </w:r>
      <w:r>
        <w:rPr>
          <w:rFonts w:hint="eastAsia" w:ascii="宋体" w:eastAsia="宋体"/>
          <w:color w:val="000000" w:themeColor="text1"/>
          <w:sz w:val="22"/>
          <w:szCs w:val="22"/>
          <w:lang w:val="en-US"/>
          <w14:textFill>
            <w14:solidFill>
              <w14:schemeClr w14:val="tx1"/>
            </w14:solidFill>
          </w14:textFill>
        </w:rPr>
        <w:t>人</w:t>
      </w:r>
      <w:r>
        <w:rPr>
          <w:rFonts w:ascii="宋体" w:eastAsia="宋体"/>
          <w:color w:val="000000" w:themeColor="text1"/>
          <w:sz w:val="22"/>
          <w:szCs w:val="22"/>
          <w14:textFill>
            <w14:solidFill>
              <w14:schemeClr w14:val="tx1"/>
            </w14:solidFill>
          </w14:textFill>
        </w:rPr>
        <w:t>可不予答复。投标人必须在投标文件中提供投标承诺书（格式详见第</w:t>
      </w:r>
      <w:r>
        <w:rPr>
          <w:rFonts w:hint="eastAsia" w:ascii="宋体" w:eastAsia="宋体"/>
          <w:color w:val="000000" w:themeColor="text1"/>
          <w:sz w:val="22"/>
          <w:szCs w:val="22"/>
          <w:lang w:val="en-US"/>
          <w14:textFill>
            <w14:solidFill>
              <w14:schemeClr w14:val="tx1"/>
            </w14:solidFill>
          </w14:textFill>
        </w:rPr>
        <w:t>五</w:t>
      </w:r>
      <w:r>
        <w:rPr>
          <w:rFonts w:ascii="宋体" w:eastAsia="宋体"/>
          <w:color w:val="000000" w:themeColor="text1"/>
          <w:sz w:val="22"/>
          <w:szCs w:val="22"/>
          <w14:textFill>
            <w14:solidFill>
              <w14:schemeClr w14:val="tx1"/>
            </w14:solidFill>
          </w14:textFill>
        </w:rPr>
        <w:t>章投标文件格式）。</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88" w:name="_Toc22334"/>
      <w:bookmarkStart w:id="89" w:name="_Toc22093"/>
      <w:bookmarkStart w:id="90" w:name="_Toc395863077"/>
      <w:bookmarkStart w:id="91" w:name="_Toc441844062"/>
      <w:bookmarkStart w:id="92" w:name="_Toc12973"/>
      <w:r>
        <w:rPr>
          <w:rFonts w:ascii="宋体" w:hAnsi="宋体"/>
          <w:b/>
          <w:bCs/>
          <w:color w:val="000000" w:themeColor="text1"/>
          <w:sz w:val="22"/>
          <w:szCs w:val="22"/>
          <w14:textFill>
            <w14:solidFill>
              <w14:schemeClr w14:val="tx1"/>
            </w14:solidFill>
          </w14:textFill>
        </w:rPr>
        <w:t>招标文件的</w:t>
      </w:r>
      <w:r>
        <w:rPr>
          <w:rFonts w:hint="eastAsia" w:ascii="宋体" w:hAnsi="宋体"/>
          <w:b/>
          <w:bCs/>
          <w:color w:val="000000" w:themeColor="text1"/>
          <w:sz w:val="22"/>
          <w:szCs w:val="22"/>
          <w14:textFill>
            <w14:solidFill>
              <w14:schemeClr w14:val="tx1"/>
            </w14:solidFill>
          </w14:textFill>
        </w:rPr>
        <w:t>澄清及</w:t>
      </w:r>
      <w:r>
        <w:rPr>
          <w:rFonts w:ascii="宋体" w:hAnsi="宋体"/>
          <w:b/>
          <w:bCs/>
          <w:color w:val="000000" w:themeColor="text1"/>
          <w:sz w:val="22"/>
          <w:szCs w:val="22"/>
          <w14:textFill>
            <w14:solidFill>
              <w14:schemeClr w14:val="tx1"/>
            </w14:solidFill>
          </w14:textFill>
        </w:rPr>
        <w:t>修改</w:t>
      </w:r>
      <w:bookmarkEnd w:id="86"/>
      <w:bookmarkEnd w:id="87"/>
      <w:bookmarkEnd w:id="88"/>
      <w:bookmarkEnd w:id="89"/>
      <w:bookmarkEnd w:id="90"/>
      <w:bookmarkEnd w:id="91"/>
      <w:bookmarkEnd w:id="92"/>
    </w:p>
    <w:p>
      <w:pPr>
        <w:pStyle w:val="27"/>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 xml:space="preserve">9.1  </w:t>
      </w:r>
      <w:r>
        <w:rPr>
          <w:rFonts w:hint="eastAsia" w:ascii="宋体" w:eastAsia="宋体"/>
          <w:color w:val="000000" w:themeColor="text1"/>
          <w:sz w:val="22"/>
          <w:szCs w:val="22"/>
          <w14:textFill>
            <w14:solidFill>
              <w14:schemeClr w14:val="tx1"/>
            </w14:solidFill>
          </w14:textFill>
        </w:rPr>
        <w:t>招标</w:t>
      </w:r>
      <w:r>
        <w:rPr>
          <w:rFonts w:hint="eastAsia" w:ascii="宋体" w:eastAsia="宋体"/>
          <w:color w:val="000000" w:themeColor="text1"/>
          <w:sz w:val="22"/>
          <w:szCs w:val="22"/>
          <w:lang w:val="en-US"/>
          <w14:textFill>
            <w14:solidFill>
              <w14:schemeClr w14:val="tx1"/>
            </w14:solidFill>
          </w14:textFill>
        </w:rPr>
        <w:t>人</w:t>
      </w:r>
      <w:r>
        <w:rPr>
          <w:rFonts w:hint="eastAsia" w:ascii="宋体" w:eastAsia="宋体"/>
          <w:color w:val="000000" w:themeColor="text1"/>
          <w:sz w:val="22"/>
          <w:szCs w:val="22"/>
          <w14:textFill>
            <w14:solidFill>
              <w14:schemeClr w14:val="tx1"/>
            </w14:solidFill>
          </w14:textFill>
        </w:rPr>
        <w:t>对已发出的招标文件进行必要澄清或者修改的，将在招标文件要求提交投标文件截止时间</w:t>
      </w:r>
      <w:r>
        <w:rPr>
          <w:rFonts w:ascii="宋体" w:eastAsia="宋体"/>
          <w:color w:val="000000" w:themeColor="text1"/>
          <w:sz w:val="22"/>
          <w:szCs w:val="22"/>
          <w14:textFill>
            <w14:solidFill>
              <w14:schemeClr w14:val="tx1"/>
            </w14:solidFill>
          </w14:textFill>
        </w:rPr>
        <w:t>15日前，在招标信息发布的媒体上以有编号的澄清通知予以发布。招标文件的修改内容作为招标文件的组成部分，具有约束作用。</w:t>
      </w:r>
    </w:p>
    <w:p>
      <w:pPr>
        <w:pStyle w:val="27"/>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9.2  当招标文件、招标文件的澄清、修改、补充等在同一内容的表述上不一致时，以最后发出的文件为准。</w:t>
      </w:r>
    </w:p>
    <w:p>
      <w:pPr>
        <w:pStyle w:val="27"/>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9.3  为使投标人在编制投标文件时有充分的时间对招标文件的澄清、修改、补充等内容进行研究，</w:t>
      </w:r>
      <w:r>
        <w:rPr>
          <w:rFonts w:hint="eastAsia" w:ascii="宋体" w:eastAsia="宋体"/>
          <w:color w:val="000000" w:themeColor="text1"/>
          <w:sz w:val="22"/>
          <w:szCs w:val="22"/>
          <w14:textFill>
            <w14:solidFill>
              <w14:schemeClr w14:val="tx1"/>
            </w14:solidFill>
          </w14:textFill>
        </w:rPr>
        <w:t>招标</w:t>
      </w:r>
      <w:r>
        <w:rPr>
          <w:rFonts w:hint="eastAsia" w:ascii="宋体" w:eastAsia="宋体"/>
          <w:color w:val="000000" w:themeColor="text1"/>
          <w:sz w:val="22"/>
          <w:szCs w:val="22"/>
          <w:lang w:val="en-US"/>
          <w14:textFill>
            <w14:solidFill>
              <w14:schemeClr w14:val="tx1"/>
            </w14:solidFill>
          </w14:textFill>
        </w:rPr>
        <w:t>人</w:t>
      </w:r>
      <w:r>
        <w:rPr>
          <w:rFonts w:ascii="宋体" w:eastAsia="宋体"/>
          <w:color w:val="000000" w:themeColor="text1"/>
          <w:sz w:val="22"/>
          <w:szCs w:val="22"/>
          <w14:textFill>
            <w14:solidFill>
              <w14:schemeClr w14:val="tx1"/>
            </w14:solidFill>
          </w14:textFill>
        </w:rPr>
        <w:t>将酌情延长提交投标文件的截止时间，具体时间将在招标文件的修改、补充通知中予以明确。</w:t>
      </w:r>
    </w:p>
    <w:p>
      <w:pPr>
        <w:pStyle w:val="27"/>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9.4</w:t>
      </w:r>
      <w:r>
        <w:rPr>
          <w:rFonts w:ascii="宋体" w:eastAsia="宋体"/>
          <w:color w:val="000000" w:themeColor="text1"/>
          <w:sz w:val="22"/>
          <w:szCs w:val="22"/>
          <w14:textFill>
            <w14:solidFill>
              <w14:schemeClr w14:val="tx1"/>
            </w14:solidFill>
          </w14:textFill>
        </w:rPr>
        <w:tab/>
      </w:r>
      <w:r>
        <w:rPr>
          <w:rFonts w:ascii="宋体" w:eastAsia="宋体"/>
          <w:color w:val="000000" w:themeColor="text1"/>
          <w:sz w:val="22"/>
          <w:szCs w:val="22"/>
          <w14:textFill>
            <w14:solidFill>
              <w14:schemeClr w14:val="tx1"/>
            </w14:solidFill>
          </w14:textFill>
        </w:rPr>
        <w:t>招标文件的修改、补充通知将在</w:t>
      </w:r>
      <w:r>
        <w:rPr>
          <w:rFonts w:ascii="宋体" w:eastAsia="宋体"/>
          <w:b/>
          <w:color w:val="000000" w:themeColor="text1"/>
          <w:sz w:val="22"/>
          <w:szCs w:val="22"/>
          <w:u w:val="single"/>
          <w14:textFill>
            <w14:solidFill>
              <w14:schemeClr w14:val="tx1"/>
            </w14:solidFill>
          </w14:textFill>
        </w:rPr>
        <w:t>《投标人须知前附表》</w:t>
      </w:r>
      <w:r>
        <w:rPr>
          <w:rFonts w:ascii="宋体" w:eastAsia="宋体"/>
          <w:color w:val="000000" w:themeColor="text1"/>
          <w:sz w:val="22"/>
          <w:szCs w:val="22"/>
          <w14:textFill>
            <w14:solidFill>
              <w14:schemeClr w14:val="tx1"/>
            </w14:solidFill>
          </w14:textFill>
        </w:rPr>
        <w:t>规定的媒体公告上公布，请各投标人密切留意。</w:t>
      </w:r>
    </w:p>
    <w:p>
      <w:pPr>
        <w:pStyle w:val="4"/>
        <w:tabs>
          <w:tab w:val="left" w:pos="142"/>
          <w:tab w:val="clear" w:pos="1440"/>
        </w:tabs>
        <w:ind w:left="0" w:firstLine="0"/>
        <w:rPr>
          <w:rFonts w:ascii="宋体" w:hAnsi="宋体" w:eastAsia="宋体"/>
          <w:color w:val="000000" w:themeColor="text1"/>
          <w:sz w:val="22"/>
          <w:szCs w:val="22"/>
          <w14:textFill>
            <w14:solidFill>
              <w14:schemeClr w14:val="tx1"/>
            </w14:solidFill>
          </w14:textFill>
        </w:rPr>
      </w:pPr>
      <w:bookmarkStart w:id="93" w:name="_Toc17822"/>
      <w:bookmarkStart w:id="94" w:name="_Toc5076"/>
      <w:bookmarkStart w:id="95" w:name="_Toc10997"/>
      <w:bookmarkStart w:id="96" w:name="_Toc441844063"/>
      <w:r>
        <w:rPr>
          <w:rFonts w:ascii="宋体" w:hAnsi="宋体" w:eastAsia="宋体"/>
          <w:color w:val="000000" w:themeColor="text1"/>
          <w:sz w:val="22"/>
          <w:szCs w:val="22"/>
          <w14:textFill>
            <w14:solidFill>
              <w14:schemeClr w14:val="tx1"/>
            </w14:solidFill>
          </w14:textFill>
        </w:rPr>
        <w:t>（三）投标文件编制</w:t>
      </w:r>
      <w:bookmarkEnd w:id="93"/>
      <w:bookmarkEnd w:id="94"/>
      <w:bookmarkEnd w:id="95"/>
      <w:bookmarkEnd w:id="96"/>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97" w:name="_Toc22321"/>
      <w:bookmarkStart w:id="98" w:name="_Toc2047"/>
      <w:bookmarkStart w:id="99" w:name="_Toc441844064"/>
      <w:bookmarkStart w:id="100" w:name="_Toc17849"/>
      <w:r>
        <w:rPr>
          <w:rFonts w:ascii="宋体" w:hAnsi="宋体"/>
          <w:b/>
          <w:bCs/>
          <w:color w:val="000000" w:themeColor="text1"/>
          <w:sz w:val="22"/>
          <w:szCs w:val="22"/>
          <w14:textFill>
            <w14:solidFill>
              <w14:schemeClr w14:val="tx1"/>
            </w14:solidFill>
          </w14:textFill>
        </w:rPr>
        <w:t>投标文件的语言及度量衡单位</w:t>
      </w:r>
      <w:bookmarkEnd w:id="97"/>
      <w:bookmarkEnd w:id="98"/>
      <w:bookmarkEnd w:id="99"/>
      <w:bookmarkEnd w:id="100"/>
    </w:p>
    <w:p>
      <w:pPr>
        <w:pStyle w:val="27"/>
        <w:spacing w:line="360" w:lineRule="auto"/>
        <w:ind w:left="662" w:hanging="662" w:hangingChars="301"/>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10.1  投标人提交的投标文件以及投标人与</w:t>
      </w:r>
      <w:r>
        <w:rPr>
          <w:rFonts w:hint="eastAsia" w:ascii="宋体" w:eastAsia="宋体"/>
          <w:color w:val="000000" w:themeColor="text1"/>
          <w:sz w:val="22"/>
          <w:szCs w:val="22"/>
          <w14:textFill>
            <w14:solidFill>
              <w14:schemeClr w14:val="tx1"/>
            </w14:solidFill>
          </w14:textFill>
        </w:rPr>
        <w:t>招标</w:t>
      </w:r>
      <w:r>
        <w:rPr>
          <w:rFonts w:hint="eastAsia" w:ascii="宋体" w:eastAsia="宋体"/>
          <w:color w:val="000000" w:themeColor="text1"/>
          <w:sz w:val="22"/>
          <w:szCs w:val="22"/>
          <w:lang w:val="en-US"/>
          <w14:textFill>
            <w14:solidFill>
              <w14:schemeClr w14:val="tx1"/>
            </w14:solidFill>
          </w14:textFill>
        </w:rPr>
        <w:t>人</w:t>
      </w:r>
      <w:r>
        <w:rPr>
          <w:rFonts w:ascii="宋体" w:eastAsia="宋体"/>
          <w:color w:val="000000" w:themeColor="text1"/>
          <w:sz w:val="22"/>
          <w:szCs w:val="22"/>
          <w14:textFill>
            <w14:solidFill>
              <w14:schemeClr w14:val="tx1"/>
            </w14:solidFill>
          </w14:textFill>
        </w:rPr>
        <w:t>就有关投标的所有来往函件均应使用简体中文书写。对于任何非中文的资料，都应提供简体中文翻译本，有矛盾时以简体中文翻译本为准。对中文翻译有异议的，以权威机构的译本为准。</w:t>
      </w:r>
    </w:p>
    <w:p>
      <w:pPr>
        <w:pStyle w:val="27"/>
        <w:spacing w:line="360" w:lineRule="auto"/>
        <w:ind w:left="662" w:hanging="662" w:hangingChars="301"/>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10.2  在投标文件中以及所有投标人与</w:t>
      </w:r>
      <w:r>
        <w:rPr>
          <w:rFonts w:hint="eastAsia" w:ascii="宋体" w:eastAsia="宋体"/>
          <w:color w:val="000000" w:themeColor="text1"/>
          <w:sz w:val="22"/>
          <w:szCs w:val="22"/>
          <w14:textFill>
            <w14:solidFill>
              <w14:schemeClr w14:val="tx1"/>
            </w14:solidFill>
          </w14:textFill>
        </w:rPr>
        <w:t>招标</w:t>
      </w:r>
      <w:r>
        <w:rPr>
          <w:rFonts w:ascii="宋体" w:eastAsia="宋体"/>
          <w:color w:val="000000" w:themeColor="text1"/>
          <w:sz w:val="22"/>
          <w:szCs w:val="22"/>
          <w14:textFill>
            <w14:solidFill>
              <w14:schemeClr w14:val="tx1"/>
            </w14:solidFill>
          </w14:textFill>
        </w:rPr>
        <w:t>人往来文件中的所有计量单位和规格都应按国家有关规定使用公制标准。</w:t>
      </w:r>
    </w:p>
    <w:p>
      <w:pPr>
        <w:pStyle w:val="27"/>
        <w:spacing w:line="360"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10.3  招标文件中，如标有“★”的条款均为必须完全满足指标，投标人须进行实质性响应，投标人若有一项带“★”的条款未响应或不满足，将按无效投标处理。</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01" w:name="_Toc30069"/>
      <w:bookmarkStart w:id="102" w:name="_Toc240"/>
      <w:bookmarkStart w:id="103" w:name="_Toc21350"/>
      <w:bookmarkStart w:id="104" w:name="_Toc441844065"/>
      <w:r>
        <w:rPr>
          <w:rFonts w:ascii="宋体" w:hAnsi="宋体"/>
          <w:b/>
          <w:bCs/>
          <w:color w:val="000000" w:themeColor="text1"/>
          <w:sz w:val="22"/>
          <w:szCs w:val="22"/>
          <w14:textFill>
            <w14:solidFill>
              <w14:schemeClr w14:val="tx1"/>
            </w14:solidFill>
          </w14:textFill>
        </w:rPr>
        <w:t>投标文件构成</w:t>
      </w:r>
      <w:bookmarkEnd w:id="101"/>
      <w:bookmarkEnd w:id="102"/>
      <w:bookmarkEnd w:id="103"/>
      <w:bookmarkEnd w:id="104"/>
    </w:p>
    <w:p>
      <w:pPr>
        <w:pStyle w:val="26"/>
        <w:spacing w:line="360" w:lineRule="auto"/>
        <w:ind w:firstLine="0" w:firstLineChars="0"/>
        <w:rPr>
          <w:rFonts w:ascii="宋体" w:hAnsi="宋体"/>
          <w:b/>
          <w:bCs/>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11.1  投标人编写的投标文件应包括下列部分：</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（1）投标函；</w:t>
      </w:r>
    </w:p>
    <w:p>
      <w:pPr>
        <w:pStyle w:val="7"/>
        <w:ind w:firstLine="880" w:firstLineChars="400"/>
        <w:rPr>
          <w:rFonts w:ascii="宋体" w:hAnsi="宋体"/>
          <w:color w:val="000000" w:themeColor="text1"/>
          <w:kern w:val="2"/>
          <w:sz w:val="22"/>
          <w:szCs w:val="22"/>
          <w:lang w:val="en-US"/>
          <w14:textFill>
            <w14:solidFill>
              <w14:schemeClr w14:val="tx1"/>
            </w14:solidFill>
          </w14:textFill>
        </w:rPr>
      </w:pPr>
      <w:r>
        <w:rPr>
          <w:rFonts w:hint="eastAsia" w:ascii="宋体" w:hAnsi="宋体"/>
          <w:color w:val="000000" w:themeColor="text1"/>
          <w:kern w:val="2"/>
          <w:sz w:val="22"/>
          <w:szCs w:val="22"/>
          <w:lang w:val="en-US"/>
          <w14:textFill>
            <w14:solidFill>
              <w14:schemeClr w14:val="tx1"/>
            </w14:solidFill>
          </w14:textFill>
        </w:rPr>
        <w:t>（2）投标报价表；</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（3）承诺书；</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（4）法定代表人身份证明书；</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（5）法人授权委托证明书；</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（6）投标人资格证明文件</w:t>
      </w:r>
    </w:p>
    <w:p>
      <w:pPr>
        <w:pStyle w:val="28"/>
        <w:numPr>
          <w:ilvl w:val="0"/>
          <w:numId w:val="7"/>
        </w:numPr>
        <w:spacing w:line="336" w:lineRule="auto"/>
        <w:ind w:left="1418" w:hanging="425"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多证</w:t>
      </w:r>
      <w:r>
        <w:rPr>
          <w:rFonts w:ascii="宋体" w:eastAsia="宋体"/>
          <w:color w:val="000000" w:themeColor="text1"/>
          <w:sz w:val="22"/>
          <w:szCs w:val="22"/>
          <w14:textFill>
            <w14:solidFill>
              <w14:schemeClr w14:val="tx1"/>
            </w14:solidFill>
          </w14:textFill>
        </w:rPr>
        <w:t>合一营业执照</w:t>
      </w:r>
      <w:r>
        <w:rPr>
          <w:rFonts w:hint="eastAsia" w:ascii="宋体" w:eastAsia="宋体"/>
          <w:color w:val="000000" w:themeColor="text1"/>
          <w:sz w:val="22"/>
          <w:szCs w:val="22"/>
          <w14:textFill>
            <w14:solidFill>
              <w14:schemeClr w14:val="tx1"/>
            </w14:solidFill>
          </w14:textFill>
        </w:rPr>
        <w:t>的复印件（或事业单位法人证书）；</w:t>
      </w:r>
    </w:p>
    <w:p>
      <w:pPr>
        <w:pStyle w:val="28"/>
        <w:numPr>
          <w:ilvl w:val="0"/>
          <w:numId w:val="7"/>
        </w:numPr>
        <w:spacing w:line="336" w:lineRule="auto"/>
        <w:ind w:left="1418" w:hanging="425" w:firstLineChars="0"/>
        <w:rPr>
          <w:rFonts w:ascii="宋体" w:eastAsia="宋体"/>
          <w:b/>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“投标人资格要求”中的相关资格文件复印件，</w:t>
      </w:r>
      <w:bookmarkStart w:id="105" w:name="_Hlk45118774"/>
      <w:r>
        <w:rPr>
          <w:rFonts w:hint="eastAsia" w:ascii="宋体" w:eastAsia="宋体"/>
          <w:b/>
          <w:bCs/>
          <w:color w:val="000000" w:themeColor="text1"/>
          <w:sz w:val="22"/>
          <w:szCs w:val="22"/>
          <w14:textFill>
            <w14:solidFill>
              <w14:schemeClr w14:val="tx1"/>
            </w14:solidFill>
          </w14:textFill>
        </w:rPr>
        <w:t>包括</w:t>
      </w:r>
      <w:bookmarkEnd w:id="105"/>
      <w:r>
        <w:rPr>
          <w:rFonts w:hint="eastAsia" w:ascii="宋体" w:eastAsia="宋体"/>
          <w:b/>
          <w:bCs/>
          <w:color w:val="000000" w:themeColor="text1"/>
          <w:sz w:val="22"/>
          <w:szCs w:val="22"/>
          <w14:textFill>
            <w14:solidFill>
              <w14:schemeClr w14:val="tx1"/>
            </w14:solidFill>
          </w14:textFill>
        </w:rPr>
        <w:t>“工业、商用循环水处理”资质证书</w:t>
      </w:r>
      <w:r>
        <w:rPr>
          <w:rFonts w:hint="eastAsia" w:ascii="宋体" w:eastAsia="宋体"/>
          <w:color w:val="000000" w:themeColor="text1"/>
          <w:sz w:val="22"/>
          <w:szCs w:val="22"/>
          <w14:textFill>
            <w14:solidFill>
              <w14:schemeClr w14:val="tx1"/>
            </w14:solidFill>
          </w14:textFill>
        </w:rPr>
        <w:t>；</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（7）最近</w:t>
      </w:r>
      <w:r>
        <w:rPr>
          <w:rFonts w:ascii="宋体" w:hAnsi="宋体"/>
          <w:color w:val="000000" w:themeColor="text1"/>
          <w:sz w:val="22"/>
          <w:szCs w:val="22"/>
          <w14:textFill>
            <w14:solidFill>
              <w14:schemeClr w14:val="tx1"/>
            </w14:solidFill>
          </w14:textFill>
        </w:rPr>
        <w:t>3年企业牵涉的主要诉讼案件或仲裁案件或处罚说明格式；</w:t>
      </w:r>
    </w:p>
    <w:p>
      <w:pPr>
        <w:spacing w:line="360" w:lineRule="auto"/>
        <w:ind w:firstLine="880" w:firstLineChars="400"/>
        <w:rPr>
          <w:rFonts w:ascii="宋体" w:hAnsi="宋体"/>
          <w:color w:val="000000" w:themeColor="text1"/>
          <w:sz w:val="22"/>
          <w:szCs w:val="22"/>
          <w14:textFill>
            <w14:solidFill>
              <w14:schemeClr w14:val="tx1"/>
            </w14:solidFill>
          </w14:textFill>
        </w:rPr>
      </w:pPr>
      <w:bookmarkStart w:id="106" w:name="_Toc2269"/>
      <w:bookmarkStart w:id="107" w:name="_Toc16884"/>
      <w:r>
        <w:rPr>
          <w:rFonts w:hint="eastAsia" w:ascii="宋体" w:hAnsi="宋体"/>
          <w:color w:val="000000" w:themeColor="text1"/>
          <w:sz w:val="22"/>
          <w:szCs w:val="22"/>
          <w14:textFill>
            <w14:solidFill>
              <w14:schemeClr w14:val="tx1"/>
            </w14:solidFill>
          </w14:textFill>
        </w:rPr>
        <w:t>（8） “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bookmarkEnd w:id="106"/>
      <w:bookmarkEnd w:id="107"/>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（9）投标人资格承诺书</w:t>
      </w:r>
    </w:p>
    <w:p>
      <w:pPr>
        <w:spacing w:line="336"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（10）投标人认为需加以说明的其他情况。</w:t>
      </w:r>
    </w:p>
    <w:p>
      <w:pPr>
        <w:pStyle w:val="27"/>
        <w:spacing w:line="360" w:lineRule="auto"/>
        <w:ind w:left="662" w:leftChars="1"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11.</w:t>
      </w:r>
      <w:r>
        <w:rPr>
          <w:rFonts w:hint="eastAsia" w:ascii="宋体" w:eastAsia="宋体"/>
          <w:color w:val="000000" w:themeColor="text1"/>
          <w:sz w:val="22"/>
          <w:szCs w:val="22"/>
          <w:lang w:val="en-US"/>
          <w14:textFill>
            <w14:solidFill>
              <w14:schemeClr w14:val="tx1"/>
            </w14:solidFill>
          </w14:textFill>
        </w:rPr>
        <w:t>2</w:t>
      </w:r>
      <w:r>
        <w:rPr>
          <w:rFonts w:ascii="宋体" w:eastAsia="宋体"/>
          <w:color w:val="000000" w:themeColor="text1"/>
          <w:sz w:val="22"/>
          <w:szCs w:val="22"/>
          <w14:textFill>
            <w14:solidFill>
              <w14:schemeClr w14:val="tx1"/>
            </w14:solidFill>
          </w14:textFill>
        </w:rPr>
        <w:t xml:space="preserve"> 投标人编制投标文件必须包括但不限于上述内容。</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08" w:name="_Toc441844066"/>
      <w:bookmarkStart w:id="109" w:name="_Toc27559"/>
      <w:bookmarkStart w:id="110" w:name="_Toc18539"/>
      <w:bookmarkStart w:id="111" w:name="_Toc19249"/>
      <w:r>
        <w:rPr>
          <w:rFonts w:ascii="宋体" w:hAnsi="宋体"/>
          <w:b/>
          <w:bCs/>
          <w:color w:val="000000" w:themeColor="text1"/>
          <w:sz w:val="22"/>
          <w:szCs w:val="22"/>
          <w14:textFill>
            <w14:solidFill>
              <w14:schemeClr w14:val="tx1"/>
            </w14:solidFill>
          </w14:textFill>
        </w:rPr>
        <w:t>投标文件格式</w:t>
      </w:r>
      <w:bookmarkEnd w:id="108"/>
      <w:bookmarkEnd w:id="109"/>
      <w:bookmarkEnd w:id="110"/>
      <w:bookmarkEnd w:id="111"/>
    </w:p>
    <w:p>
      <w:pPr>
        <w:pStyle w:val="27"/>
        <w:spacing w:line="360"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12.1  投标人提交的投标文件应当使用招标文件所提供的投标文件全部格式（表格可以按同样格式扩展）。</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12" w:name="_Toc11281"/>
      <w:bookmarkStart w:id="113" w:name="_Toc10655"/>
      <w:bookmarkStart w:id="114" w:name="_Toc441844067"/>
      <w:bookmarkStart w:id="115" w:name="_Toc14045"/>
      <w:r>
        <w:rPr>
          <w:rFonts w:ascii="宋体" w:hAnsi="宋体"/>
          <w:b/>
          <w:bCs/>
          <w:color w:val="000000" w:themeColor="text1"/>
          <w:sz w:val="22"/>
          <w:szCs w:val="22"/>
          <w14:textFill>
            <w14:solidFill>
              <w14:schemeClr w14:val="tx1"/>
            </w14:solidFill>
          </w14:textFill>
        </w:rPr>
        <w:t>投标文件的份数和签署</w:t>
      </w:r>
      <w:bookmarkEnd w:id="112"/>
      <w:bookmarkEnd w:id="113"/>
      <w:bookmarkEnd w:id="114"/>
      <w:bookmarkEnd w:id="115"/>
    </w:p>
    <w:p>
      <w:pPr>
        <w:pStyle w:val="27"/>
        <w:spacing w:line="360" w:lineRule="auto"/>
        <w:ind w:left="649" w:hanging="649" w:hangingChars="294"/>
        <w:rPr>
          <w:rFonts w:ascii="宋体" w:eastAsia="宋体"/>
          <w:b/>
          <w:color w:val="000000" w:themeColor="text1"/>
          <w:sz w:val="22"/>
          <w:szCs w:val="22"/>
          <w14:textFill>
            <w14:solidFill>
              <w14:schemeClr w14:val="tx1"/>
            </w14:solidFill>
          </w14:textFill>
        </w:rPr>
      </w:pPr>
      <w:r>
        <w:rPr>
          <w:rFonts w:ascii="宋体" w:eastAsia="宋体"/>
          <w:b/>
          <w:color w:val="000000" w:themeColor="text1"/>
          <w:sz w:val="22"/>
          <w:szCs w:val="22"/>
          <w14:textFill>
            <w14:solidFill>
              <w14:schemeClr w14:val="tx1"/>
            </w14:solidFill>
          </w14:textFill>
        </w:rPr>
        <w:t>13.1  投标人应分包组提交</w:t>
      </w:r>
      <w:r>
        <w:rPr>
          <w:rFonts w:ascii="宋体" w:eastAsia="宋体"/>
          <w:b/>
          <w:color w:val="000000" w:themeColor="text1"/>
          <w:sz w:val="22"/>
          <w:szCs w:val="22"/>
          <w:u w:val="single"/>
          <w14:textFill>
            <w14:solidFill>
              <w14:schemeClr w14:val="tx1"/>
            </w14:solidFill>
          </w14:textFill>
        </w:rPr>
        <w:t xml:space="preserve"> 一 </w:t>
      </w:r>
      <w:r>
        <w:rPr>
          <w:rFonts w:ascii="宋体" w:eastAsia="宋体"/>
          <w:b/>
          <w:color w:val="000000" w:themeColor="text1"/>
          <w:sz w:val="22"/>
          <w:szCs w:val="22"/>
          <w14:textFill>
            <w14:solidFill>
              <w14:schemeClr w14:val="tx1"/>
            </w14:solidFill>
          </w14:textFill>
        </w:rPr>
        <w:t>套正本、</w:t>
      </w:r>
      <w:bookmarkStart w:id="116" w:name="_Hlk33487750"/>
      <w:r>
        <w:rPr>
          <w:rFonts w:ascii="宋体" w:eastAsia="宋体"/>
          <w:b/>
          <w:color w:val="000000" w:themeColor="text1"/>
          <w:sz w:val="22"/>
          <w:szCs w:val="22"/>
          <w:u w:val="single"/>
          <w14:textFill>
            <w14:solidFill>
              <w14:schemeClr w14:val="tx1"/>
            </w14:solidFill>
          </w14:textFill>
        </w:rPr>
        <w:t xml:space="preserve"> </w:t>
      </w:r>
      <w:r>
        <w:rPr>
          <w:rFonts w:hint="eastAsia" w:ascii="宋体" w:eastAsia="宋体"/>
          <w:b/>
          <w:color w:val="000000" w:themeColor="text1"/>
          <w:sz w:val="22"/>
          <w:szCs w:val="22"/>
          <w:u w:val="single"/>
          <w14:textFill>
            <w14:solidFill>
              <w14:schemeClr w14:val="tx1"/>
            </w14:solidFill>
          </w14:textFill>
        </w:rPr>
        <w:t>一</w:t>
      </w:r>
      <w:r>
        <w:rPr>
          <w:rFonts w:ascii="宋体" w:eastAsia="宋体"/>
          <w:b/>
          <w:color w:val="000000" w:themeColor="text1"/>
          <w:sz w:val="22"/>
          <w:szCs w:val="22"/>
          <w:u w:val="single"/>
          <w14:textFill>
            <w14:solidFill>
              <w14:schemeClr w14:val="tx1"/>
            </w14:solidFill>
          </w14:textFill>
        </w:rPr>
        <w:t xml:space="preserve"> </w:t>
      </w:r>
      <w:r>
        <w:rPr>
          <w:rFonts w:ascii="宋体" w:eastAsia="宋体"/>
          <w:b/>
          <w:color w:val="000000" w:themeColor="text1"/>
          <w:sz w:val="22"/>
          <w:szCs w:val="22"/>
          <w14:textFill>
            <w14:solidFill>
              <w14:schemeClr w14:val="tx1"/>
            </w14:solidFill>
          </w14:textFill>
        </w:rPr>
        <w:t>套副本</w:t>
      </w:r>
      <w:bookmarkEnd w:id="116"/>
      <w:r>
        <w:rPr>
          <w:rFonts w:ascii="宋体" w:eastAsia="宋体"/>
          <w:b/>
          <w:color w:val="000000" w:themeColor="text1"/>
          <w:sz w:val="22"/>
          <w:szCs w:val="22"/>
          <w14:textFill>
            <w14:solidFill>
              <w14:schemeClr w14:val="tx1"/>
            </w14:solidFill>
          </w14:textFill>
        </w:rPr>
        <w:t>。</w:t>
      </w:r>
    </w:p>
    <w:p>
      <w:pPr>
        <w:pStyle w:val="27"/>
        <w:spacing w:line="336"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13.2  投标文件正本均须用不褪色墨水书写或打印，投标文件副本的所有资料都可用投标文件的正本复印而成，并应在投标文件封面的右上角清楚地注明“正本”或“副本”。正本和副本如有不一致之处，以正本为准。</w:t>
      </w:r>
    </w:p>
    <w:p>
      <w:pPr>
        <w:pStyle w:val="27"/>
        <w:spacing w:line="336"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13.3  投标文件正本主要内容（招标文件格式中要求法人代表或授权委托人签字</w:t>
      </w:r>
      <w:r>
        <w:rPr>
          <w:rFonts w:hint="eastAsia" w:ascii="宋体" w:eastAsia="宋体"/>
          <w:color w:val="000000" w:themeColor="text1"/>
          <w:sz w:val="22"/>
          <w:szCs w:val="22"/>
          <w14:textFill>
            <w14:solidFill>
              <w14:schemeClr w14:val="tx1"/>
            </w14:solidFill>
          </w14:textFill>
        </w:rPr>
        <w:t>（或盖私章）</w:t>
      </w:r>
      <w:r>
        <w:rPr>
          <w:rFonts w:ascii="宋体" w:eastAsia="宋体"/>
          <w:color w:val="000000" w:themeColor="text1"/>
          <w:sz w:val="22"/>
          <w:szCs w:val="22"/>
          <w14:textFill>
            <w14:solidFill>
              <w14:schemeClr w14:val="tx1"/>
            </w14:solidFill>
          </w14:textFill>
        </w:rPr>
        <w:t>的内容和</w:t>
      </w:r>
      <w:r>
        <w:rPr>
          <w:rFonts w:hint="eastAsia" w:ascii="宋体" w:eastAsia="宋体"/>
          <w:color w:val="000000" w:themeColor="text1"/>
          <w:sz w:val="22"/>
          <w:szCs w:val="22"/>
          <w14:textFill>
            <w14:solidFill>
              <w14:schemeClr w14:val="tx1"/>
            </w14:solidFill>
          </w14:textFill>
        </w:rPr>
        <w:t>要求</w:t>
      </w:r>
      <w:r>
        <w:rPr>
          <w:rFonts w:ascii="宋体" w:eastAsia="宋体"/>
          <w:color w:val="000000" w:themeColor="text1"/>
          <w:sz w:val="22"/>
          <w:szCs w:val="22"/>
          <w14:textFill>
            <w14:solidFill>
              <w14:schemeClr w14:val="tx1"/>
            </w14:solidFill>
          </w14:textFill>
        </w:rPr>
        <w:t>加盖投标单位公章</w:t>
      </w:r>
      <w:r>
        <w:rPr>
          <w:rFonts w:hint="eastAsia" w:ascii="宋体" w:eastAsia="宋体"/>
          <w:color w:val="000000" w:themeColor="text1"/>
          <w:sz w:val="22"/>
          <w:szCs w:val="22"/>
          <w14:textFill>
            <w14:solidFill>
              <w14:schemeClr w14:val="tx1"/>
            </w14:solidFill>
          </w14:textFill>
        </w:rPr>
        <w:t>的内容</w:t>
      </w:r>
      <w:r>
        <w:rPr>
          <w:rFonts w:ascii="宋体" w:eastAsia="宋体"/>
          <w:color w:val="000000" w:themeColor="text1"/>
          <w:sz w:val="22"/>
          <w:szCs w:val="22"/>
          <w14:textFill>
            <w14:solidFill>
              <w14:schemeClr w14:val="tx1"/>
            </w14:solidFill>
          </w14:textFill>
        </w:rPr>
        <w:t>）应由投标单位的法人代表或授权委托人签字</w:t>
      </w:r>
      <w:r>
        <w:rPr>
          <w:rFonts w:hint="eastAsia" w:ascii="宋体" w:eastAsia="宋体"/>
          <w:color w:val="000000" w:themeColor="text1"/>
          <w:sz w:val="22"/>
          <w:szCs w:val="22"/>
          <w14:textFill>
            <w14:solidFill>
              <w14:schemeClr w14:val="tx1"/>
            </w14:solidFill>
          </w14:textFill>
        </w:rPr>
        <w:t>（或盖私章）</w:t>
      </w:r>
      <w:r>
        <w:rPr>
          <w:rFonts w:ascii="宋体" w:eastAsia="宋体"/>
          <w:color w:val="000000" w:themeColor="text1"/>
          <w:sz w:val="22"/>
          <w:szCs w:val="22"/>
          <w14:textFill>
            <w14:solidFill>
              <w14:schemeClr w14:val="tx1"/>
            </w14:solidFill>
          </w14:textFill>
        </w:rPr>
        <w:t>和加盖投标单位公章，否则该投标文件将被视为无效文件。</w:t>
      </w:r>
    </w:p>
    <w:p>
      <w:pPr>
        <w:pStyle w:val="27"/>
        <w:spacing w:line="312" w:lineRule="auto"/>
        <w:ind w:left="660" w:hanging="660" w:hangingChars="300"/>
        <w:rPr>
          <w:rFonts w:ascii="宋体" w:eastAsia="宋体"/>
          <w:color w:val="000000" w:themeColor="text1"/>
          <w:sz w:val="22"/>
          <w:szCs w:val="22"/>
          <w14:textFill>
            <w14:solidFill>
              <w14:schemeClr w14:val="tx1"/>
            </w14:solidFill>
          </w14:textFill>
        </w:rPr>
      </w:pPr>
    </w:p>
    <w:p>
      <w:pPr>
        <w:pStyle w:val="27"/>
        <w:spacing w:line="360"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13.4  除投标人对错误处修改外，全套投标文件应无涂改或行间插字和增删。如有修改，修改处应由投标人加盖投标人的公章或由授权委托人签字。</w:t>
      </w:r>
    </w:p>
    <w:p>
      <w:pPr>
        <w:pStyle w:val="27"/>
        <w:spacing w:line="360" w:lineRule="auto"/>
        <w:ind w:left="632" w:hanging="630"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13.5  传真或电传的投标文件将被拒绝。</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17" w:name="_Toc18810"/>
      <w:bookmarkStart w:id="118" w:name="_Toc15308"/>
      <w:bookmarkStart w:id="119" w:name="_Toc441844068"/>
      <w:bookmarkStart w:id="120" w:name="_Toc18468"/>
      <w:r>
        <w:rPr>
          <w:rFonts w:ascii="宋体" w:hAnsi="宋体"/>
          <w:b/>
          <w:bCs/>
          <w:color w:val="000000" w:themeColor="text1"/>
          <w:sz w:val="22"/>
          <w:szCs w:val="22"/>
          <w14:textFill>
            <w14:solidFill>
              <w14:schemeClr w14:val="tx1"/>
            </w14:solidFill>
          </w14:textFill>
        </w:rPr>
        <w:t>投标报价和货币</w:t>
      </w:r>
      <w:bookmarkEnd w:id="117"/>
      <w:bookmarkEnd w:id="118"/>
      <w:bookmarkEnd w:id="119"/>
      <w:bookmarkEnd w:id="120"/>
    </w:p>
    <w:p>
      <w:pPr>
        <w:spacing w:line="360" w:lineRule="auto"/>
        <w:ind w:left="630" w:hanging="63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14.1  投标人应按招标文件第二章中</w:t>
      </w:r>
      <w:r>
        <w:rPr>
          <w:rFonts w:ascii="宋体" w:hAnsi="宋体"/>
          <w:b/>
          <w:bCs/>
          <w:color w:val="000000" w:themeColor="text1"/>
          <w:sz w:val="22"/>
          <w:szCs w:val="22"/>
          <w:u w:val="single"/>
          <w14:textFill>
            <w14:solidFill>
              <w14:schemeClr w14:val="tx1"/>
            </w14:solidFill>
          </w14:textFill>
        </w:rPr>
        <w:t>投标人须知前附表</w:t>
      </w:r>
      <w:r>
        <w:rPr>
          <w:rFonts w:ascii="宋体" w:hAnsi="宋体"/>
          <w:color w:val="000000" w:themeColor="text1"/>
          <w:sz w:val="22"/>
          <w:szCs w:val="22"/>
          <w14:textFill>
            <w14:solidFill>
              <w14:schemeClr w14:val="tx1"/>
            </w14:solidFill>
          </w14:textFill>
        </w:rPr>
        <w:t>规定的报价</w:t>
      </w:r>
      <w:r>
        <w:rPr>
          <w:rFonts w:hint="eastAsia" w:ascii="宋体" w:hAnsi="宋体"/>
          <w:color w:val="000000" w:themeColor="text1"/>
          <w:sz w:val="22"/>
          <w:szCs w:val="22"/>
          <w14:textFill>
            <w14:solidFill>
              <w14:schemeClr w14:val="tx1"/>
            </w14:solidFill>
          </w14:textFill>
        </w:rPr>
        <w:t>要求</w:t>
      </w:r>
      <w:r>
        <w:rPr>
          <w:rFonts w:ascii="宋体" w:hAnsi="宋体"/>
          <w:color w:val="000000" w:themeColor="text1"/>
          <w:sz w:val="22"/>
          <w:szCs w:val="22"/>
          <w14:textFill>
            <w14:solidFill>
              <w14:schemeClr w14:val="tx1"/>
            </w14:solidFill>
          </w14:textFill>
        </w:rPr>
        <w:t>报价。</w:t>
      </w:r>
    </w:p>
    <w:p>
      <w:pPr>
        <w:spacing w:line="360" w:lineRule="auto"/>
        <w:ind w:left="630" w:hanging="63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14.2  </w:t>
      </w:r>
      <w:r>
        <w:rPr>
          <w:rFonts w:ascii="宋体" w:hAnsi="宋体"/>
          <w:color w:val="000000" w:themeColor="text1"/>
          <w:sz w:val="22"/>
          <w:szCs w:val="22"/>
          <w:lang w:val="zh-CN"/>
          <w14:textFill>
            <w14:solidFill>
              <w14:schemeClr w14:val="tx1"/>
            </w14:solidFill>
          </w14:textFill>
        </w:rPr>
        <w:t>投标人必须以人民币报价，以其它货币标价的投标将予以拒绝。</w:t>
      </w:r>
      <w:r>
        <w:rPr>
          <w:rFonts w:hint="eastAsia" w:ascii="宋体" w:hAnsi="宋体"/>
          <w:color w:val="000000" w:themeColor="text1"/>
          <w:sz w:val="22"/>
          <w:szCs w:val="22"/>
          <w:lang w:val="zh-CN"/>
          <w14:textFill>
            <w14:solidFill>
              <w14:schemeClr w14:val="tx1"/>
            </w14:solidFill>
          </w14:textFill>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spacing w:line="360" w:lineRule="auto"/>
        <w:ind w:left="630" w:hanging="63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14.3  投标人所报的投标价在合同执行期间是固定不变的，不得以任何理由予以变更。投标价</w:t>
      </w:r>
      <w:r>
        <w:rPr>
          <w:rFonts w:ascii="宋体" w:hAnsi="宋体"/>
          <w:color w:val="000000" w:themeColor="text1"/>
          <w:sz w:val="22"/>
          <w:szCs w:val="22"/>
          <w:lang w:val="zh-CN"/>
          <w14:textFill>
            <w14:solidFill>
              <w14:schemeClr w14:val="tx1"/>
            </w14:solidFill>
          </w14:textFill>
        </w:rPr>
        <w:t>不是唯一的或不是固定不变</w:t>
      </w:r>
      <w:r>
        <w:rPr>
          <w:rFonts w:ascii="宋体" w:hAnsi="宋体"/>
          <w:color w:val="000000" w:themeColor="text1"/>
          <w:sz w:val="22"/>
          <w:szCs w:val="22"/>
          <w14:textFill>
            <w14:solidFill>
              <w14:schemeClr w14:val="tx1"/>
            </w14:solidFill>
          </w14:textFill>
        </w:rPr>
        <w:t>的投标文件将作为非实质性响应投标而予以拒绝。</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14.4  国产的产品及其有关服务的报价应包括要向中华人民共和国政府缴纳的增值税和其他税。</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14.5  在中华人民共和国境内提供的进口产品及其有关服务的报价应包括要向中华人民共和国政府缴纳的关税、增值税和其他税。</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14.6  如果投标人对于招标文件或答疑文件中为满足技术要求中所提供的货物或服务有未报价或漏报、错报、缺报等情况，可以视其为投标人予以</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人的投标优惠报价，中标后不予调整。如果投标人不接受对其错误的更正，其投标将被拒绝。</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21" w:name="_Toc521019318"/>
      <w:bookmarkEnd w:id="121"/>
      <w:bookmarkStart w:id="122" w:name="_Toc18693"/>
      <w:bookmarkStart w:id="123" w:name="_Toc25721"/>
      <w:bookmarkStart w:id="124" w:name="_Toc441844069"/>
      <w:bookmarkStart w:id="125" w:name="_Toc3513"/>
      <w:r>
        <w:rPr>
          <w:rFonts w:ascii="宋体" w:hAnsi="宋体"/>
          <w:b/>
          <w:bCs/>
          <w:color w:val="000000" w:themeColor="text1"/>
          <w:sz w:val="22"/>
          <w:szCs w:val="22"/>
          <w14:textFill>
            <w14:solidFill>
              <w14:schemeClr w14:val="tx1"/>
            </w14:solidFill>
          </w14:textFill>
        </w:rPr>
        <w:t>证明合格投标人的资格文件</w:t>
      </w:r>
      <w:bookmarkEnd w:id="122"/>
      <w:bookmarkEnd w:id="123"/>
      <w:bookmarkEnd w:id="124"/>
      <w:bookmarkEnd w:id="125"/>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15.1</w:t>
      </w:r>
      <w:r>
        <w:rPr>
          <w:rFonts w:ascii="宋体" w:hAnsi="宋体"/>
          <w:color w:val="000000" w:themeColor="text1"/>
          <w:sz w:val="22"/>
          <w:szCs w:val="22"/>
          <w14:textFill>
            <w14:solidFill>
              <w14:schemeClr w14:val="tx1"/>
            </w14:solidFill>
          </w14:textFill>
        </w:rPr>
        <w:tab/>
      </w:r>
      <w:r>
        <w:rPr>
          <w:rFonts w:ascii="宋体" w:hAnsi="宋体"/>
          <w:color w:val="000000" w:themeColor="text1"/>
          <w:sz w:val="22"/>
          <w:szCs w:val="22"/>
          <w14:textFill>
            <w14:solidFill>
              <w14:schemeClr w14:val="tx1"/>
            </w14:solidFill>
          </w14:textFill>
        </w:rPr>
        <w:t>根据</w:t>
      </w:r>
      <w:r>
        <w:rPr>
          <w:rFonts w:hint="eastAsia" w:ascii="宋体" w:hAnsi="宋体"/>
          <w:color w:val="000000" w:themeColor="text1"/>
          <w:sz w:val="22"/>
          <w:szCs w:val="22"/>
          <w14:textFill>
            <w14:solidFill>
              <w14:schemeClr w14:val="tx1"/>
            </w14:solidFill>
          </w14:textFill>
        </w:rPr>
        <w:t>第</w:t>
      </w:r>
      <w:r>
        <w:rPr>
          <w:rFonts w:ascii="宋体" w:hAnsi="宋体"/>
          <w:color w:val="000000" w:themeColor="text1"/>
          <w:sz w:val="22"/>
          <w:szCs w:val="22"/>
          <w14:textFill>
            <w14:solidFill>
              <w14:schemeClr w14:val="tx1"/>
            </w14:solidFill>
          </w14:textFill>
        </w:rPr>
        <w:t>2条、</w:t>
      </w:r>
      <w:r>
        <w:fldChar w:fldCharType="begin"/>
      </w:r>
      <w:r>
        <w:instrText xml:space="preserve"> HYPERLINK "file:///E:\\合同法务部\\纯电动公交车招标\\2019年\\l" </w:instrText>
      </w:r>
      <w:r>
        <w:fldChar w:fldCharType="separate"/>
      </w:r>
      <w:r>
        <w:rPr>
          <w:rFonts w:ascii="宋体" w:hAnsi="宋体"/>
          <w:color w:val="000000" w:themeColor="text1"/>
          <w:sz w:val="22"/>
          <w:szCs w:val="22"/>
          <w14:textFill>
            <w14:solidFill>
              <w14:schemeClr w14:val="tx1"/>
            </w14:solidFill>
          </w14:textFill>
        </w:rPr>
        <w:t>第15.2款</w:t>
      </w:r>
      <w:r>
        <w:rPr>
          <w:rFonts w:ascii="宋体" w:hAnsi="宋体"/>
          <w:color w:val="000000" w:themeColor="text1"/>
          <w:sz w:val="22"/>
          <w:szCs w:val="22"/>
          <w14:textFill>
            <w14:solidFill>
              <w14:schemeClr w14:val="tx1"/>
            </w14:solidFill>
          </w14:textFill>
        </w:rPr>
        <w:fldChar w:fldCharType="end"/>
      </w:r>
      <w:r>
        <w:rPr>
          <w:rFonts w:ascii="宋体" w:hAnsi="宋体"/>
          <w:color w:val="000000" w:themeColor="text1"/>
          <w:sz w:val="22"/>
          <w:szCs w:val="22"/>
          <w14:textFill>
            <w14:solidFill>
              <w14:schemeClr w14:val="tx1"/>
            </w14:solidFill>
          </w14:textFill>
        </w:rPr>
        <w:t>规定，投标人须提交证明其有资格进行投标和有能力履行合同的文件，作为投标文件的一部分。</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15.2</w:t>
      </w:r>
      <w:r>
        <w:rPr>
          <w:rFonts w:ascii="宋体" w:hAnsi="宋体"/>
          <w:color w:val="000000" w:themeColor="text1"/>
          <w:sz w:val="22"/>
          <w:szCs w:val="22"/>
          <w14:textFill>
            <w14:solidFill>
              <w14:schemeClr w14:val="tx1"/>
            </w14:solidFill>
          </w14:textFill>
        </w:rPr>
        <w:tab/>
      </w:r>
      <w:r>
        <w:rPr>
          <w:rFonts w:ascii="宋体" w:hAnsi="宋体"/>
          <w:color w:val="000000" w:themeColor="text1"/>
          <w:sz w:val="22"/>
          <w:szCs w:val="22"/>
          <w14:textFill>
            <w14:solidFill>
              <w14:schemeClr w14:val="tx1"/>
            </w14:solidFill>
          </w14:textFill>
        </w:rPr>
        <w:t xml:space="preserve">投标人提供的履行合同的资格证明文件： </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符合《中华人民共和国招标投标法》、《中华人民共和国招标投标法实施条例》投标人应</w:t>
      </w:r>
      <w:r>
        <w:rPr>
          <w:rFonts w:ascii="宋体" w:hAnsi="宋体"/>
          <w:color w:val="000000" w:themeColor="text1"/>
          <w:sz w:val="22"/>
          <w:szCs w:val="22"/>
          <w14:textFill>
            <w14:solidFill>
              <w14:schemeClr w14:val="tx1"/>
            </w14:solidFill>
          </w14:textFill>
        </w:rPr>
        <w:t>当具备</w:t>
      </w:r>
      <w:r>
        <w:rPr>
          <w:rFonts w:hint="eastAsia" w:ascii="宋体" w:hAnsi="宋体"/>
          <w:color w:val="000000" w:themeColor="text1"/>
          <w:sz w:val="22"/>
          <w:szCs w:val="22"/>
          <w14:textFill>
            <w14:solidFill>
              <w14:schemeClr w14:val="tx1"/>
            </w14:solidFill>
          </w14:textFill>
        </w:rPr>
        <w:t>的</w:t>
      </w:r>
      <w:r>
        <w:rPr>
          <w:rFonts w:ascii="宋体" w:hAnsi="宋体"/>
          <w:color w:val="000000" w:themeColor="text1"/>
          <w:sz w:val="22"/>
          <w:szCs w:val="22"/>
          <w14:textFill>
            <w14:solidFill>
              <w14:schemeClr w14:val="tx1"/>
            </w14:solidFill>
          </w14:textFill>
        </w:rPr>
        <w:t>条件</w:t>
      </w:r>
      <w:r>
        <w:rPr>
          <w:rFonts w:hint="eastAsia"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w:t>
      </w:r>
      <w:r>
        <w:rPr>
          <w:rFonts w:hint="eastAsia" w:ascii="宋体" w:hAnsi="宋体"/>
          <w:color w:val="000000" w:themeColor="text1"/>
          <w:sz w:val="22"/>
          <w:szCs w:val="22"/>
          <w14:textFill>
            <w14:solidFill>
              <w14:schemeClr w14:val="tx1"/>
            </w14:solidFill>
          </w14:textFill>
        </w:rPr>
        <w:t>投标人具有履行本项目所必须的技术力量的证明文件。</w:t>
      </w:r>
    </w:p>
    <w:p>
      <w:pPr>
        <w:spacing w:line="360" w:lineRule="auto"/>
        <w:ind w:left="635" w:leftChars="250" w:hanging="110" w:hangingChars="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14:textFill>
            <w14:solidFill>
              <w14:schemeClr w14:val="tx1"/>
            </w14:solidFill>
          </w14:textFill>
        </w:rPr>
        <w:t>投标人证明其相应资格符合或优于招标文件要求的其它文件</w:t>
      </w:r>
    </w:p>
    <w:p>
      <w:pPr>
        <w:pStyle w:val="26"/>
        <w:numPr>
          <w:ilvl w:val="0"/>
          <w:numId w:val="6"/>
        </w:numPr>
        <w:spacing w:line="360" w:lineRule="auto"/>
        <w:ind w:left="0" w:firstLine="0" w:firstLineChars="0"/>
        <w:outlineLvl w:val="2"/>
        <w:rPr>
          <w:rFonts w:ascii="宋体" w:hAnsi="宋体"/>
          <w:b/>
          <w:color w:val="000000" w:themeColor="text1"/>
          <w:sz w:val="22"/>
          <w:szCs w:val="22"/>
          <w14:textFill>
            <w14:solidFill>
              <w14:schemeClr w14:val="tx1"/>
            </w14:solidFill>
          </w14:textFill>
        </w:rPr>
      </w:pPr>
      <w:bookmarkStart w:id="126" w:name="_Toc21384"/>
      <w:bookmarkStart w:id="127" w:name="_Toc441844070"/>
      <w:bookmarkStart w:id="128" w:name="_Toc30851"/>
      <w:bookmarkStart w:id="129" w:name="_Toc5354"/>
      <w:r>
        <w:rPr>
          <w:rFonts w:ascii="宋体" w:hAnsi="宋体"/>
          <w:b/>
          <w:bCs/>
          <w:color w:val="000000" w:themeColor="text1"/>
          <w:sz w:val="22"/>
          <w:szCs w:val="22"/>
          <w14:textFill>
            <w14:solidFill>
              <w14:schemeClr w14:val="tx1"/>
            </w14:solidFill>
          </w14:textFill>
        </w:rPr>
        <w:t>证明</w:t>
      </w:r>
      <w:r>
        <w:rPr>
          <w:rFonts w:hint="eastAsia" w:ascii="宋体" w:hAnsi="宋体"/>
          <w:b/>
          <w:bCs/>
          <w:color w:val="000000" w:themeColor="text1"/>
          <w:sz w:val="22"/>
          <w:szCs w:val="22"/>
          <w14:textFill>
            <w14:solidFill>
              <w14:schemeClr w14:val="tx1"/>
            </w14:solidFill>
          </w14:textFill>
        </w:rPr>
        <w:t>货物或服务</w:t>
      </w:r>
      <w:r>
        <w:rPr>
          <w:rFonts w:ascii="宋体" w:hAnsi="宋体"/>
          <w:b/>
          <w:bCs/>
          <w:color w:val="000000" w:themeColor="text1"/>
          <w:sz w:val="22"/>
          <w:szCs w:val="22"/>
          <w14:textFill>
            <w14:solidFill>
              <w14:schemeClr w14:val="tx1"/>
            </w14:solidFill>
          </w14:textFill>
        </w:rPr>
        <w:t>的合格性和符合招标文件规定的文件</w:t>
      </w:r>
      <w:bookmarkEnd w:id="126"/>
      <w:bookmarkEnd w:id="127"/>
      <w:bookmarkEnd w:id="128"/>
      <w:bookmarkEnd w:id="129"/>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16.1  投标人应提交证明文件证明其拟供的合同项下的货物</w:t>
      </w:r>
      <w:r>
        <w:rPr>
          <w:rFonts w:hint="eastAsia" w:ascii="宋体" w:hAnsi="宋体"/>
          <w:color w:val="000000" w:themeColor="text1"/>
          <w:sz w:val="22"/>
          <w:szCs w:val="22"/>
          <w14:textFill>
            <w14:solidFill>
              <w14:schemeClr w14:val="tx1"/>
            </w14:solidFill>
          </w14:textFill>
        </w:rPr>
        <w:t>或</w:t>
      </w:r>
      <w:r>
        <w:rPr>
          <w:rFonts w:ascii="宋体" w:hAnsi="宋体"/>
          <w:color w:val="000000" w:themeColor="text1"/>
          <w:sz w:val="22"/>
          <w:szCs w:val="22"/>
          <w14:textFill>
            <w14:solidFill>
              <w14:schemeClr w14:val="tx1"/>
            </w14:solidFill>
          </w14:textFill>
        </w:rPr>
        <w:t>服务的合格性符合招标文件规定。该证明文件作为投标文件的一部分。</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16.2  证明</w:t>
      </w:r>
      <w:r>
        <w:rPr>
          <w:rFonts w:hint="eastAsia" w:ascii="宋体" w:hAnsi="宋体"/>
          <w:color w:val="000000" w:themeColor="text1"/>
          <w:sz w:val="22"/>
          <w:szCs w:val="22"/>
          <w14:textFill>
            <w14:solidFill>
              <w14:schemeClr w14:val="tx1"/>
            </w14:solidFill>
          </w14:textFill>
        </w:rPr>
        <w:t>货物</w:t>
      </w:r>
      <w:r>
        <w:rPr>
          <w:rFonts w:ascii="宋体" w:hAnsi="宋体"/>
          <w:color w:val="000000" w:themeColor="text1"/>
          <w:sz w:val="22"/>
          <w:szCs w:val="22"/>
          <w14:textFill>
            <w14:solidFill>
              <w14:schemeClr w14:val="tx1"/>
            </w14:solidFill>
          </w14:textFill>
        </w:rPr>
        <w:t>或服务与招标文件的要求相一致的文件，可以是文字资料、图纸和数据</w:t>
      </w:r>
      <w:r>
        <w:rPr>
          <w:rFonts w:hint="eastAsia" w:ascii="宋体" w:hAnsi="宋体"/>
          <w:color w:val="000000" w:themeColor="text1"/>
          <w:sz w:val="22"/>
          <w:szCs w:val="22"/>
          <w14:textFill>
            <w14:solidFill>
              <w14:schemeClr w14:val="tx1"/>
            </w14:solidFill>
          </w14:textFill>
        </w:rPr>
        <w:t>。</w:t>
      </w:r>
    </w:p>
    <w:p>
      <w:pPr>
        <w:spacing w:line="360" w:lineRule="auto"/>
        <w:ind w:left="660" w:hanging="660" w:hangingChars="300"/>
        <w:rPr>
          <w:rFonts w:ascii="宋体" w:hAnsi="宋体"/>
          <w:b/>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16.3  </w:t>
      </w:r>
      <w:r>
        <w:rPr>
          <w:rFonts w:hint="eastAsia" w:ascii="宋体" w:hAnsi="宋体"/>
          <w:b/>
          <w:color w:val="000000" w:themeColor="text1"/>
          <w:sz w:val="22"/>
          <w:szCs w:val="22"/>
          <w14:textFill>
            <w14:solidFill>
              <w14:schemeClr w14:val="tx1"/>
            </w14:solidFill>
          </w14:textFill>
        </w:rPr>
        <w:t>为说明第</w:t>
      </w:r>
      <w:r>
        <w:rPr>
          <w:rFonts w:ascii="宋体" w:hAnsi="宋体"/>
          <w:b/>
          <w:color w:val="000000" w:themeColor="text1"/>
          <w:sz w:val="22"/>
          <w:szCs w:val="22"/>
          <w14:textFill>
            <w14:solidFill>
              <w14:schemeClr w14:val="tx1"/>
            </w14:solidFill>
          </w14:textFill>
        </w:rPr>
        <w:t>16.2款的规定，投标人应注意本招标文件中对服务要求所说明只是概括性的，不能理解为所需要的全部服务的要求，投标人应按国家、行业相关技术标准、规范和以往的服务经验，合格优质的完成采购内容和包含的全部服务。凡标有“</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”的地方均被视为重要的技术要求或</w:t>
      </w:r>
      <w:r>
        <w:rPr>
          <w:rFonts w:hint="eastAsia" w:ascii="宋体" w:hAnsi="宋体"/>
          <w:b/>
          <w:color w:val="000000" w:themeColor="text1"/>
          <w:sz w:val="22"/>
          <w:szCs w:val="22"/>
          <w14:textFill>
            <w14:solidFill>
              <w14:schemeClr w14:val="tx1"/>
            </w14:solidFill>
          </w14:textFill>
        </w:rPr>
        <w:t>商务</w:t>
      </w:r>
      <w:r>
        <w:rPr>
          <w:rFonts w:ascii="宋体" w:hAnsi="宋体"/>
          <w:b/>
          <w:color w:val="000000" w:themeColor="text1"/>
          <w:sz w:val="22"/>
          <w:szCs w:val="22"/>
          <w14:textFill>
            <w14:solidFill>
              <w14:schemeClr w14:val="tx1"/>
            </w14:solidFill>
          </w14:textFill>
        </w:rPr>
        <w:t>要求。投标</w:t>
      </w:r>
      <w:r>
        <w:rPr>
          <w:rFonts w:hint="eastAsia" w:ascii="宋体" w:hAnsi="宋体"/>
          <w:b/>
          <w:color w:val="000000" w:themeColor="text1"/>
          <w:sz w:val="22"/>
          <w:szCs w:val="22"/>
          <w14:textFill>
            <w14:solidFill>
              <w14:schemeClr w14:val="tx1"/>
            </w14:solidFill>
          </w14:textFill>
        </w:rPr>
        <w:t>人</w:t>
      </w:r>
      <w:r>
        <w:rPr>
          <w:rFonts w:ascii="宋体" w:hAnsi="宋体"/>
          <w:b/>
          <w:color w:val="000000" w:themeColor="text1"/>
          <w:sz w:val="22"/>
          <w:szCs w:val="22"/>
          <w14:textFill>
            <w14:solidFill>
              <w14:schemeClr w14:val="tx1"/>
            </w14:solidFill>
          </w14:textFill>
        </w:rPr>
        <w:t>要特别加以注意，必须对此回答并完全满足这些要求</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否则若有一项带“</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”的</w:t>
      </w:r>
      <w:r>
        <w:rPr>
          <w:rFonts w:hint="eastAsia" w:ascii="宋体" w:hAnsi="宋体"/>
          <w:b/>
          <w:color w:val="000000" w:themeColor="text1"/>
          <w:sz w:val="22"/>
          <w:szCs w:val="22"/>
          <w14:textFill>
            <w14:solidFill>
              <w14:schemeClr w14:val="tx1"/>
            </w14:solidFill>
          </w14:textFill>
        </w:rPr>
        <w:t>条款</w:t>
      </w:r>
      <w:r>
        <w:rPr>
          <w:rFonts w:ascii="宋体" w:hAnsi="宋体"/>
          <w:b/>
          <w:color w:val="000000" w:themeColor="text1"/>
          <w:sz w:val="22"/>
          <w:szCs w:val="22"/>
          <w14:textFill>
            <w14:solidFill>
              <w14:schemeClr w14:val="tx1"/>
            </w14:solidFill>
          </w14:textFill>
        </w:rPr>
        <w:t>未响应或不满足，将按</w:t>
      </w:r>
      <w:r>
        <w:rPr>
          <w:rFonts w:hint="eastAsia" w:ascii="宋体" w:hAnsi="宋体"/>
          <w:b/>
          <w:color w:val="000000" w:themeColor="text1"/>
          <w:sz w:val="22"/>
          <w:szCs w:val="22"/>
          <w14:textFill>
            <w14:solidFill>
              <w14:schemeClr w14:val="tx1"/>
            </w14:solidFill>
          </w14:textFill>
        </w:rPr>
        <w:t>无效投标</w:t>
      </w:r>
      <w:r>
        <w:rPr>
          <w:rFonts w:ascii="宋体" w:hAnsi="宋体"/>
          <w:b/>
          <w:color w:val="000000" w:themeColor="text1"/>
          <w:sz w:val="22"/>
          <w:szCs w:val="22"/>
          <w14:textFill>
            <w14:solidFill>
              <w14:schemeClr w14:val="tx1"/>
            </w14:solidFill>
          </w14:textFill>
        </w:rPr>
        <w:t>处理。</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30" w:name="_Toc441844071"/>
      <w:bookmarkStart w:id="131" w:name="_Toc20857"/>
      <w:bookmarkStart w:id="132" w:name="_Toc26793"/>
      <w:bookmarkStart w:id="133" w:name="_Toc10043"/>
      <w:r>
        <w:rPr>
          <w:rFonts w:ascii="宋体" w:hAnsi="宋体"/>
          <w:b/>
          <w:bCs/>
          <w:color w:val="000000" w:themeColor="text1"/>
          <w:sz w:val="22"/>
          <w:szCs w:val="22"/>
          <w14:textFill>
            <w14:solidFill>
              <w14:schemeClr w14:val="tx1"/>
            </w14:solidFill>
          </w14:textFill>
        </w:rPr>
        <w:t>投标保证金</w:t>
      </w:r>
      <w:bookmarkEnd w:id="130"/>
      <w:bookmarkEnd w:id="131"/>
      <w:bookmarkEnd w:id="132"/>
      <w:bookmarkEnd w:id="133"/>
    </w:p>
    <w:p>
      <w:pPr>
        <w:adjustRightInd w:val="0"/>
        <w:snapToGrid w:val="0"/>
        <w:spacing w:line="360" w:lineRule="auto"/>
        <w:ind w:left="673" w:hanging="673" w:hangingChars="306"/>
        <w:jc w:val="left"/>
        <w:rPr>
          <w:rFonts w:ascii="宋体" w:hAnsi="宋体"/>
          <w:color w:val="000000" w:themeColor="text1"/>
          <w:kern w:val="0"/>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17.1  </w:t>
      </w:r>
      <w:r>
        <w:rPr>
          <w:rFonts w:ascii="宋体" w:hAnsi="宋体"/>
          <w:color w:val="000000" w:themeColor="text1"/>
          <w:kern w:val="0"/>
          <w:sz w:val="22"/>
          <w:szCs w:val="22"/>
          <w14:textFill>
            <w14:solidFill>
              <w14:schemeClr w14:val="tx1"/>
            </w14:solidFill>
          </w14:textFill>
        </w:rPr>
        <w:t>投标人应提交投标保证金，并作为其投标文件的一部分。</w:t>
      </w:r>
      <w:r>
        <w:rPr>
          <w:rFonts w:ascii="宋体" w:hAnsi="宋体"/>
          <w:color w:val="000000" w:themeColor="text1"/>
          <w:sz w:val="22"/>
          <w:szCs w:val="22"/>
          <w14:textFill>
            <w14:solidFill>
              <w14:schemeClr w14:val="tx1"/>
            </w14:solidFill>
          </w14:textFill>
        </w:rPr>
        <w:t>投标保证金金额及账户信息：详</w:t>
      </w:r>
      <w:r>
        <w:rPr>
          <w:rFonts w:ascii="宋体" w:hAnsi="宋体"/>
          <w:color w:val="000000" w:themeColor="text1"/>
          <w:sz w:val="22"/>
          <w:szCs w:val="22"/>
          <w:lang w:val="zh-CN"/>
          <w14:textFill>
            <w14:solidFill>
              <w14:schemeClr w14:val="tx1"/>
            </w14:solidFill>
          </w14:textFill>
        </w:rPr>
        <w:t>见</w:t>
      </w:r>
      <w:r>
        <w:rPr>
          <w:rFonts w:ascii="宋体" w:hAnsi="宋体"/>
          <w:color w:val="000000" w:themeColor="text1"/>
          <w:sz w:val="22"/>
          <w:szCs w:val="22"/>
          <w14:textFill>
            <w14:solidFill>
              <w14:schemeClr w14:val="tx1"/>
            </w14:solidFill>
          </w14:textFill>
        </w:rPr>
        <w:t>《投标人须知前附表》。</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17.2  </w:t>
      </w:r>
      <w:r>
        <w:rPr>
          <w:rFonts w:ascii="宋体" w:hAnsi="宋体"/>
          <w:color w:val="000000" w:themeColor="text1"/>
          <w:kern w:val="0"/>
          <w:sz w:val="22"/>
          <w:szCs w:val="22"/>
          <w14:textFill>
            <w14:solidFill>
              <w14:schemeClr w14:val="tx1"/>
            </w14:solidFill>
          </w14:textFill>
        </w:rPr>
        <w:t>投标人应按</w:t>
      </w:r>
      <w:r>
        <w:rPr>
          <w:rFonts w:hint="eastAsia" w:ascii="宋体" w:hAnsi="宋体"/>
          <w:color w:val="000000" w:themeColor="text1"/>
          <w:kern w:val="0"/>
          <w:sz w:val="22"/>
          <w:szCs w:val="22"/>
          <w14:textFill>
            <w14:solidFill>
              <w14:schemeClr w14:val="tx1"/>
            </w14:solidFill>
          </w14:textFill>
        </w:rPr>
        <w:t>包号</w:t>
      </w:r>
      <w:r>
        <w:rPr>
          <w:rFonts w:ascii="宋体" w:hAnsi="宋体"/>
          <w:color w:val="000000" w:themeColor="text1"/>
          <w:kern w:val="0"/>
          <w:sz w:val="22"/>
          <w:szCs w:val="22"/>
          <w14:textFill>
            <w14:solidFill>
              <w14:schemeClr w14:val="tx1"/>
            </w14:solidFill>
          </w14:textFill>
        </w:rPr>
        <w:t>提交投标保证金，投标人必须采用银行转账、电汇或《投标担保函》形式缴交，投标</w:t>
      </w:r>
      <w:r>
        <w:rPr>
          <w:rFonts w:hint="eastAsia" w:ascii="宋体" w:hAnsi="宋体"/>
          <w:color w:val="000000" w:themeColor="text1"/>
          <w:kern w:val="0"/>
          <w:sz w:val="22"/>
          <w:szCs w:val="22"/>
          <w14:textFill>
            <w14:solidFill>
              <w14:schemeClr w14:val="tx1"/>
            </w14:solidFill>
          </w14:textFill>
        </w:rPr>
        <w:t>人</w:t>
      </w:r>
      <w:r>
        <w:rPr>
          <w:rFonts w:ascii="宋体" w:hAnsi="宋体"/>
          <w:color w:val="000000" w:themeColor="text1"/>
          <w:kern w:val="0"/>
          <w:sz w:val="22"/>
          <w:szCs w:val="22"/>
          <w14:textFill>
            <w14:solidFill>
              <w14:schemeClr w14:val="tx1"/>
            </w14:solidFill>
          </w14:textFill>
        </w:rPr>
        <w:t>与交款人名称必须一致，非投标</w:t>
      </w:r>
      <w:r>
        <w:rPr>
          <w:rFonts w:hint="eastAsia" w:ascii="宋体" w:hAnsi="宋体"/>
          <w:color w:val="000000" w:themeColor="text1"/>
          <w:kern w:val="0"/>
          <w:sz w:val="22"/>
          <w:szCs w:val="22"/>
          <w14:textFill>
            <w14:solidFill>
              <w14:schemeClr w14:val="tx1"/>
            </w14:solidFill>
          </w14:textFill>
        </w:rPr>
        <w:t>人</w:t>
      </w:r>
      <w:r>
        <w:rPr>
          <w:rFonts w:ascii="宋体" w:hAnsi="宋体"/>
          <w:color w:val="000000" w:themeColor="text1"/>
          <w:kern w:val="0"/>
          <w:sz w:val="22"/>
          <w:szCs w:val="22"/>
          <w14:textFill>
            <w14:solidFill>
              <w14:schemeClr w14:val="tx1"/>
            </w14:solidFill>
          </w14:textFill>
        </w:rPr>
        <w:t>或以分公司或子公司缴纳的投标保证金无效</w:t>
      </w:r>
      <w:r>
        <w:rPr>
          <w:rFonts w:ascii="宋体" w:hAnsi="宋体"/>
          <w:color w:val="000000" w:themeColor="text1"/>
          <w:sz w:val="22"/>
          <w:szCs w:val="22"/>
          <w14:textFill>
            <w14:solidFill>
              <w14:schemeClr w14:val="tx1"/>
            </w14:solidFill>
          </w14:textFill>
        </w:rPr>
        <w:t>。</w:t>
      </w:r>
    </w:p>
    <w:p>
      <w:pPr>
        <w:adjustRightInd w:val="0"/>
        <w:snapToGrid w:val="0"/>
        <w:spacing w:line="360" w:lineRule="auto"/>
        <w:ind w:left="673" w:hanging="673" w:hangingChars="306"/>
        <w:jc w:val="left"/>
        <w:rPr>
          <w:rFonts w:ascii="宋体" w:hAnsi="宋体"/>
          <w:snapToGrid w:val="0"/>
          <w:color w:val="000000" w:themeColor="text1"/>
          <w:kern w:val="0"/>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17.3  </w:t>
      </w:r>
      <w:r>
        <w:rPr>
          <w:rFonts w:ascii="宋体" w:hAnsi="宋体"/>
          <w:snapToGrid w:val="0"/>
          <w:color w:val="000000" w:themeColor="text1"/>
          <w:kern w:val="0"/>
          <w:sz w:val="22"/>
          <w:szCs w:val="22"/>
          <w14:textFill>
            <w14:solidFill>
              <w14:schemeClr w14:val="tx1"/>
            </w14:solidFill>
          </w14:textFill>
        </w:rPr>
        <w:t>投标保证金以银行划账形式提交，应符合下列规定：</w:t>
      </w:r>
    </w:p>
    <w:p>
      <w:pPr>
        <w:snapToGrid w:val="0"/>
        <w:spacing w:line="360" w:lineRule="auto"/>
        <w:ind w:left="525" w:leftChars="250" w:firstLine="110" w:firstLineChars="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投标保证金必须以银行转账、电汇方式提交。</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（1）如项目出现分包情况的，投标人必须按所投子包分别提交投标保证金。</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w:t>
      </w:r>
      <w:r>
        <w:rPr>
          <w:rFonts w:ascii="宋体" w:hAnsi="宋体"/>
          <w:b/>
          <w:color w:val="000000" w:themeColor="text1"/>
          <w:sz w:val="22"/>
          <w:szCs w:val="22"/>
          <w14:textFill>
            <w14:solidFill>
              <w14:schemeClr w14:val="tx1"/>
            </w14:solidFill>
          </w14:textFill>
        </w:rPr>
        <w:t>采用银行转账、电汇方式提交的，保证金必须在</w:t>
      </w:r>
      <w:r>
        <w:rPr>
          <w:rFonts w:hint="eastAsia" w:ascii="宋体" w:hAnsi="宋体"/>
          <w:b/>
          <w:color w:val="000000" w:themeColor="text1"/>
          <w:sz w:val="22"/>
          <w:szCs w:val="22"/>
          <w14:textFill>
            <w14:solidFill>
              <w14:schemeClr w14:val="tx1"/>
            </w14:solidFill>
          </w14:textFill>
        </w:rPr>
        <w:t>递交投标文件时间截止前到达招标</w:t>
      </w:r>
      <w:r>
        <w:rPr>
          <w:rFonts w:ascii="宋体" w:hAnsi="宋体"/>
          <w:b/>
          <w:color w:val="000000" w:themeColor="text1"/>
          <w:sz w:val="22"/>
          <w:szCs w:val="22"/>
          <w14:textFill>
            <w14:solidFill>
              <w14:schemeClr w14:val="tx1"/>
            </w14:solidFill>
          </w14:textFill>
        </w:rPr>
        <w:t>人指定账户</w:t>
      </w:r>
      <w:r>
        <w:rPr>
          <w:rFonts w:hint="eastAsia" w:ascii="宋体" w:hAnsi="宋体"/>
          <w:b/>
          <w:color w:val="000000" w:themeColor="text1"/>
          <w:sz w:val="22"/>
          <w:szCs w:val="22"/>
          <w14:textFill>
            <w14:solidFill>
              <w14:schemeClr w14:val="tx1"/>
            </w14:solidFill>
          </w14:textFill>
        </w:rPr>
        <w:t>（以招标人查询的到账时间为准）</w:t>
      </w:r>
      <w:r>
        <w:rPr>
          <w:rFonts w:ascii="宋体" w:hAnsi="宋体"/>
          <w:b/>
          <w:color w:val="000000" w:themeColor="text1"/>
          <w:sz w:val="22"/>
          <w:szCs w:val="22"/>
          <w14:textFill>
            <w14:solidFill>
              <w14:schemeClr w14:val="tx1"/>
            </w14:solidFill>
          </w14:textFill>
        </w:rPr>
        <w:t>，否则将不具备参加投标的资格</w:t>
      </w:r>
      <w:r>
        <w:rPr>
          <w:rFonts w:ascii="宋体" w:hAnsi="宋体"/>
          <w:color w:val="000000" w:themeColor="text1"/>
          <w:sz w:val="22"/>
          <w:szCs w:val="22"/>
          <w14:textFill>
            <w14:solidFill>
              <w14:schemeClr w14:val="tx1"/>
            </w14:solidFill>
          </w14:textFill>
        </w:rPr>
        <w:t>。</w:t>
      </w:r>
    </w:p>
    <w:p>
      <w:pPr>
        <w:snapToGrid w:val="0"/>
        <w:spacing w:line="360" w:lineRule="auto"/>
        <w:ind w:left="660" w:hanging="660" w:hangingChars="300"/>
        <w:jc w:val="left"/>
        <w:rPr>
          <w:rFonts w:ascii="宋体" w:hAnsi="宋体"/>
          <w:b/>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17.4  采用《投标担保函》</w:t>
      </w:r>
      <w:r>
        <w:rPr>
          <w:rFonts w:hint="eastAsia" w:ascii="宋体" w:hAnsi="宋体"/>
          <w:b/>
          <w:bCs/>
          <w:color w:val="000000" w:themeColor="text1"/>
          <w:sz w:val="22"/>
          <w:szCs w:val="22"/>
          <w14:textFill>
            <w14:solidFill>
              <w14:schemeClr w14:val="tx1"/>
            </w14:solidFill>
          </w14:textFill>
        </w:rPr>
        <w:t>（格式详见附件四）</w:t>
      </w:r>
      <w:r>
        <w:rPr>
          <w:rFonts w:ascii="宋体" w:hAnsi="宋体"/>
          <w:color w:val="000000" w:themeColor="text1"/>
          <w:sz w:val="22"/>
          <w:szCs w:val="22"/>
          <w14:textFill>
            <w14:solidFill>
              <w14:schemeClr w14:val="tx1"/>
            </w14:solidFill>
          </w14:textFill>
        </w:rPr>
        <w:t>提交的（单独提交，不得与投标文件一起密封），应符合下列规定：</w:t>
      </w:r>
      <w:r>
        <w:rPr>
          <w:rFonts w:ascii="宋体" w:hAnsi="宋体"/>
          <w:b/>
          <w:color w:val="000000" w:themeColor="text1"/>
          <w:sz w:val="22"/>
          <w:szCs w:val="22"/>
          <w14:textFill>
            <w14:solidFill>
              <w14:schemeClr w14:val="tx1"/>
            </w14:solidFill>
          </w14:textFill>
        </w:rPr>
        <w:t>《</w:t>
      </w:r>
      <w:r>
        <w:rPr>
          <w:rFonts w:ascii="宋体" w:hAnsi="宋体"/>
          <w:b/>
          <w:snapToGrid w:val="0"/>
          <w:color w:val="000000" w:themeColor="text1"/>
          <w:sz w:val="22"/>
          <w:szCs w:val="22"/>
          <w14:textFill>
            <w14:solidFill>
              <w14:schemeClr w14:val="tx1"/>
            </w14:solidFill>
          </w14:textFill>
        </w:rPr>
        <w:t>投标担保函》必须</w:t>
      </w:r>
      <w:r>
        <w:rPr>
          <w:rFonts w:ascii="宋体" w:hAnsi="宋体"/>
          <w:b/>
          <w:color w:val="000000" w:themeColor="text1"/>
          <w:sz w:val="22"/>
          <w:szCs w:val="22"/>
          <w14:textFill>
            <w14:solidFill>
              <w14:schemeClr w14:val="tx1"/>
            </w14:solidFill>
          </w14:textFill>
        </w:rPr>
        <w:t>在</w:t>
      </w:r>
      <w:r>
        <w:rPr>
          <w:rFonts w:hint="eastAsia" w:ascii="宋体" w:hAnsi="宋体"/>
          <w:b/>
          <w:color w:val="000000" w:themeColor="text1"/>
          <w:sz w:val="22"/>
          <w:szCs w:val="22"/>
          <w14:textFill>
            <w14:solidFill>
              <w14:schemeClr w14:val="tx1"/>
            </w14:solidFill>
          </w14:textFill>
        </w:rPr>
        <w:t>递交投标文件时间截止前在开标现场</w:t>
      </w:r>
      <w:r>
        <w:rPr>
          <w:rFonts w:ascii="宋体" w:hAnsi="宋体"/>
          <w:b/>
          <w:snapToGrid w:val="0"/>
          <w:color w:val="000000" w:themeColor="text1"/>
          <w:sz w:val="22"/>
          <w:szCs w:val="22"/>
          <w14:textFill>
            <w14:solidFill>
              <w14:schemeClr w14:val="tx1"/>
            </w14:solidFill>
          </w14:textFill>
        </w:rPr>
        <w:t>提交</w:t>
      </w:r>
      <w:r>
        <w:rPr>
          <w:rFonts w:hint="eastAsia" w:ascii="宋体" w:hAnsi="宋体"/>
          <w:b/>
          <w:snapToGrid w:val="0"/>
          <w:color w:val="000000" w:themeColor="text1"/>
          <w:sz w:val="22"/>
          <w:szCs w:val="22"/>
          <w14:textFill>
            <w14:solidFill>
              <w14:schemeClr w14:val="tx1"/>
            </w14:solidFill>
          </w14:textFill>
        </w:rPr>
        <w:t>给招标人</w:t>
      </w:r>
      <w:r>
        <w:rPr>
          <w:rFonts w:ascii="宋体" w:hAnsi="宋体"/>
          <w:b/>
          <w:snapToGrid w:val="0"/>
          <w:color w:val="000000" w:themeColor="text1"/>
          <w:sz w:val="22"/>
          <w:szCs w:val="22"/>
          <w14:textFill>
            <w14:solidFill>
              <w14:schemeClr w14:val="tx1"/>
            </w14:solidFill>
          </w14:textFill>
        </w:rPr>
        <w:t>,以</w:t>
      </w:r>
      <w:r>
        <w:rPr>
          <w:rFonts w:hint="eastAsia" w:ascii="宋体" w:hAnsi="宋体"/>
          <w:b/>
          <w:snapToGrid w:val="0"/>
          <w:color w:val="000000" w:themeColor="text1"/>
          <w:sz w:val="22"/>
          <w:szCs w:val="22"/>
          <w14:textFill>
            <w14:solidFill>
              <w14:schemeClr w14:val="tx1"/>
            </w14:solidFill>
          </w14:textFill>
        </w:rPr>
        <w:t>招标人</w:t>
      </w:r>
      <w:r>
        <w:rPr>
          <w:rFonts w:ascii="宋体" w:hAnsi="宋体"/>
          <w:b/>
          <w:snapToGrid w:val="0"/>
          <w:color w:val="000000" w:themeColor="text1"/>
          <w:sz w:val="22"/>
          <w:szCs w:val="22"/>
          <w14:textFill>
            <w14:solidFill>
              <w14:schemeClr w14:val="tx1"/>
            </w14:solidFill>
          </w14:textFill>
        </w:rPr>
        <w:t>收到《投标担保函》的签收时间为准</w:t>
      </w:r>
      <w:r>
        <w:rPr>
          <w:rFonts w:ascii="宋体" w:hAnsi="宋体"/>
          <w:b/>
          <w:color w:val="000000" w:themeColor="text1"/>
          <w:sz w:val="22"/>
          <w:szCs w:val="22"/>
          <w14:textFill>
            <w14:solidFill>
              <w14:schemeClr w14:val="tx1"/>
            </w14:solidFill>
          </w14:textFill>
        </w:rPr>
        <w:t>。</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17.5  凡没有根据本须知的规定提交投标保证金的投标，将被视为非响应性投标予以拒绝。</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17.6  </w:t>
      </w:r>
      <w:r>
        <w:rPr>
          <w:rFonts w:hint="eastAsia" w:ascii="宋体" w:hAnsi="宋体"/>
          <w:color w:val="000000" w:themeColor="text1"/>
          <w:sz w:val="22"/>
          <w:szCs w:val="22"/>
          <w14:textFill>
            <w14:solidFill>
              <w14:schemeClr w14:val="tx1"/>
            </w14:solidFill>
          </w14:textFill>
        </w:rPr>
        <w:t>未</w:t>
      </w:r>
      <w:r>
        <w:rPr>
          <w:rFonts w:ascii="宋体" w:hAnsi="宋体"/>
          <w:color w:val="000000" w:themeColor="text1"/>
          <w:sz w:val="22"/>
          <w:szCs w:val="22"/>
          <w14:textFill>
            <w14:solidFill>
              <w14:schemeClr w14:val="tx1"/>
            </w14:solidFill>
          </w14:textFill>
        </w:rPr>
        <w:t>中标的投标人，其投标保证金将在发出中标通知书五个工作日内办理退款手续（</w:t>
      </w:r>
      <w:r>
        <w:rPr>
          <w:rFonts w:hint="eastAsia" w:ascii="宋体" w:hAnsi="宋体"/>
          <w:color w:val="000000" w:themeColor="text1"/>
          <w:sz w:val="22"/>
          <w:szCs w:val="22"/>
          <w14:textFill>
            <w14:solidFill>
              <w14:schemeClr w14:val="tx1"/>
            </w14:solidFill>
          </w14:textFill>
        </w:rPr>
        <w:t>退回原账户，</w:t>
      </w:r>
      <w:r>
        <w:rPr>
          <w:rFonts w:ascii="宋体" w:hAnsi="宋体"/>
          <w:color w:val="000000" w:themeColor="text1"/>
          <w:sz w:val="22"/>
          <w:szCs w:val="22"/>
          <w14:textFill>
            <w14:solidFill>
              <w14:schemeClr w14:val="tx1"/>
            </w14:solidFill>
          </w14:textFill>
        </w:rPr>
        <w:t>不计利息）。</w:t>
      </w:r>
    </w:p>
    <w:p>
      <w:pPr>
        <w:tabs>
          <w:tab w:val="left" w:pos="567"/>
        </w:tabs>
        <w:spacing w:line="360" w:lineRule="auto"/>
        <w:ind w:left="567" w:hanging="567"/>
      </w:pPr>
      <w:r>
        <w:rPr>
          <w:rFonts w:hint="eastAsia" w:ascii="宋体" w:hAnsi="宋体" w:cs="宋体"/>
          <w:sz w:val="22"/>
          <w:szCs w:val="22"/>
        </w:rPr>
        <w:t>17.7 中标人的投标保证金，在中标人按本须知第32条规定签订中标合同后五个工作日内办理退款手续。中标人在签订合同并按本须知第31条规定提交履约担保后，携带履约担保复印件（盖公章）一式五份和合同正本复印件，向招标人提出退投标保证金申请，经招标人审核通过后再办理投标保证金退回手续。</w:t>
      </w:r>
    </w:p>
    <w:p>
      <w:pPr>
        <w:tabs>
          <w:tab w:val="left" w:pos="567"/>
        </w:tabs>
        <w:spacing w:line="360" w:lineRule="auto"/>
        <w:ind w:left="567" w:hanging="567"/>
        <w:rPr>
          <w:rFonts w:hAnsi="宋体"/>
          <w:b/>
          <w:bCs/>
          <w:color w:val="000000" w:themeColor="text1"/>
          <w:szCs w:val="21"/>
          <w14:textFill>
            <w14:solidFill>
              <w14:schemeClr w14:val="tx1"/>
            </w14:solidFill>
          </w14:textFill>
        </w:rPr>
      </w:pPr>
      <w:r>
        <w:rPr>
          <w:rFonts w:ascii="宋体" w:hAnsi="宋体"/>
          <w:b/>
          <w:bCs/>
          <w:color w:val="000000" w:themeColor="text1"/>
          <w:sz w:val="22"/>
          <w:szCs w:val="22"/>
          <w14:textFill>
            <w14:solidFill>
              <w14:schemeClr w14:val="tx1"/>
            </w14:solidFill>
          </w14:textFill>
        </w:rPr>
        <w:t>17.</w:t>
      </w:r>
      <w:r>
        <w:rPr>
          <w:rFonts w:hint="eastAsia" w:ascii="宋体" w:hAnsi="宋体"/>
          <w:b/>
          <w:bCs/>
          <w:color w:val="000000" w:themeColor="text1"/>
          <w:sz w:val="22"/>
          <w:szCs w:val="22"/>
          <w14:textFill>
            <w14:solidFill>
              <w14:schemeClr w14:val="tx1"/>
            </w14:solidFill>
          </w14:textFill>
        </w:rPr>
        <w:t>8</w:t>
      </w:r>
      <w:r>
        <w:rPr>
          <w:rFonts w:ascii="宋体" w:hAnsi="宋体"/>
          <w:b/>
          <w:bCs/>
          <w:color w:val="000000" w:themeColor="text1"/>
          <w:sz w:val="22"/>
          <w:szCs w:val="22"/>
          <w14:textFill>
            <w14:solidFill>
              <w14:schemeClr w14:val="tx1"/>
            </w14:solidFill>
          </w14:textFill>
        </w:rPr>
        <w:t xml:space="preserve">  下列任何情况发生时，</w:t>
      </w:r>
      <w:r>
        <w:rPr>
          <w:rFonts w:hint="eastAsia" w:hAnsi="宋体"/>
          <w:b/>
          <w:color w:val="000000" w:themeColor="text1"/>
          <w:szCs w:val="21"/>
          <w14:textFill>
            <w14:solidFill>
              <w14:schemeClr w14:val="tx1"/>
            </w14:solidFill>
          </w14:textFill>
        </w:rPr>
        <w:t>招标人在书面通知投标人（或中标人）后有权没收投标保证金：</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hint="eastAsia" w:hAnsi="宋体"/>
          <w:color w:val="000000" w:themeColor="text1"/>
          <w:szCs w:val="21"/>
          <w14:textFill>
            <w14:solidFill>
              <w14:schemeClr w14:val="tx1"/>
            </w14:solidFill>
          </w14:textFill>
        </w:rPr>
        <w:t>投标人在规定的投标截止时间后至投标有效期满前撤销或修改其投标文件</w:t>
      </w:r>
      <w:r>
        <w:rPr>
          <w:rFonts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w:t>
      </w:r>
      <w:r>
        <w:rPr>
          <w:rFonts w:hint="eastAsia" w:hAnsi="宋体"/>
          <w:color w:val="000000" w:themeColor="text1"/>
          <w:szCs w:val="21"/>
          <w14:textFill>
            <w14:solidFill>
              <w14:schemeClr w14:val="tx1"/>
            </w14:solidFill>
          </w14:textFill>
        </w:rPr>
        <w:t>中标人未能在规定期限内提交履约担保</w:t>
      </w:r>
      <w:r>
        <w:rPr>
          <w:rFonts w:ascii="宋体" w:hAnsi="宋体"/>
          <w:color w:val="000000" w:themeColor="text1"/>
          <w:sz w:val="22"/>
          <w:szCs w:val="22"/>
          <w14:textFill>
            <w14:solidFill>
              <w14:schemeClr w14:val="tx1"/>
            </w14:solidFill>
          </w14:textFill>
        </w:rPr>
        <w:t>；</w:t>
      </w:r>
    </w:p>
    <w:p>
      <w:pPr>
        <w:spacing w:line="360" w:lineRule="auto"/>
        <w:ind w:left="1050" w:leftChars="250" w:hanging="525" w:hangingChars="2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（3）中标人在规定期限内未能根据法律法规及招标文件的规定签订合同；</w:t>
      </w:r>
    </w:p>
    <w:p>
      <w:pPr>
        <w:spacing w:line="360" w:lineRule="auto"/>
        <w:ind w:left="1050" w:leftChars="250" w:hanging="525" w:hangingChars="2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（4）中标人将本项目转让给他人，或者在投标文件中未说明，且未经招标人同意，将中标项目分包给他人的，招标人可依法没收其投标保证金；</w:t>
      </w:r>
    </w:p>
    <w:p>
      <w:pPr>
        <w:spacing w:line="360" w:lineRule="auto"/>
        <w:ind w:left="1075" w:leftChars="2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（5）</w:t>
      </w:r>
      <w:r>
        <w:rPr>
          <w:rFonts w:hAnsi="宋体" w:cs="Arial"/>
          <w:color w:val="000000" w:themeColor="text1"/>
          <w:szCs w:val="21"/>
          <w14:textFill>
            <w14:solidFill>
              <w14:schemeClr w14:val="tx1"/>
            </w14:solidFill>
          </w14:textFill>
        </w:rPr>
        <w:t>提供虚假</w:t>
      </w:r>
      <w:r>
        <w:rPr>
          <w:rFonts w:hint="eastAsia" w:hAnsi="宋体" w:cs="Arial"/>
          <w:color w:val="000000" w:themeColor="text1"/>
          <w:szCs w:val="21"/>
          <w14:textFill>
            <w14:solidFill>
              <w14:schemeClr w14:val="tx1"/>
            </w14:solidFill>
          </w14:textFill>
        </w:rPr>
        <w:t>投标</w:t>
      </w:r>
      <w:r>
        <w:rPr>
          <w:rFonts w:hAnsi="宋体" w:cs="Arial"/>
          <w:color w:val="000000" w:themeColor="text1"/>
          <w:szCs w:val="21"/>
          <w14:textFill>
            <w14:solidFill>
              <w14:schemeClr w14:val="tx1"/>
            </w14:solidFill>
          </w14:textFill>
        </w:rPr>
        <w:t>文件或虚假补充文件的</w:t>
      </w:r>
      <w:r>
        <w:rPr>
          <w:rFonts w:hint="eastAsia" w:hAnsi="宋体" w:cs="Arial"/>
          <w:color w:val="000000" w:themeColor="text1"/>
          <w:szCs w:val="21"/>
          <w14:textFill>
            <w14:solidFill>
              <w14:schemeClr w14:val="tx1"/>
            </w14:solidFill>
          </w14:textFill>
        </w:rPr>
        <w:t>，或</w:t>
      </w:r>
      <w:r>
        <w:rPr>
          <w:rFonts w:hint="eastAsia" w:hAnsi="宋体"/>
          <w:color w:val="000000" w:themeColor="text1"/>
          <w:szCs w:val="21"/>
          <w14:textFill>
            <w14:solidFill>
              <w14:schemeClr w14:val="tx1"/>
            </w14:solidFill>
          </w14:textFill>
        </w:rPr>
        <w:t>违反《中华人民共和国招标投标法》等有关法律、法规、规章及招标投标相关规定的行为。</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34" w:name="_Toc20507"/>
      <w:bookmarkStart w:id="135" w:name="_Toc31634"/>
      <w:bookmarkStart w:id="136" w:name="_Toc441844072"/>
      <w:bookmarkStart w:id="137" w:name="_Toc16992"/>
      <w:r>
        <w:rPr>
          <w:rFonts w:ascii="宋体" w:hAnsi="宋体"/>
          <w:b/>
          <w:bCs/>
          <w:color w:val="000000" w:themeColor="text1"/>
          <w:sz w:val="22"/>
          <w:szCs w:val="22"/>
          <w14:textFill>
            <w14:solidFill>
              <w14:schemeClr w14:val="tx1"/>
            </w14:solidFill>
          </w14:textFill>
        </w:rPr>
        <w:t>投标有效期</w:t>
      </w:r>
      <w:bookmarkEnd w:id="134"/>
      <w:bookmarkEnd w:id="135"/>
      <w:bookmarkEnd w:id="136"/>
      <w:bookmarkEnd w:id="137"/>
    </w:p>
    <w:p>
      <w:pPr>
        <w:pStyle w:val="27"/>
        <w:spacing w:line="360" w:lineRule="auto"/>
        <w:ind w:left="660" w:hanging="660" w:hangingChars="300"/>
        <w:rPr>
          <w:rFonts w:ascii="宋体" w:eastAsia="宋体"/>
          <w:b/>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★18.1</w:t>
      </w:r>
      <w:r>
        <w:rPr>
          <w:rFonts w:hint="eastAsia" w:ascii="宋体" w:eastAsia="宋体"/>
          <w:color w:val="000000" w:themeColor="text1"/>
          <w:sz w:val="22"/>
          <w:szCs w:val="22"/>
          <w:lang w:val="en-US"/>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投标文件应根据投标人须知的规定在投标截止时间后的90天内保持有效。</w:t>
      </w:r>
      <w:r>
        <w:rPr>
          <w:rFonts w:ascii="宋体" w:eastAsia="宋体"/>
          <w:b/>
          <w:color w:val="000000" w:themeColor="text1"/>
          <w:sz w:val="22"/>
          <w:szCs w:val="22"/>
          <w14:textFill>
            <w14:solidFill>
              <w14:schemeClr w14:val="tx1"/>
            </w14:solidFill>
          </w14:textFill>
        </w:rPr>
        <w:t>投标有效期比规定期限短的将被视为非实质性响应标而予以拒绝。</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18.2  特殊情况下，在原有投标有效期截止之前，</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可要求投标人同意延长投标有效期。这种要求与答复均应以书面形式提交。投标人可拒绝</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4"/>
        <w:tabs>
          <w:tab w:val="left" w:pos="142"/>
          <w:tab w:val="clear" w:pos="1440"/>
        </w:tabs>
        <w:ind w:left="0" w:firstLine="0"/>
        <w:rPr>
          <w:rFonts w:ascii="宋体" w:hAnsi="宋体" w:eastAsia="宋体"/>
          <w:color w:val="000000" w:themeColor="text1"/>
          <w:sz w:val="22"/>
          <w:szCs w:val="22"/>
          <w14:textFill>
            <w14:solidFill>
              <w14:schemeClr w14:val="tx1"/>
            </w14:solidFill>
          </w14:textFill>
        </w:rPr>
      </w:pPr>
      <w:bookmarkStart w:id="138" w:name="_Toc441844073"/>
      <w:bookmarkStart w:id="139" w:name="_Toc21958"/>
      <w:bookmarkStart w:id="140" w:name="_Toc425348137"/>
      <w:bookmarkStart w:id="141" w:name="_Toc16809"/>
      <w:bookmarkStart w:id="142" w:name="_Toc7781"/>
      <w:bookmarkStart w:id="143" w:name="_Toc396137236"/>
      <w:r>
        <w:rPr>
          <w:rFonts w:ascii="宋体" w:hAnsi="宋体" w:eastAsia="宋体"/>
          <w:color w:val="000000" w:themeColor="text1"/>
          <w:sz w:val="22"/>
          <w:szCs w:val="22"/>
          <w14:textFill>
            <w14:solidFill>
              <w14:schemeClr w14:val="tx1"/>
            </w14:solidFill>
          </w14:textFill>
        </w:rPr>
        <w:t>（四）投标文件的递交</w:t>
      </w:r>
      <w:bookmarkEnd w:id="138"/>
      <w:bookmarkEnd w:id="139"/>
      <w:bookmarkEnd w:id="140"/>
      <w:bookmarkEnd w:id="141"/>
      <w:bookmarkEnd w:id="142"/>
      <w:bookmarkEnd w:id="143"/>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44" w:name="_Toc14129"/>
      <w:bookmarkStart w:id="145" w:name="_Toc29030"/>
      <w:bookmarkStart w:id="146" w:name="_Toc441844074"/>
      <w:bookmarkStart w:id="147" w:name="_Toc9650"/>
      <w:r>
        <w:rPr>
          <w:rFonts w:ascii="宋体" w:hAnsi="宋体"/>
          <w:b/>
          <w:bCs/>
          <w:color w:val="000000" w:themeColor="text1"/>
          <w:sz w:val="22"/>
          <w:szCs w:val="22"/>
          <w14:textFill>
            <w14:solidFill>
              <w14:schemeClr w14:val="tx1"/>
            </w14:solidFill>
          </w14:textFill>
        </w:rPr>
        <w:t>投标文件的装订、密封和标记</w:t>
      </w:r>
      <w:bookmarkEnd w:id="144"/>
      <w:bookmarkEnd w:id="145"/>
      <w:bookmarkEnd w:id="146"/>
      <w:bookmarkEnd w:id="147"/>
    </w:p>
    <w:p>
      <w:pPr>
        <w:spacing w:line="360" w:lineRule="auto"/>
        <w:ind w:left="632" w:hanging="632"/>
        <w:rPr>
          <w:rFonts w:ascii="宋体" w:hAnsi="宋体"/>
          <w:b/>
          <w:color w:val="000000" w:themeColor="text1"/>
          <w:sz w:val="22"/>
          <w:szCs w:val="22"/>
          <w:em w:val="dot"/>
          <w14:textFill>
            <w14:solidFill>
              <w14:schemeClr w14:val="tx1"/>
            </w14:solidFill>
          </w14:textFill>
        </w:rPr>
      </w:pPr>
      <w:r>
        <w:rPr>
          <w:rFonts w:ascii="宋体" w:hAnsi="宋体"/>
          <w:b/>
          <w:color w:val="000000" w:themeColor="text1"/>
          <w:sz w:val="22"/>
          <w:szCs w:val="22"/>
          <w14:textFill>
            <w14:solidFill>
              <w14:schemeClr w14:val="tx1"/>
            </w14:solidFill>
          </w14:textFill>
        </w:rPr>
        <w:t>19.1</w:t>
      </w:r>
      <w:r>
        <w:rPr>
          <w:rFonts w:ascii="宋体" w:hAnsi="宋体"/>
          <w:b/>
          <w:color w:val="000000" w:themeColor="text1"/>
          <w:sz w:val="22"/>
          <w:szCs w:val="22"/>
          <w:em w:val="dot"/>
          <w14:textFill>
            <w14:solidFill>
              <w14:schemeClr w14:val="tx1"/>
            </w14:solidFill>
          </w14:textFill>
        </w:rPr>
        <w:t xml:space="preserve">  投标文件的装订要求。</w:t>
      </w:r>
      <w:r>
        <w:rPr>
          <w:rFonts w:hint="eastAsia" w:ascii="宋体" w:hAnsi="宋体"/>
          <w:b/>
          <w:color w:val="000000" w:themeColor="text1"/>
          <w:sz w:val="22"/>
          <w:szCs w:val="22"/>
          <w:em w:val="dot"/>
          <w14:textFill>
            <w14:solidFill>
              <w14:schemeClr w14:val="tx1"/>
            </w14:solidFill>
          </w14:textFill>
        </w:rPr>
        <w:t>投标文件应按其组成顺序装订成册（可分册），不得采用活页夹。招标人对由于投标文件装订松散而造成的丢失或其它后果不承担任何责任</w:t>
      </w:r>
      <w:r>
        <w:rPr>
          <w:rFonts w:ascii="宋体" w:hAnsi="宋体"/>
          <w:b/>
          <w:color w:val="000000" w:themeColor="text1"/>
          <w:sz w:val="22"/>
          <w:szCs w:val="22"/>
          <w:em w:val="dot"/>
          <w14:textFill>
            <w14:solidFill>
              <w14:schemeClr w14:val="tx1"/>
            </w14:solidFill>
          </w14:textFill>
        </w:rPr>
        <w:t>。</w:t>
      </w:r>
    </w:p>
    <w:p>
      <w:pPr>
        <w:snapToGrid w:val="0"/>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19.2  在投标文件密封袋上均应标明以下内容：</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项目</w:t>
      </w:r>
      <w:r>
        <w:rPr>
          <w:rFonts w:ascii="宋体" w:hAnsi="宋体"/>
          <w:color w:val="000000" w:themeColor="text1"/>
          <w:sz w:val="22"/>
          <w:szCs w:val="22"/>
          <w14:textFill>
            <w14:solidFill>
              <w14:schemeClr w14:val="tx1"/>
            </w14:solidFill>
          </w14:textFill>
        </w:rPr>
        <w:t>编号：</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（2）包号：</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u w:val="single"/>
          <w14:textFill>
            <w14:solidFill>
              <w14:schemeClr w14:val="tx1"/>
            </w14:solidFill>
          </w14:textFill>
        </w:rPr>
        <w:t xml:space="preserve">   /    </w:t>
      </w:r>
      <w:r>
        <w:rPr>
          <w:rFonts w:hint="eastAsia" w:ascii="宋体" w:hAnsi="宋体"/>
          <w:color w:val="000000" w:themeColor="text1"/>
          <w:sz w:val="22"/>
          <w:szCs w:val="22"/>
          <w:u w:val="single"/>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（3）项目名称：</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年</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月</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日</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时</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 xml:space="preserve">分开标，此时间以前不得开封； </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（5）投标人名称：</w:t>
      </w:r>
      <w:r>
        <w:rPr>
          <w:rFonts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w:t>
      </w:r>
    </w:p>
    <w:p>
      <w:pPr>
        <w:spacing w:line="360" w:lineRule="auto"/>
        <w:ind w:left="632" w:hanging="632"/>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19.3  如果投标文件未按本须知第19.1～19.2款的规定装订和加写标记及密封，</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将不承担投标文件提前开封的责任。对由此造成提前开封的投标文件将予以拒绝，并退还给投标人。</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48" w:name="_Toc441844075"/>
      <w:bookmarkStart w:id="149" w:name="_Toc439325685"/>
      <w:bookmarkStart w:id="150" w:name="_Toc13538"/>
      <w:bookmarkStart w:id="151" w:name="_Toc5202"/>
      <w:bookmarkStart w:id="152" w:name="_Toc95"/>
      <w:r>
        <w:rPr>
          <w:rFonts w:ascii="宋体" w:hAnsi="宋体"/>
          <w:b/>
          <w:bCs/>
          <w:color w:val="000000" w:themeColor="text1"/>
          <w:sz w:val="22"/>
          <w:szCs w:val="22"/>
          <w14:textFill>
            <w14:solidFill>
              <w14:schemeClr w14:val="tx1"/>
            </w14:solidFill>
          </w14:textFill>
        </w:rPr>
        <w:t>投标截止时间</w:t>
      </w:r>
      <w:bookmarkEnd w:id="148"/>
      <w:bookmarkEnd w:id="149"/>
      <w:bookmarkEnd w:id="150"/>
      <w:bookmarkEnd w:id="151"/>
      <w:bookmarkEnd w:id="152"/>
    </w:p>
    <w:p>
      <w:pPr>
        <w:spacing w:line="360" w:lineRule="auto"/>
        <w:ind w:left="697" w:hanging="697" w:hangingChars="31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20.1  </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在本须知第23.1条规定的地址收到投标的时间不迟于</w:t>
      </w:r>
      <w:r>
        <w:rPr>
          <w:rFonts w:hint="eastAsia" w:ascii="宋体" w:hAnsi="宋体"/>
          <w:color w:val="000000" w:themeColor="text1"/>
          <w:sz w:val="22"/>
          <w:szCs w:val="22"/>
          <w14:textFill>
            <w14:solidFill>
              <w14:schemeClr w14:val="tx1"/>
            </w14:solidFill>
          </w14:textFill>
        </w:rPr>
        <w:t>第一章招标公告函中所规定的时间。</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20.2  </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可以按本须知第9条规定，通过修改招标文件自行决定酌情延长投标截止时间。在此情况下，</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人和投标人受投标截止时间制约的所有权利和义务均应延长至新的截止时间。</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20.3  </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于开标前</w:t>
      </w:r>
      <w:r>
        <w:rPr>
          <w:rFonts w:ascii="宋体" w:hAnsi="宋体"/>
          <w:b/>
          <w:color w:val="000000" w:themeColor="text1"/>
          <w:sz w:val="22"/>
          <w:szCs w:val="22"/>
          <w14:textFill>
            <w14:solidFill>
              <w14:schemeClr w14:val="tx1"/>
            </w14:solidFill>
          </w14:textFill>
        </w:rPr>
        <w:t>（30）</w:t>
      </w:r>
      <w:r>
        <w:rPr>
          <w:rFonts w:ascii="宋体" w:hAnsi="宋体"/>
          <w:color w:val="000000" w:themeColor="text1"/>
          <w:sz w:val="22"/>
          <w:szCs w:val="22"/>
          <w14:textFill>
            <w14:solidFill>
              <w14:schemeClr w14:val="tx1"/>
            </w14:solidFill>
          </w14:textFill>
        </w:rPr>
        <w:t>分钟开始接收投标文件。</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53" w:name="_Toc27062"/>
      <w:bookmarkStart w:id="154" w:name="_Toc25592"/>
      <w:bookmarkStart w:id="155" w:name="_Toc439325686"/>
      <w:bookmarkStart w:id="156" w:name="_Toc8164"/>
      <w:bookmarkStart w:id="157" w:name="_Toc441844076"/>
      <w:r>
        <w:rPr>
          <w:rFonts w:ascii="宋体" w:hAnsi="宋体"/>
          <w:b/>
          <w:bCs/>
          <w:color w:val="000000" w:themeColor="text1"/>
          <w:sz w:val="22"/>
          <w:szCs w:val="22"/>
          <w14:textFill>
            <w14:solidFill>
              <w14:schemeClr w14:val="tx1"/>
            </w14:solidFill>
          </w14:textFill>
        </w:rPr>
        <w:t>迟交的投标文件</w:t>
      </w:r>
      <w:bookmarkEnd w:id="153"/>
      <w:bookmarkEnd w:id="154"/>
      <w:bookmarkEnd w:id="155"/>
      <w:bookmarkEnd w:id="156"/>
      <w:bookmarkEnd w:id="157"/>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21.1  </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将拒绝并原封退回在本须知第20条规定的截止时间后收到的任何投标文件。</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58" w:name="_Toc18296"/>
      <w:bookmarkStart w:id="159" w:name="_Toc1650"/>
      <w:bookmarkStart w:id="160" w:name="_Toc15787"/>
      <w:bookmarkStart w:id="161" w:name="_Toc441844077"/>
      <w:bookmarkStart w:id="162" w:name="_Toc439325687"/>
      <w:r>
        <w:rPr>
          <w:rFonts w:ascii="宋体" w:hAnsi="宋体"/>
          <w:b/>
          <w:bCs/>
          <w:color w:val="000000" w:themeColor="text1"/>
          <w:sz w:val="22"/>
          <w:szCs w:val="22"/>
          <w14:textFill>
            <w14:solidFill>
              <w14:schemeClr w14:val="tx1"/>
            </w14:solidFill>
          </w14:textFill>
        </w:rPr>
        <w:t>投标文件的修改与撤回</w:t>
      </w:r>
      <w:bookmarkEnd w:id="158"/>
      <w:bookmarkEnd w:id="159"/>
      <w:bookmarkEnd w:id="160"/>
      <w:bookmarkEnd w:id="161"/>
      <w:bookmarkEnd w:id="162"/>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22.1  投标人在递交投标文件后，可以修改或撤回其投标，但</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必须在第20条规定的投标截止时间之前，收到修改或撤回的书面通知。</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22.2  投标人的修改或撤回通知应按本须知第19条规定编制、密封、标记和发送。</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22.3  在投标截止时间之后，投标人不得对其投标做任何修改。</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22.4  从投标截止时间至投标人在投标书格式中确定的投标有效期之间的这段时间内，投标人不得撤回其投标，否则其投标保证金</w:t>
      </w:r>
      <w:r>
        <w:rPr>
          <w:rFonts w:hint="eastAsia" w:ascii="宋体" w:hAnsi="宋体"/>
          <w:color w:val="000000" w:themeColor="text1"/>
          <w:sz w:val="22"/>
          <w:szCs w:val="22"/>
          <w14:textFill>
            <w14:solidFill>
              <w14:schemeClr w14:val="tx1"/>
            </w14:solidFill>
          </w14:textFill>
        </w:rPr>
        <w:t>（若有）</w:t>
      </w:r>
      <w:r>
        <w:rPr>
          <w:rFonts w:ascii="宋体" w:hAnsi="宋体"/>
          <w:color w:val="000000" w:themeColor="text1"/>
          <w:sz w:val="22"/>
          <w:szCs w:val="22"/>
          <w14:textFill>
            <w14:solidFill>
              <w14:schemeClr w14:val="tx1"/>
            </w14:solidFill>
          </w14:textFill>
        </w:rPr>
        <w:t>将按照本须知第17.9条的规定被没收</w:t>
      </w:r>
      <w:r>
        <w:rPr>
          <w:rFonts w:hint="eastAsia" w:ascii="宋体" w:hAnsi="宋体"/>
          <w:color w:val="000000" w:themeColor="text1"/>
          <w:sz w:val="22"/>
          <w:szCs w:val="22"/>
          <w14:textFill>
            <w14:solidFill>
              <w14:schemeClr w14:val="tx1"/>
            </w14:solidFill>
          </w14:textFill>
        </w:rPr>
        <w:t>并被列入东莞市数据互联有限公司的失信名单</w:t>
      </w:r>
      <w:r>
        <w:rPr>
          <w:rFonts w:ascii="宋体" w:hAnsi="宋体"/>
          <w:color w:val="000000" w:themeColor="text1"/>
          <w:sz w:val="22"/>
          <w:szCs w:val="22"/>
          <w14:textFill>
            <w14:solidFill>
              <w14:schemeClr w14:val="tx1"/>
            </w14:solidFill>
          </w14:textFill>
        </w:rPr>
        <w:t>。</w:t>
      </w:r>
    </w:p>
    <w:p>
      <w:pPr>
        <w:pStyle w:val="4"/>
        <w:tabs>
          <w:tab w:val="left" w:pos="142"/>
          <w:tab w:val="clear" w:pos="1440"/>
        </w:tabs>
        <w:ind w:left="0" w:firstLine="0"/>
        <w:rPr>
          <w:rFonts w:ascii="宋体" w:hAnsi="宋体" w:eastAsia="宋体"/>
          <w:b w:val="0"/>
          <w:color w:val="000000" w:themeColor="text1"/>
          <w:sz w:val="22"/>
          <w:szCs w:val="22"/>
          <w14:textFill>
            <w14:solidFill>
              <w14:schemeClr w14:val="tx1"/>
            </w14:solidFill>
          </w14:textFill>
        </w:rPr>
      </w:pPr>
      <w:bookmarkStart w:id="163" w:name="_Toc2653"/>
      <w:bookmarkStart w:id="164" w:name="_Toc231"/>
      <w:bookmarkStart w:id="165" w:name="_Toc441844078"/>
      <w:bookmarkStart w:id="166" w:name="_Toc22303"/>
      <w:r>
        <w:rPr>
          <w:rFonts w:ascii="宋体" w:hAnsi="宋体" w:eastAsia="宋体"/>
          <w:color w:val="000000" w:themeColor="text1"/>
          <w:sz w:val="22"/>
          <w:szCs w:val="22"/>
          <w14:textFill>
            <w14:solidFill>
              <w14:schemeClr w14:val="tx1"/>
            </w14:solidFill>
          </w14:textFill>
        </w:rPr>
        <w:t>（五）开标与评标</w:t>
      </w:r>
      <w:bookmarkEnd w:id="163"/>
      <w:bookmarkEnd w:id="164"/>
      <w:bookmarkEnd w:id="165"/>
      <w:bookmarkEnd w:id="166"/>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67" w:name="_Toc10982"/>
      <w:bookmarkStart w:id="168" w:name="_Toc22663"/>
      <w:bookmarkStart w:id="169" w:name="_Toc7417"/>
      <w:bookmarkStart w:id="170" w:name="_Toc441844079"/>
      <w:bookmarkStart w:id="171" w:name="_Toc439325690"/>
      <w:r>
        <w:rPr>
          <w:rFonts w:ascii="宋体" w:hAnsi="宋体"/>
          <w:b/>
          <w:bCs/>
          <w:color w:val="000000" w:themeColor="text1"/>
          <w:sz w:val="22"/>
          <w:szCs w:val="22"/>
          <w14:textFill>
            <w14:solidFill>
              <w14:schemeClr w14:val="tx1"/>
            </w14:solidFill>
          </w14:textFill>
        </w:rPr>
        <w:t>开标</w:t>
      </w:r>
      <w:bookmarkEnd w:id="167"/>
      <w:bookmarkEnd w:id="168"/>
      <w:bookmarkEnd w:id="169"/>
      <w:bookmarkEnd w:id="170"/>
      <w:bookmarkEnd w:id="171"/>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23.1  </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人在</w:t>
      </w:r>
      <w:r>
        <w:rPr>
          <w:rFonts w:hint="eastAsia" w:ascii="宋体" w:hAnsi="宋体"/>
          <w:color w:val="000000" w:themeColor="text1"/>
          <w:sz w:val="22"/>
          <w:szCs w:val="22"/>
          <w14:textFill>
            <w14:solidFill>
              <w14:schemeClr w14:val="tx1"/>
            </w14:solidFill>
          </w14:textFill>
        </w:rPr>
        <w:t>第一章招标公告函中约定的时间和地点</w:t>
      </w:r>
      <w:r>
        <w:rPr>
          <w:rFonts w:ascii="宋体" w:hAnsi="宋体"/>
          <w:color w:val="000000" w:themeColor="text1"/>
          <w:sz w:val="22"/>
          <w:szCs w:val="22"/>
          <w14:textFill>
            <w14:solidFill>
              <w14:schemeClr w14:val="tx1"/>
            </w14:solidFill>
          </w14:textFill>
        </w:rPr>
        <w:t>组织公开开标。</w:t>
      </w:r>
    </w:p>
    <w:p>
      <w:pPr>
        <w:snapToGrid w:val="0"/>
        <w:spacing w:line="360" w:lineRule="auto"/>
        <w:rPr>
          <w:rFonts w:ascii="宋体" w:hAnsi="宋体"/>
          <w:bCs/>
          <w:color w:val="000000" w:themeColor="text1"/>
          <w:kern w:val="28"/>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23.2</w:t>
      </w:r>
      <w:r>
        <w:rPr>
          <w:rFonts w:ascii="宋体" w:hAnsi="宋体"/>
          <w:bCs/>
          <w:color w:val="000000" w:themeColor="text1"/>
          <w:kern w:val="28"/>
          <w:sz w:val="22"/>
          <w:szCs w:val="22"/>
          <w14:textFill>
            <w14:solidFill>
              <w14:schemeClr w14:val="tx1"/>
            </w14:solidFill>
          </w14:textFill>
        </w:rPr>
        <w:t xml:space="preserve">  开标程序</w:t>
      </w:r>
    </w:p>
    <w:p>
      <w:pPr>
        <w:tabs>
          <w:tab w:val="left" w:pos="1620"/>
          <w:tab w:val="left" w:pos="1980"/>
        </w:tabs>
        <w:snapToGrid w:val="0"/>
        <w:spacing w:line="360" w:lineRule="auto"/>
        <w:ind w:left="708" w:hanging="708" w:hangingChars="322"/>
        <w:rPr>
          <w:rFonts w:ascii="宋体" w:hAnsi="宋体"/>
          <w:bCs/>
          <w:color w:val="000000" w:themeColor="text1"/>
          <w:kern w:val="28"/>
          <w:sz w:val="22"/>
          <w:szCs w:val="22"/>
          <w14:textFill>
            <w14:solidFill>
              <w14:schemeClr w14:val="tx1"/>
            </w14:solidFill>
          </w14:textFill>
        </w:rPr>
      </w:pPr>
      <w:r>
        <w:rPr>
          <w:rFonts w:ascii="宋体" w:hAnsi="宋体"/>
          <w:bCs/>
          <w:color w:val="000000" w:themeColor="text1"/>
          <w:kern w:val="28"/>
          <w:sz w:val="22"/>
          <w:szCs w:val="22"/>
          <w14:textFill>
            <w14:solidFill>
              <w14:schemeClr w14:val="tx1"/>
            </w14:solidFill>
          </w14:textFill>
        </w:rPr>
        <w:t>23.2.1</w:t>
      </w:r>
      <w:r>
        <w:rPr>
          <w:rFonts w:hint="eastAsia" w:ascii="宋体" w:hAnsi="宋体"/>
          <w:bCs/>
          <w:color w:val="000000" w:themeColor="text1"/>
          <w:kern w:val="28"/>
          <w:sz w:val="22"/>
          <w:szCs w:val="22"/>
          <w14:textFill>
            <w14:solidFill>
              <w14:schemeClr w14:val="tx1"/>
            </w14:solidFill>
          </w14:textFill>
        </w:rPr>
        <w:t>开标会由招标人主持，投标人的法定代表人或其授权代表务必携带有效身份证明准时参加开标会并签名报到，以证明其出席。</w:t>
      </w:r>
    </w:p>
    <w:p>
      <w:pPr>
        <w:snapToGrid w:val="0"/>
        <w:spacing w:line="360" w:lineRule="auto"/>
        <w:ind w:left="739" w:hanging="739" w:hangingChars="336"/>
        <w:rPr>
          <w:rFonts w:ascii="宋体" w:hAnsi="宋体"/>
          <w:bCs/>
          <w:color w:val="000000" w:themeColor="text1"/>
          <w:kern w:val="28"/>
          <w:sz w:val="22"/>
          <w:szCs w:val="22"/>
          <w14:textFill>
            <w14:solidFill>
              <w14:schemeClr w14:val="tx1"/>
            </w14:solidFill>
          </w14:textFill>
        </w:rPr>
      </w:pPr>
      <w:r>
        <w:rPr>
          <w:rFonts w:ascii="宋体" w:hAnsi="宋体"/>
          <w:bCs/>
          <w:color w:val="000000" w:themeColor="text1"/>
          <w:kern w:val="28"/>
          <w:sz w:val="22"/>
          <w:szCs w:val="22"/>
          <w14:textFill>
            <w14:solidFill>
              <w14:schemeClr w14:val="tx1"/>
            </w14:solidFill>
          </w14:textFill>
        </w:rPr>
        <w:t>23.2.2 投标文件的密封等情况由</w:t>
      </w:r>
      <w:r>
        <w:rPr>
          <w:rFonts w:hint="eastAsia" w:ascii="宋体" w:hAnsi="宋体"/>
          <w:bCs/>
          <w:color w:val="000000" w:themeColor="text1"/>
          <w:kern w:val="28"/>
          <w:sz w:val="22"/>
          <w:szCs w:val="22"/>
          <w14:textFill>
            <w14:solidFill>
              <w14:schemeClr w14:val="tx1"/>
            </w14:solidFill>
          </w14:textFill>
        </w:rPr>
        <w:t>招标</w:t>
      </w:r>
      <w:r>
        <w:rPr>
          <w:rFonts w:ascii="宋体" w:hAnsi="宋体"/>
          <w:bCs/>
          <w:color w:val="000000" w:themeColor="text1"/>
          <w:kern w:val="28"/>
          <w:sz w:val="22"/>
          <w:szCs w:val="22"/>
          <w14:textFill>
            <w14:solidFill>
              <w14:schemeClr w14:val="tx1"/>
            </w14:solidFill>
          </w14:textFill>
        </w:rPr>
        <w:t>人代表及投标文件第一递交登记人或投标人推选的代表检查。</w:t>
      </w:r>
    </w:p>
    <w:p>
      <w:pPr>
        <w:snapToGrid w:val="0"/>
        <w:spacing w:line="360" w:lineRule="auto"/>
        <w:ind w:left="816" w:hanging="816" w:hangingChars="371"/>
        <w:rPr>
          <w:rFonts w:ascii="宋体" w:hAnsi="宋体"/>
          <w:bCs/>
          <w:color w:val="000000" w:themeColor="text1"/>
          <w:kern w:val="28"/>
          <w:sz w:val="22"/>
          <w:szCs w:val="22"/>
          <w14:textFill>
            <w14:solidFill>
              <w14:schemeClr w14:val="tx1"/>
            </w14:solidFill>
          </w14:textFill>
        </w:rPr>
      </w:pPr>
      <w:r>
        <w:rPr>
          <w:rFonts w:ascii="宋体" w:hAnsi="宋体"/>
          <w:bCs/>
          <w:color w:val="000000" w:themeColor="text1"/>
          <w:kern w:val="28"/>
          <w:sz w:val="22"/>
          <w:szCs w:val="22"/>
          <w14:textFill>
            <w14:solidFill>
              <w14:schemeClr w14:val="tx1"/>
            </w14:solidFill>
          </w14:textFill>
        </w:rPr>
        <w:t xml:space="preserve">23.2.3 </w:t>
      </w:r>
      <w:r>
        <w:rPr>
          <w:rFonts w:hint="eastAsia" w:ascii="宋体" w:hAnsi="宋体"/>
          <w:bCs/>
          <w:color w:val="000000" w:themeColor="text1"/>
          <w:kern w:val="28"/>
          <w:sz w:val="22"/>
          <w:szCs w:val="22"/>
          <w14:textFill>
            <w14:solidFill>
              <w14:schemeClr w14:val="tx1"/>
            </w14:solidFill>
          </w14:textFill>
        </w:rPr>
        <w:t>本项目采用资格审查后，合理低价中标为原则，首先复核审查投标人资格，只有审查通过后再宣读各投标人报价。</w:t>
      </w:r>
    </w:p>
    <w:p>
      <w:pPr>
        <w:snapToGrid w:val="0"/>
        <w:spacing w:line="360" w:lineRule="auto"/>
        <w:ind w:left="816" w:hanging="816" w:hangingChars="371"/>
        <w:rPr>
          <w:rFonts w:ascii="宋体" w:hAnsi="宋体"/>
          <w:bCs/>
          <w:color w:val="000000" w:themeColor="text1"/>
          <w:kern w:val="28"/>
          <w:sz w:val="22"/>
          <w:szCs w:val="22"/>
          <w14:textFill>
            <w14:solidFill>
              <w14:schemeClr w14:val="tx1"/>
            </w14:solidFill>
          </w14:textFill>
        </w:rPr>
      </w:pPr>
      <w:r>
        <w:rPr>
          <w:rFonts w:ascii="宋体" w:hAnsi="宋体"/>
          <w:bCs/>
          <w:color w:val="000000" w:themeColor="text1"/>
          <w:kern w:val="28"/>
          <w:sz w:val="22"/>
          <w:szCs w:val="22"/>
          <w14:textFill>
            <w14:solidFill>
              <w14:schemeClr w14:val="tx1"/>
            </w14:solidFill>
          </w14:textFill>
        </w:rPr>
        <w:t>23.2.4 若</w:t>
      </w:r>
      <w:r>
        <w:rPr>
          <w:rFonts w:hint="eastAsia" w:ascii="宋体" w:hAnsi="宋体"/>
          <w:bCs/>
          <w:color w:val="000000" w:themeColor="text1"/>
          <w:kern w:val="28"/>
          <w:sz w:val="22"/>
          <w:szCs w:val="22"/>
          <w14:textFill>
            <w14:solidFill>
              <w14:schemeClr w14:val="tx1"/>
            </w14:solidFill>
          </w14:textFill>
        </w:rPr>
        <w:t>招标人</w:t>
      </w:r>
      <w:r>
        <w:rPr>
          <w:rFonts w:ascii="宋体" w:hAnsi="宋体"/>
          <w:bCs/>
          <w:color w:val="000000" w:themeColor="text1"/>
          <w:kern w:val="28"/>
          <w:sz w:val="22"/>
          <w:szCs w:val="22"/>
          <w14:textFill>
            <w14:solidFill>
              <w14:schemeClr w14:val="tx1"/>
            </w14:solidFill>
          </w14:textFill>
        </w:rPr>
        <w:t>宣读的结果与</w:t>
      </w:r>
      <w:r>
        <w:rPr>
          <w:rFonts w:hint="eastAsia" w:ascii="宋体" w:hAnsi="宋体"/>
          <w:bCs/>
          <w:color w:val="000000" w:themeColor="text1"/>
          <w:kern w:val="28"/>
          <w:sz w:val="22"/>
          <w:szCs w:val="22"/>
          <w14:textFill>
            <w14:solidFill>
              <w14:schemeClr w14:val="tx1"/>
            </w14:solidFill>
          </w14:textFill>
        </w:rPr>
        <w:t>投标文件内容</w:t>
      </w:r>
      <w:r>
        <w:rPr>
          <w:rFonts w:ascii="宋体" w:hAnsi="宋体"/>
          <w:bCs/>
          <w:color w:val="000000" w:themeColor="text1"/>
          <w:kern w:val="28"/>
          <w:sz w:val="22"/>
          <w:szCs w:val="22"/>
          <w14:textFill>
            <w14:solidFill>
              <w14:schemeClr w14:val="tx1"/>
            </w14:solidFill>
          </w14:textFill>
        </w:rPr>
        <w:t>不符，投标人有权当场提出异议，经</w:t>
      </w:r>
      <w:r>
        <w:rPr>
          <w:rFonts w:hint="eastAsia" w:ascii="宋体" w:hAnsi="宋体"/>
          <w:bCs/>
          <w:color w:val="000000" w:themeColor="text1"/>
          <w:kern w:val="28"/>
          <w:sz w:val="22"/>
          <w:szCs w:val="22"/>
          <w14:textFill>
            <w14:solidFill>
              <w14:schemeClr w14:val="tx1"/>
            </w14:solidFill>
          </w14:textFill>
        </w:rPr>
        <w:t>招标人</w:t>
      </w:r>
      <w:r>
        <w:rPr>
          <w:rFonts w:ascii="宋体" w:hAnsi="宋体"/>
          <w:bCs/>
          <w:color w:val="000000" w:themeColor="text1"/>
          <w:kern w:val="28"/>
          <w:sz w:val="22"/>
          <w:szCs w:val="22"/>
          <w14:textFill>
            <w14:solidFill>
              <w14:schemeClr w14:val="tx1"/>
            </w14:solidFill>
          </w14:textFill>
        </w:rPr>
        <w:t>委托的公证机构（人员），或</w:t>
      </w:r>
      <w:r>
        <w:rPr>
          <w:rFonts w:hint="eastAsia" w:ascii="宋体" w:hAnsi="宋体"/>
          <w:bCs/>
          <w:color w:val="000000" w:themeColor="text1"/>
          <w:kern w:val="28"/>
          <w:sz w:val="22"/>
          <w:szCs w:val="22"/>
          <w14:textFill>
            <w14:solidFill>
              <w14:schemeClr w14:val="tx1"/>
            </w14:solidFill>
          </w14:textFill>
        </w:rPr>
        <w:t>招标人</w:t>
      </w:r>
      <w:r>
        <w:rPr>
          <w:rFonts w:ascii="宋体" w:hAnsi="宋体"/>
          <w:bCs/>
          <w:color w:val="000000" w:themeColor="text1"/>
          <w:kern w:val="28"/>
          <w:sz w:val="22"/>
          <w:szCs w:val="22"/>
          <w14:textFill>
            <w14:solidFill>
              <w14:schemeClr w14:val="tx1"/>
            </w14:solidFill>
          </w14:textFill>
        </w:rPr>
        <w:t>当场核查确认有误的，可重新宣读其</w:t>
      </w:r>
      <w:r>
        <w:rPr>
          <w:rFonts w:hint="eastAsia" w:ascii="宋体" w:hAnsi="宋体"/>
          <w:bCs/>
          <w:color w:val="000000" w:themeColor="text1"/>
          <w:kern w:val="28"/>
          <w:sz w:val="22"/>
          <w:szCs w:val="22"/>
          <w14:textFill>
            <w14:solidFill>
              <w14:schemeClr w14:val="tx1"/>
            </w14:solidFill>
          </w14:textFill>
        </w:rPr>
        <w:t>投标文件</w:t>
      </w:r>
      <w:r>
        <w:rPr>
          <w:rFonts w:ascii="宋体" w:hAnsi="宋体"/>
          <w:bCs/>
          <w:color w:val="000000" w:themeColor="text1"/>
          <w:kern w:val="28"/>
          <w:sz w:val="22"/>
          <w:szCs w:val="22"/>
          <w14:textFill>
            <w14:solidFill>
              <w14:schemeClr w14:val="tx1"/>
            </w14:solidFill>
          </w14:textFill>
        </w:rPr>
        <w:t>情况。若投标人当场未提出异议，则视为投标人已确认</w:t>
      </w:r>
      <w:r>
        <w:rPr>
          <w:rFonts w:hint="eastAsia" w:ascii="宋体" w:hAnsi="宋体"/>
          <w:bCs/>
          <w:color w:val="000000" w:themeColor="text1"/>
          <w:kern w:val="28"/>
          <w:sz w:val="22"/>
          <w:szCs w:val="22"/>
          <w14:textFill>
            <w14:solidFill>
              <w14:schemeClr w14:val="tx1"/>
            </w14:solidFill>
          </w14:textFill>
        </w:rPr>
        <w:t>招标</w:t>
      </w:r>
      <w:r>
        <w:rPr>
          <w:rFonts w:ascii="宋体" w:hAnsi="宋体"/>
          <w:bCs/>
          <w:color w:val="000000" w:themeColor="text1"/>
          <w:kern w:val="28"/>
          <w:sz w:val="22"/>
          <w:szCs w:val="22"/>
          <w14:textFill>
            <w14:solidFill>
              <w14:schemeClr w14:val="tx1"/>
            </w14:solidFill>
          </w14:textFill>
        </w:rPr>
        <w:t>人宣读的结果。</w:t>
      </w:r>
    </w:p>
    <w:p>
      <w:pPr>
        <w:spacing w:line="360" w:lineRule="auto"/>
        <w:ind w:left="770" w:right="18" w:hanging="770" w:hangingChars="3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23.2.5 </w:t>
      </w:r>
      <w:r>
        <w:rPr>
          <w:rFonts w:hint="eastAsia" w:hAnsi="宋体"/>
          <w:color w:val="000000" w:themeColor="text1"/>
          <w:szCs w:val="21"/>
          <w14:textFill>
            <w14:solidFill>
              <w14:schemeClr w14:val="tx1"/>
            </w14:solidFill>
          </w14:textFill>
        </w:rPr>
        <w:t>投标人对开标有异议的，应当在开标现场提出，招标人应当当场作出答复，并制作</w:t>
      </w:r>
      <w:r>
        <w:rPr>
          <w:rFonts w:hint="eastAsia" w:ascii="宋体" w:hAnsi="宋体"/>
          <w:color w:val="000000" w:themeColor="text1"/>
          <w:sz w:val="22"/>
          <w:szCs w:val="22"/>
          <w14:textFill>
            <w14:solidFill>
              <w14:schemeClr w14:val="tx1"/>
            </w14:solidFill>
          </w14:textFill>
        </w:rPr>
        <w:t>记录。</w:t>
      </w:r>
    </w:p>
    <w:p>
      <w:pPr>
        <w:spacing w:line="360" w:lineRule="auto"/>
        <w:ind w:left="770" w:right="18" w:hanging="770" w:hangingChars="3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23.2.6 </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将做</w:t>
      </w:r>
      <w:r>
        <w:rPr>
          <w:rFonts w:hint="eastAsia" w:ascii="宋体" w:hAnsi="宋体"/>
          <w:color w:val="000000" w:themeColor="text1"/>
          <w:sz w:val="22"/>
          <w:szCs w:val="22"/>
          <w14:textFill>
            <w14:solidFill>
              <w14:schemeClr w14:val="tx1"/>
            </w14:solidFill>
          </w14:textFill>
        </w:rPr>
        <w:t>开标</w:t>
      </w:r>
      <w:r>
        <w:rPr>
          <w:rFonts w:ascii="宋体" w:hAnsi="宋体"/>
          <w:color w:val="000000" w:themeColor="text1"/>
          <w:sz w:val="22"/>
          <w:szCs w:val="22"/>
          <w14:textFill>
            <w14:solidFill>
              <w14:schemeClr w14:val="tx1"/>
            </w14:solidFill>
          </w14:textFill>
        </w:rPr>
        <w:t>记录</w:t>
      </w:r>
      <w:r>
        <w:rPr>
          <w:rFonts w:hint="eastAsia" w:ascii="宋体" w:hAnsi="宋体"/>
          <w:color w:val="000000" w:themeColor="text1"/>
          <w:sz w:val="22"/>
          <w:szCs w:val="22"/>
          <w14:textFill>
            <w14:solidFill>
              <w14:schemeClr w14:val="tx1"/>
            </w14:solidFill>
          </w14:textFill>
        </w:rPr>
        <w:t>，开标记录包括第</w:t>
      </w:r>
      <w:r>
        <w:rPr>
          <w:rFonts w:ascii="宋体" w:hAnsi="宋体"/>
          <w:color w:val="000000" w:themeColor="text1"/>
          <w:sz w:val="22"/>
          <w:szCs w:val="22"/>
          <w14:textFill>
            <w14:solidFill>
              <w14:schemeClr w14:val="tx1"/>
            </w14:solidFill>
          </w14:textFill>
        </w:rPr>
        <w:t>23.2.5</w:t>
      </w:r>
      <w:r>
        <w:rPr>
          <w:rFonts w:hint="eastAsia" w:ascii="宋体" w:hAnsi="宋体"/>
          <w:color w:val="000000" w:themeColor="text1"/>
          <w:sz w:val="22"/>
          <w:szCs w:val="22"/>
          <w14:textFill>
            <w14:solidFill>
              <w14:schemeClr w14:val="tx1"/>
            </w14:solidFill>
          </w14:textFill>
        </w:rPr>
        <w:t>款发生的异议及答复、按第</w:t>
      </w:r>
      <w:r>
        <w:rPr>
          <w:rFonts w:ascii="宋体" w:hAnsi="宋体"/>
          <w:color w:val="000000" w:themeColor="text1"/>
          <w:sz w:val="22"/>
          <w:szCs w:val="22"/>
          <w14:textFill>
            <w14:solidFill>
              <w14:schemeClr w14:val="tx1"/>
            </w14:solidFill>
          </w14:textFill>
        </w:rPr>
        <w:t>23.2.4款的规定在开标时宣读的全部内容。</w:t>
      </w:r>
    </w:p>
    <w:p>
      <w:pPr>
        <w:spacing w:line="360" w:lineRule="auto"/>
        <w:ind w:left="770" w:right="18" w:hanging="770" w:hangingChars="3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23.2.7</w:t>
      </w:r>
      <w:r>
        <w:rPr>
          <w:rFonts w:hint="eastAsia" w:ascii="宋体" w:hAnsi="宋体"/>
          <w:color w:val="000000" w:themeColor="text1"/>
          <w:sz w:val="22"/>
          <w:szCs w:val="22"/>
          <w14:textFill>
            <w14:solidFill>
              <w14:schemeClr w14:val="tx1"/>
            </w14:solidFill>
          </w14:textFill>
        </w:rPr>
        <w:t>投标文件开启并宣读完毕后，按本须知第</w:t>
      </w:r>
      <w:r>
        <w:rPr>
          <w:rFonts w:ascii="宋体" w:hAnsi="宋体"/>
          <w:color w:val="000000" w:themeColor="text1"/>
          <w:sz w:val="22"/>
          <w:szCs w:val="22"/>
          <w14:textFill>
            <w14:solidFill>
              <w14:schemeClr w14:val="tx1"/>
            </w14:solidFill>
          </w14:textFill>
        </w:rPr>
        <w:t>26.2</w:t>
      </w:r>
      <w:r>
        <w:rPr>
          <w:rFonts w:hint="eastAsia" w:ascii="宋体" w:hAnsi="宋体"/>
          <w:color w:val="000000" w:themeColor="text1"/>
          <w:sz w:val="22"/>
          <w:szCs w:val="22"/>
          <w14:textFill>
            <w14:solidFill>
              <w14:schemeClr w14:val="tx1"/>
            </w14:solidFill>
          </w14:textFill>
        </w:rPr>
        <w:t>款规定的定标方式确定中标人，当场宣布中标结果。</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72" w:name="_Toc2916"/>
      <w:bookmarkStart w:id="173" w:name="_Toc17207"/>
      <w:bookmarkStart w:id="174" w:name="_Toc10129"/>
      <w:bookmarkStart w:id="175" w:name="_Toc439325688"/>
      <w:bookmarkStart w:id="176" w:name="_Toc441844080"/>
      <w:r>
        <w:rPr>
          <w:rFonts w:ascii="宋体" w:hAnsi="宋体"/>
          <w:b/>
          <w:bCs/>
          <w:color w:val="000000" w:themeColor="text1"/>
          <w:sz w:val="22"/>
          <w:szCs w:val="22"/>
          <w14:textFill>
            <w14:solidFill>
              <w14:schemeClr w14:val="tx1"/>
            </w14:solidFill>
          </w14:textFill>
        </w:rPr>
        <w:t>评标委员会</w:t>
      </w:r>
      <w:bookmarkEnd w:id="172"/>
      <w:bookmarkEnd w:id="173"/>
      <w:bookmarkEnd w:id="174"/>
      <w:bookmarkEnd w:id="175"/>
      <w:bookmarkEnd w:id="176"/>
    </w:p>
    <w:p>
      <w:pPr>
        <w:spacing w:line="360" w:lineRule="auto"/>
        <w:ind w:left="632" w:hanging="632"/>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24.1  </w:t>
      </w:r>
      <w:r>
        <w:rPr>
          <w:rFonts w:hint="eastAsia" w:ascii="宋体" w:hAnsi="宋体"/>
          <w:color w:val="000000" w:themeColor="text1"/>
          <w:sz w:val="22"/>
          <w:szCs w:val="22"/>
          <w14:textFill>
            <w14:solidFill>
              <w14:schemeClr w14:val="tx1"/>
            </w14:solidFill>
          </w14:textFill>
        </w:rPr>
        <w:t>本项目不组建</w:t>
      </w:r>
      <w:r>
        <w:rPr>
          <w:rFonts w:ascii="宋体" w:hAnsi="宋体"/>
          <w:color w:val="000000" w:themeColor="text1"/>
          <w:sz w:val="22"/>
          <w:szCs w:val="22"/>
          <w14:textFill>
            <w14:solidFill>
              <w14:schemeClr w14:val="tx1"/>
            </w14:solidFill>
          </w14:textFill>
        </w:rPr>
        <w:t>评标委员会。</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77" w:name="_Toc21414"/>
      <w:bookmarkStart w:id="178" w:name="_Toc19144"/>
      <w:bookmarkStart w:id="179" w:name="_Toc25036"/>
      <w:r>
        <w:rPr>
          <w:rFonts w:hint="eastAsia" w:ascii="宋体" w:hAnsi="宋体"/>
          <w:b/>
          <w:bCs/>
          <w:color w:val="000000" w:themeColor="text1"/>
          <w:sz w:val="22"/>
          <w:szCs w:val="22"/>
          <w14:textFill>
            <w14:solidFill>
              <w14:schemeClr w14:val="tx1"/>
            </w14:solidFill>
          </w14:textFill>
        </w:rPr>
        <w:t>否决投标的规定</w:t>
      </w:r>
      <w:bookmarkEnd w:id="177"/>
      <w:bookmarkEnd w:id="178"/>
      <w:bookmarkEnd w:id="179"/>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开标过程中，若发现投标人或其投标文件出现以下任一情况，应当否决其投标：</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25</w:t>
      </w:r>
      <w:r>
        <w:rPr>
          <w:rFonts w:hint="eastAsia" w:ascii="宋体" w:hAnsi="宋体"/>
          <w:color w:val="000000" w:themeColor="text1"/>
          <w:sz w:val="22"/>
          <w:szCs w:val="22"/>
          <w:lang w:val="zh-CN"/>
          <w14:textFill>
            <w14:solidFill>
              <w14:schemeClr w14:val="tx1"/>
            </w14:solidFill>
          </w14:textFill>
        </w:rPr>
        <w:t>.1本须知要求出席投标会的人员未出席投标会或未能出示其要求的证件；</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25</w:t>
      </w:r>
      <w:r>
        <w:rPr>
          <w:rFonts w:hint="eastAsia" w:ascii="宋体" w:hAnsi="宋体"/>
          <w:color w:val="000000" w:themeColor="text1"/>
          <w:sz w:val="22"/>
          <w:szCs w:val="22"/>
          <w:lang w:val="zh-CN"/>
          <w14:textFill>
            <w14:solidFill>
              <w14:schemeClr w14:val="tx1"/>
            </w14:solidFill>
          </w14:textFill>
        </w:rPr>
        <w:t>.2投标文件未按本须知的要求密封、标记和装订的；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25</w:t>
      </w:r>
      <w:r>
        <w:rPr>
          <w:rFonts w:hint="eastAsia" w:ascii="宋体" w:hAnsi="宋体"/>
          <w:color w:val="000000" w:themeColor="text1"/>
          <w:sz w:val="22"/>
          <w:szCs w:val="22"/>
          <w:lang w:val="zh-CN"/>
          <w14:textFill>
            <w14:solidFill>
              <w14:schemeClr w14:val="tx1"/>
            </w14:solidFill>
          </w14:textFill>
        </w:rPr>
        <w:t>.3 未按本须知规定提交投标担保的；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5.4 投标文件未按本须知的要求编制、签字的；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5.5 投标人资质不满足本须知第</w:t>
      </w:r>
      <w:r>
        <w:rPr>
          <w:rFonts w:ascii="宋体" w:hAnsi="宋体"/>
          <w:color w:val="000000" w:themeColor="text1"/>
          <w:sz w:val="22"/>
          <w:szCs w:val="22"/>
          <w:lang w:val="zh-CN"/>
          <w14:textFill>
            <w14:solidFill>
              <w14:schemeClr w14:val="tx1"/>
            </w14:solidFill>
          </w14:textFill>
        </w:rPr>
        <w:t>3</w:t>
      </w:r>
      <w:r>
        <w:rPr>
          <w:rFonts w:hint="eastAsia" w:ascii="宋体" w:hAnsi="宋体"/>
          <w:color w:val="000000" w:themeColor="text1"/>
          <w:sz w:val="22"/>
          <w:szCs w:val="22"/>
          <w:lang w:val="zh-CN"/>
          <w14:textFill>
            <w14:solidFill>
              <w14:schemeClr w14:val="tx1"/>
            </w14:solidFill>
          </w14:textFill>
        </w:rPr>
        <w:t>款的要求；</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5.6 投标文件字迹模糊、无法辨认的；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5.7 投标文件中填报的投标报价高于预算价的；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5.8投标人递交两份或多份内容不同的投标文件，或在一份投标文件中对同一招标项目报有两个或多个报价，且未书面声明哪一个有效的（投标文件中投标报价的大写数额与小写数额不一致的除外，投标报价以大写数额为准）；</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5.9投标文件没有对招标文件做出实质性响应的；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5.1</w:t>
      </w:r>
      <w:r>
        <w:rPr>
          <w:rFonts w:ascii="宋体" w:hAnsi="宋体"/>
          <w:color w:val="000000" w:themeColor="text1"/>
          <w:sz w:val="22"/>
          <w:szCs w:val="22"/>
          <w:lang w:val="zh-CN"/>
          <w14:textFill>
            <w14:solidFill>
              <w14:schemeClr w14:val="tx1"/>
            </w14:solidFill>
          </w14:textFill>
        </w:rPr>
        <w:t>0</w:t>
      </w:r>
      <w:r>
        <w:rPr>
          <w:rFonts w:hint="eastAsia" w:ascii="宋体" w:hAnsi="宋体"/>
          <w:color w:val="000000" w:themeColor="text1"/>
          <w:sz w:val="22"/>
          <w:szCs w:val="22"/>
          <w:lang w:val="zh-CN"/>
          <w14:textFill>
            <w14:solidFill>
              <w14:schemeClr w14:val="tx1"/>
            </w14:solidFill>
          </w14:textFill>
        </w:rPr>
        <w:t>投标文件上标明的投标人与通过资格预审的投标申请人发生实质性的改变的；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5.1</w:t>
      </w:r>
      <w:r>
        <w:rPr>
          <w:rFonts w:ascii="宋体" w:hAnsi="宋体"/>
          <w:color w:val="000000" w:themeColor="text1"/>
          <w:sz w:val="22"/>
          <w:szCs w:val="22"/>
          <w:lang w:val="zh-CN"/>
          <w14:textFill>
            <w14:solidFill>
              <w14:schemeClr w14:val="tx1"/>
            </w14:solidFill>
          </w14:textFill>
        </w:rPr>
        <w:t>1</w:t>
      </w:r>
      <w:r>
        <w:rPr>
          <w:rFonts w:hint="eastAsia" w:ascii="宋体" w:hAnsi="宋体"/>
          <w:color w:val="000000" w:themeColor="text1"/>
          <w:sz w:val="22"/>
          <w:szCs w:val="22"/>
          <w:lang w:val="zh-CN"/>
          <w14:textFill>
            <w14:solidFill>
              <w14:schemeClr w14:val="tx1"/>
            </w14:solidFill>
          </w14:textFill>
        </w:rPr>
        <w:t>投标文件附有招标人不能接受的条件的；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5.1</w:t>
      </w: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本次招标所要求具备的各项证件、证书、及个人身份证失效或被相关行政部门扣留或吊销的；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5.1</w:t>
      </w:r>
      <w:r>
        <w:rPr>
          <w:rFonts w:ascii="宋体" w:hAnsi="宋体"/>
          <w:color w:val="000000" w:themeColor="text1"/>
          <w:sz w:val="22"/>
          <w:szCs w:val="22"/>
          <w:lang w:val="zh-CN"/>
          <w14:textFill>
            <w14:solidFill>
              <w14:schemeClr w14:val="tx1"/>
            </w14:solidFill>
          </w14:textFill>
        </w:rPr>
        <w:t>3</w:t>
      </w:r>
      <w:r>
        <w:rPr>
          <w:rFonts w:hint="eastAsia" w:ascii="宋体" w:hAnsi="宋体"/>
          <w:color w:val="000000" w:themeColor="text1"/>
          <w:sz w:val="22"/>
          <w:szCs w:val="22"/>
          <w:lang w:val="zh-CN"/>
          <w14:textFill>
            <w14:solidFill>
              <w14:schemeClr w14:val="tx1"/>
            </w14:solidFill>
          </w14:textFill>
        </w:rPr>
        <w:t>属于招标文件中规定为无效标的；属于法律、法规、规章规定的应作无效投标文件处理的。</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80" w:name="_Toc31835"/>
      <w:bookmarkStart w:id="181" w:name="_Toc24615"/>
      <w:bookmarkStart w:id="182" w:name="_Toc441844084"/>
      <w:bookmarkStart w:id="183" w:name="_Toc29440"/>
      <w:r>
        <w:rPr>
          <w:rFonts w:hint="eastAsia" w:ascii="宋体" w:hAnsi="宋体"/>
          <w:b/>
          <w:bCs/>
          <w:color w:val="000000" w:themeColor="text1"/>
          <w:sz w:val="22"/>
          <w:szCs w:val="22"/>
          <w14:textFill>
            <w14:solidFill>
              <w14:schemeClr w14:val="tx1"/>
            </w14:solidFill>
          </w14:textFill>
        </w:rPr>
        <w:t>定</w:t>
      </w:r>
      <w:r>
        <w:rPr>
          <w:rFonts w:ascii="宋体" w:hAnsi="宋体"/>
          <w:b/>
          <w:bCs/>
          <w:color w:val="000000" w:themeColor="text1"/>
          <w:sz w:val="22"/>
          <w:szCs w:val="22"/>
          <w14:textFill>
            <w14:solidFill>
              <w14:schemeClr w14:val="tx1"/>
            </w14:solidFill>
          </w14:textFill>
        </w:rPr>
        <w:t>标原则及方法</w:t>
      </w:r>
      <w:bookmarkEnd w:id="180"/>
      <w:bookmarkEnd w:id="181"/>
      <w:bookmarkEnd w:id="182"/>
      <w:bookmarkEnd w:id="183"/>
    </w:p>
    <w:p>
      <w:pPr>
        <w:numPr>
          <w:ilvl w:val="1"/>
          <w:numId w:val="6"/>
        </w:numPr>
        <w:tabs>
          <w:tab w:val="left" w:pos="360"/>
        </w:tabs>
        <w:spacing w:line="360" w:lineRule="auto"/>
        <w:ind w:left="0" w:right="51" w:firstLine="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坚持“公开、公平、公正、科学、择优”的原则，严格评审。</w:t>
      </w:r>
    </w:p>
    <w:p>
      <w:pPr>
        <w:tabs>
          <w:tab w:val="left" w:pos="360"/>
        </w:tabs>
        <w:topLinePunct w:val="0"/>
        <w:autoSpaceDE/>
        <w:snapToGrid/>
        <w:spacing w:line="360" w:lineRule="auto"/>
        <w:ind w:left="540" w:right="51" w:hanging="540" w:firstLineChars="0"/>
        <w:rPr>
          <w:rFonts w:cs="仿宋_GB2312" w:asciiTheme="minorEastAsia" w:hAnsiTheme="minorEastAsia" w:eastAsiaTheme="minorEastAsia"/>
          <w:color w:val="000000" w:themeColor="text1"/>
          <w:szCs w:val="21"/>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26.2 确定中标人的准则是：经审查报价文件符合要求的前提下，价低者得。</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84" w:name="_Toc441844085"/>
      <w:bookmarkStart w:id="185" w:name="_Toc775"/>
      <w:bookmarkStart w:id="186" w:name="_Toc7314"/>
      <w:bookmarkStart w:id="187" w:name="_Toc2819"/>
      <w:r>
        <w:rPr>
          <w:rFonts w:ascii="宋体" w:hAnsi="宋体"/>
          <w:b/>
          <w:bCs/>
          <w:color w:val="000000" w:themeColor="text1"/>
          <w:sz w:val="22"/>
          <w:szCs w:val="22"/>
          <w14:textFill>
            <w14:solidFill>
              <w14:schemeClr w14:val="tx1"/>
            </w14:solidFill>
          </w14:textFill>
        </w:rPr>
        <w:t>评标结果公示</w:t>
      </w:r>
      <w:bookmarkEnd w:id="184"/>
      <w:r>
        <w:rPr>
          <w:rFonts w:hint="eastAsia" w:ascii="宋体" w:hAnsi="宋体"/>
          <w:b/>
          <w:bCs/>
          <w:color w:val="000000" w:themeColor="text1"/>
          <w:sz w:val="22"/>
          <w:szCs w:val="22"/>
          <w14:textFill>
            <w14:solidFill>
              <w14:schemeClr w14:val="tx1"/>
            </w14:solidFill>
          </w14:textFill>
        </w:rPr>
        <w:t>及异议、投诉</w:t>
      </w:r>
      <w:bookmarkEnd w:id="185"/>
      <w:bookmarkEnd w:id="186"/>
      <w:bookmarkEnd w:id="187"/>
    </w:p>
    <w:p>
      <w:pPr>
        <w:spacing w:line="360" w:lineRule="auto"/>
        <w:ind w:left="540" w:hanging="540"/>
        <w:rPr>
          <w:rFonts w:hAnsi="宋体"/>
          <w:color w:val="000000" w:themeColor="text1"/>
          <w:sz w:val="22"/>
          <w:szCs w:val="22"/>
          <w:lang w:val="zh-CN"/>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27.1 </w:t>
      </w:r>
      <w:r>
        <w:rPr>
          <w:rFonts w:hint="eastAsia" w:hAnsi="宋体"/>
          <w:color w:val="000000" w:themeColor="text1"/>
          <w:sz w:val="22"/>
          <w:szCs w:val="22"/>
          <w:lang w:val="zh-CN"/>
          <w14:textFill>
            <w14:solidFill>
              <w14:schemeClr w14:val="tx1"/>
            </w14:solidFill>
          </w14:textFill>
        </w:rPr>
        <w:t>招标</w:t>
      </w:r>
      <w:r>
        <w:rPr>
          <w:rFonts w:hint="eastAsia" w:hAnsi="宋体"/>
          <w:color w:val="000000" w:themeColor="text1"/>
          <w:sz w:val="22"/>
          <w:szCs w:val="22"/>
          <w14:textFill>
            <w14:solidFill>
              <w14:schemeClr w14:val="tx1"/>
            </w14:solidFill>
          </w14:textFill>
        </w:rPr>
        <w:t>人</w:t>
      </w:r>
      <w:r>
        <w:rPr>
          <w:rFonts w:hint="eastAsia" w:hAnsi="宋体"/>
          <w:color w:val="000000" w:themeColor="text1"/>
          <w:sz w:val="22"/>
          <w:szCs w:val="22"/>
          <w:lang w:val="zh-CN"/>
          <w14:textFill>
            <w14:solidFill>
              <w14:schemeClr w14:val="tx1"/>
            </w14:solidFill>
          </w14:textFill>
        </w:rPr>
        <w:t>在招标公告发布媒体公示中标候选人，公示期为</w:t>
      </w:r>
      <w:r>
        <w:rPr>
          <w:rFonts w:hAnsi="宋体"/>
          <w:color w:val="000000" w:themeColor="text1"/>
          <w:sz w:val="22"/>
          <w:szCs w:val="22"/>
          <w:lang w:val="zh-CN"/>
          <w14:textFill>
            <w14:solidFill>
              <w14:schemeClr w14:val="tx1"/>
            </w14:solidFill>
          </w14:textFill>
        </w:rPr>
        <w:t>3</w:t>
      </w:r>
      <w:r>
        <w:rPr>
          <w:rFonts w:hint="eastAsia" w:hAnsi="宋体"/>
          <w:color w:val="000000" w:themeColor="text1"/>
          <w:sz w:val="22"/>
          <w:szCs w:val="22"/>
          <w:lang w:val="zh-CN"/>
          <w14:textFill>
            <w14:solidFill>
              <w14:schemeClr w14:val="tx1"/>
            </w14:solidFill>
          </w14:textFill>
        </w:rPr>
        <w:t>日。投标人或者其他利害关系人对评标结果有异议的，应当在中标候选人公示期间向招标</w:t>
      </w:r>
      <w:r>
        <w:rPr>
          <w:rFonts w:hint="eastAsia" w:hAnsi="宋体"/>
          <w:color w:val="000000" w:themeColor="text1"/>
          <w:sz w:val="22"/>
          <w:szCs w:val="22"/>
          <w14:textFill>
            <w14:solidFill>
              <w14:schemeClr w14:val="tx1"/>
            </w14:solidFill>
          </w14:textFill>
        </w:rPr>
        <w:t>人</w:t>
      </w:r>
      <w:r>
        <w:rPr>
          <w:rFonts w:hint="eastAsia" w:hAnsi="宋体"/>
          <w:color w:val="000000" w:themeColor="text1"/>
          <w:sz w:val="22"/>
          <w:szCs w:val="22"/>
          <w:lang w:val="zh-CN"/>
          <w14:textFill>
            <w14:solidFill>
              <w14:schemeClr w14:val="tx1"/>
            </w14:solidFill>
          </w14:textFill>
        </w:rPr>
        <w:t>以书面的形式提出，</w:t>
      </w:r>
      <w:r>
        <w:rPr>
          <w:rFonts w:hAnsi="宋体"/>
          <w:color w:val="000000" w:themeColor="text1"/>
          <w:sz w:val="22"/>
          <w:szCs w:val="22"/>
          <w:lang w:val="zh-CN"/>
          <w14:textFill>
            <w14:solidFill>
              <w14:schemeClr w14:val="tx1"/>
            </w14:solidFill>
          </w14:textFill>
        </w:rPr>
        <w:t>并</w:t>
      </w:r>
      <w:r>
        <w:rPr>
          <w:rFonts w:hint="eastAsia" w:hAnsi="宋体"/>
          <w:color w:val="000000" w:themeColor="text1"/>
          <w:sz w:val="22"/>
          <w:szCs w:val="22"/>
          <w:lang w:val="zh-CN"/>
          <w14:textFill>
            <w14:solidFill>
              <w14:schemeClr w14:val="tx1"/>
            </w14:solidFill>
          </w14:textFill>
        </w:rPr>
        <w:t>将完整的异议书面材料原件</w:t>
      </w:r>
      <w:r>
        <w:rPr>
          <w:rFonts w:hAnsi="宋体"/>
          <w:color w:val="000000" w:themeColor="text1"/>
          <w:sz w:val="22"/>
          <w:szCs w:val="22"/>
          <w:lang w:val="zh-CN"/>
          <w14:textFill>
            <w14:solidFill>
              <w14:schemeClr w14:val="tx1"/>
            </w14:solidFill>
          </w14:textFill>
        </w:rPr>
        <w:t>送</w:t>
      </w:r>
      <w:r>
        <w:rPr>
          <w:rFonts w:hint="eastAsia" w:hAnsi="宋体"/>
          <w:color w:val="000000" w:themeColor="text1"/>
          <w:sz w:val="22"/>
          <w:szCs w:val="22"/>
          <w:lang w:val="zh-CN"/>
          <w14:textFill>
            <w14:solidFill>
              <w14:schemeClr w14:val="tx1"/>
            </w14:solidFill>
          </w14:textFill>
        </w:rPr>
        <w:t>达招标</w:t>
      </w:r>
      <w:r>
        <w:rPr>
          <w:rFonts w:hint="eastAsia" w:hAnsi="宋体"/>
          <w:color w:val="000000" w:themeColor="text1"/>
          <w:sz w:val="22"/>
          <w:szCs w:val="22"/>
          <w14:textFill>
            <w14:solidFill>
              <w14:schemeClr w14:val="tx1"/>
            </w14:solidFill>
          </w14:textFill>
        </w:rPr>
        <w:t>人</w:t>
      </w:r>
      <w:r>
        <w:rPr>
          <w:rFonts w:hint="eastAsia" w:hAnsi="宋体"/>
          <w:color w:val="000000" w:themeColor="text1"/>
          <w:sz w:val="22"/>
          <w:szCs w:val="22"/>
          <w:lang w:val="zh-CN"/>
          <w14:textFill>
            <w14:solidFill>
              <w14:schemeClr w14:val="tx1"/>
            </w14:solidFill>
          </w14:textFill>
        </w:rPr>
        <w:t>，</w:t>
      </w:r>
      <w:r>
        <w:rPr>
          <w:rFonts w:hAnsi="宋体"/>
          <w:color w:val="000000" w:themeColor="text1"/>
          <w:sz w:val="22"/>
          <w:szCs w:val="22"/>
          <w:lang w:val="zh-CN"/>
          <w14:textFill>
            <w14:solidFill>
              <w14:schemeClr w14:val="tx1"/>
            </w14:solidFill>
          </w14:textFill>
        </w:rPr>
        <w:t>逾期则视为</w:t>
      </w:r>
      <w:r>
        <w:rPr>
          <w:rFonts w:hint="eastAsia" w:hAnsi="宋体"/>
          <w:color w:val="000000" w:themeColor="text1"/>
          <w:sz w:val="22"/>
          <w:szCs w:val="22"/>
          <w:lang w:val="zh-CN"/>
          <w14:textFill>
            <w14:solidFill>
              <w14:schemeClr w14:val="tx1"/>
            </w14:solidFill>
          </w14:textFill>
        </w:rPr>
        <w:t>对评标结果无异议。超出提交异议截止时间而提出的任何疑问，招标</w:t>
      </w:r>
      <w:r>
        <w:rPr>
          <w:rFonts w:hint="eastAsia" w:hAnsi="宋体"/>
          <w:color w:val="000000" w:themeColor="text1"/>
          <w:sz w:val="22"/>
          <w:szCs w:val="22"/>
          <w14:textFill>
            <w14:solidFill>
              <w14:schemeClr w14:val="tx1"/>
            </w14:solidFill>
          </w14:textFill>
        </w:rPr>
        <w:t>人</w:t>
      </w:r>
      <w:r>
        <w:rPr>
          <w:rFonts w:hint="eastAsia" w:hAnsi="宋体"/>
          <w:color w:val="000000" w:themeColor="text1"/>
          <w:sz w:val="22"/>
          <w:szCs w:val="22"/>
          <w:lang w:val="zh-CN"/>
          <w14:textFill>
            <w14:solidFill>
              <w14:schemeClr w14:val="tx1"/>
            </w14:solidFill>
          </w14:textFill>
        </w:rPr>
        <w:t>可不予答复。</w:t>
      </w:r>
    </w:p>
    <w:p>
      <w:pPr>
        <w:spacing w:line="360" w:lineRule="auto"/>
        <w:ind w:left="475" w:leftChars="226" w:firstLine="464" w:firstLineChars="211"/>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招标</w:t>
      </w:r>
      <w:r>
        <w:rPr>
          <w:rFonts w:hint="eastAsia" w:hAnsi="宋体"/>
          <w:color w:val="000000" w:themeColor="text1"/>
          <w:sz w:val="22"/>
          <w:szCs w:val="22"/>
          <w14:textFill>
            <w14:solidFill>
              <w14:schemeClr w14:val="tx1"/>
            </w14:solidFill>
          </w14:textFill>
        </w:rPr>
        <w:t>人</w:t>
      </w:r>
      <w:r>
        <w:rPr>
          <w:rFonts w:hint="eastAsia" w:hAnsi="宋体"/>
          <w:color w:val="000000" w:themeColor="text1"/>
          <w:sz w:val="22"/>
          <w:szCs w:val="22"/>
          <w:lang w:val="zh-CN"/>
          <w14:textFill>
            <w14:solidFill>
              <w14:schemeClr w14:val="tx1"/>
            </w14:solidFill>
          </w14:textFill>
        </w:rPr>
        <w:t>将拒收未能提供完整异议书面材料的异议，完整的异议书面材料必须同时包含：异议书（加盖法人</w:t>
      </w:r>
      <w:r>
        <w:rPr>
          <w:rFonts w:hAnsi="宋体"/>
          <w:color w:val="000000" w:themeColor="text1"/>
          <w:sz w:val="22"/>
          <w:szCs w:val="22"/>
          <w:lang w:val="zh-CN"/>
          <w14:textFill>
            <w14:solidFill>
              <w14:schemeClr w14:val="tx1"/>
            </w14:solidFill>
          </w14:textFill>
        </w:rPr>
        <w:t>公章</w:t>
      </w:r>
      <w:r>
        <w:rPr>
          <w:rFonts w:hint="eastAsia" w:hAnsi="宋体"/>
          <w:color w:val="000000" w:themeColor="text1"/>
          <w:sz w:val="22"/>
          <w:szCs w:val="22"/>
          <w:lang w:val="zh-CN"/>
          <w14:textFill>
            <w14:solidFill>
              <w14:schemeClr w14:val="tx1"/>
            </w14:solidFill>
          </w14:textFill>
        </w:rPr>
        <w:t>，注明联系人、联系电话、联系地址）、授权提交异议的法定代表人授权书原件、反映异议人主体资格的营业执照复印件（加盖法人</w:t>
      </w:r>
      <w:r>
        <w:rPr>
          <w:rFonts w:hAnsi="宋体"/>
          <w:color w:val="000000" w:themeColor="text1"/>
          <w:sz w:val="22"/>
          <w:szCs w:val="22"/>
          <w:lang w:val="zh-CN"/>
          <w14:textFill>
            <w14:solidFill>
              <w14:schemeClr w14:val="tx1"/>
            </w14:solidFill>
          </w14:textFill>
        </w:rPr>
        <w:t>公章</w:t>
      </w:r>
      <w:r>
        <w:rPr>
          <w:rFonts w:hint="eastAsia" w:hAnsi="宋体"/>
          <w:color w:val="000000" w:themeColor="text1"/>
          <w:sz w:val="22"/>
          <w:szCs w:val="22"/>
          <w:lang w:val="zh-CN"/>
          <w14:textFill>
            <w14:solidFill>
              <w14:schemeClr w14:val="tx1"/>
            </w14:solidFill>
          </w14:textFill>
        </w:rPr>
        <w:t>）、以及合法来源的证据证明材料。</w:t>
      </w:r>
    </w:p>
    <w:p>
      <w:pPr>
        <w:spacing w:line="360" w:lineRule="auto"/>
        <w:ind w:left="540" w:hanging="540"/>
        <w:rPr>
          <w:rFonts w:hAnsi="宋体"/>
          <w:color w:val="000000" w:themeColor="text1"/>
          <w:sz w:val="22"/>
          <w:szCs w:val="22"/>
          <w:lang w:val="zh-CN"/>
          <w14:textFill>
            <w14:solidFill>
              <w14:schemeClr w14:val="tx1"/>
            </w14:solidFill>
          </w14:textFill>
        </w:rPr>
      </w:pPr>
      <w:r>
        <w:rPr>
          <w:rFonts w:hAnsi="宋体"/>
          <w:color w:val="000000" w:themeColor="text1"/>
          <w:sz w:val="22"/>
          <w:szCs w:val="22"/>
          <w:lang w:val="zh-CN"/>
          <w14:textFill>
            <w14:solidFill>
              <w14:schemeClr w14:val="tx1"/>
            </w14:solidFill>
          </w14:textFill>
        </w:rPr>
        <w:t xml:space="preserve">27.2 </w:t>
      </w:r>
      <w:r>
        <w:rPr>
          <w:rFonts w:hint="eastAsia" w:hAnsi="宋体"/>
          <w:color w:val="000000" w:themeColor="text1"/>
          <w:sz w:val="22"/>
          <w:szCs w:val="22"/>
          <w:lang w:val="zh-CN"/>
          <w14:textFill>
            <w14:solidFill>
              <w14:schemeClr w14:val="tx1"/>
            </w14:solidFill>
          </w14:textFill>
        </w:rPr>
        <w:t>结果公示后，中标候选人有义务在结果公示之日起</w:t>
      </w:r>
      <w:r>
        <w:rPr>
          <w:rFonts w:hAnsi="宋体"/>
          <w:color w:val="000000" w:themeColor="text1"/>
          <w:sz w:val="22"/>
          <w:szCs w:val="22"/>
          <w:lang w:val="zh-CN"/>
          <w14:textFill>
            <w14:solidFill>
              <w14:schemeClr w14:val="tx1"/>
            </w14:solidFill>
          </w14:textFill>
        </w:rPr>
        <w:t>3</w:t>
      </w:r>
      <w:r>
        <w:rPr>
          <w:rFonts w:hint="eastAsia" w:hAnsi="宋体"/>
          <w:color w:val="000000" w:themeColor="text1"/>
          <w:sz w:val="22"/>
          <w:szCs w:val="22"/>
          <w:lang w:val="zh-CN"/>
          <w14:textFill>
            <w14:solidFill>
              <w14:schemeClr w14:val="tx1"/>
            </w14:solidFill>
          </w14:textFill>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color w:val="000000" w:themeColor="text1"/>
          <w:sz w:val="22"/>
          <w:szCs w:val="22"/>
          <w:lang w:val="zh-CN"/>
          <w14:textFill>
            <w14:solidFill>
              <w14:schemeClr w14:val="tx1"/>
            </w14:solidFill>
          </w14:textFill>
        </w:rPr>
        <w:t>移交司法机关处理</w:t>
      </w:r>
      <w:r>
        <w:rPr>
          <w:rFonts w:hint="eastAsia" w:hAnsi="宋体"/>
          <w:color w:val="000000" w:themeColor="text1"/>
          <w:sz w:val="22"/>
          <w:szCs w:val="22"/>
          <w:lang w:val="zh-CN"/>
          <w14:textFill>
            <w14:solidFill>
              <w14:schemeClr w14:val="tx1"/>
            </w14:solidFill>
          </w14:textFill>
        </w:rPr>
        <w:t>。</w:t>
      </w:r>
    </w:p>
    <w:p>
      <w:pPr>
        <w:spacing w:line="360" w:lineRule="auto"/>
        <w:ind w:left="525" w:leftChars="250" w:firstLine="440" w:firstLineChars="200"/>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必要时，当招标人向中标候选人发出提供上述证明资料原件进行核查的书面通知后，公示期满之日起三个工作日内中标候选人仍未能提供原件进行核查的，视为其无法提供真实的资料，招标人有权</w:t>
      </w:r>
      <w:r>
        <w:rPr>
          <w:rFonts w:hAnsi="宋体"/>
          <w:color w:val="000000" w:themeColor="text1"/>
          <w:sz w:val="22"/>
          <w:szCs w:val="22"/>
          <w:lang w:val="zh-CN"/>
          <w14:textFill>
            <w14:solidFill>
              <w14:schemeClr w14:val="tx1"/>
            </w14:solidFill>
          </w14:textFill>
        </w:rPr>
        <w:t>按照中标候选人名单排序依次确定其他中标候选人为中标人或重新招标</w:t>
      </w:r>
      <w:r>
        <w:rPr>
          <w:rFonts w:hint="eastAsia" w:hAnsi="宋体"/>
          <w:color w:val="000000" w:themeColor="text1"/>
          <w:sz w:val="22"/>
          <w:szCs w:val="22"/>
          <w:lang w:val="zh-CN"/>
          <w14:textFill>
            <w14:solidFill>
              <w14:schemeClr w14:val="tx1"/>
            </w14:solidFill>
          </w14:textFill>
        </w:rPr>
        <w:t>。</w:t>
      </w:r>
    </w:p>
    <w:p>
      <w:pPr>
        <w:spacing w:line="360" w:lineRule="auto"/>
        <w:ind w:left="540" w:hanging="540"/>
        <w:rPr>
          <w:rFonts w:hAnsi="宋体"/>
          <w:color w:val="000000" w:themeColor="text1"/>
          <w:sz w:val="22"/>
          <w:szCs w:val="22"/>
          <w:lang w:val="zh-CN"/>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27.3 </w:t>
      </w:r>
      <w:r>
        <w:rPr>
          <w:rFonts w:hint="eastAsia" w:hAnsi="宋体"/>
          <w:color w:val="000000" w:themeColor="text1"/>
          <w:sz w:val="22"/>
          <w:szCs w:val="22"/>
          <w:lang w:val="zh-CN"/>
          <w14:textFill>
            <w14:solidFill>
              <w14:schemeClr w14:val="tx1"/>
            </w14:solidFill>
          </w14:textFill>
        </w:rPr>
        <w:t>投标人或者其他利害关系人认为招标投标活动不符合法律、行政法规规定的，可以自知道或者应当知道之日起</w:t>
      </w:r>
      <w:r>
        <w:rPr>
          <w:rFonts w:ascii="宋体" w:hAnsi="宋体"/>
          <w:color w:val="000000" w:themeColor="text1"/>
          <w:sz w:val="22"/>
          <w:szCs w:val="22"/>
          <w:lang w:val="zh-CN"/>
          <w14:textFill>
            <w14:solidFill>
              <w14:schemeClr w14:val="tx1"/>
            </w14:solidFill>
          </w14:textFill>
        </w:rPr>
        <w:t>10</w:t>
      </w:r>
      <w:r>
        <w:rPr>
          <w:rFonts w:hint="eastAsia" w:hAnsi="宋体"/>
          <w:color w:val="000000" w:themeColor="text1"/>
          <w:sz w:val="22"/>
          <w:szCs w:val="22"/>
          <w:lang w:val="zh-CN"/>
          <w14:textFill>
            <w14:solidFill>
              <w14:schemeClr w14:val="tx1"/>
            </w14:solidFill>
          </w14:textFill>
        </w:rPr>
        <w:t>日内，按程序向招标人招标活动的</w:t>
      </w:r>
      <w:r>
        <w:rPr>
          <w:rFonts w:hAnsi="宋体"/>
          <w:color w:val="000000" w:themeColor="text1"/>
          <w:sz w:val="22"/>
          <w:szCs w:val="22"/>
          <w:lang w:val="zh-CN"/>
          <w14:textFill>
            <w14:solidFill>
              <w14:schemeClr w14:val="tx1"/>
            </w14:solidFill>
          </w14:textFill>
        </w:rPr>
        <w:t>监督</w:t>
      </w:r>
      <w:r>
        <w:rPr>
          <w:rFonts w:hint="eastAsia" w:hAnsi="宋体"/>
          <w:color w:val="000000" w:themeColor="text1"/>
          <w:sz w:val="22"/>
          <w:szCs w:val="22"/>
          <w:lang w:val="zh-CN"/>
          <w14:textFill>
            <w14:solidFill>
              <w14:schemeClr w14:val="tx1"/>
            </w14:solidFill>
          </w14:textFill>
        </w:rPr>
        <w:t>部门</w:t>
      </w:r>
      <w:r>
        <w:rPr>
          <w:rFonts w:hAnsi="宋体"/>
          <w:color w:val="000000" w:themeColor="text1"/>
          <w:sz w:val="22"/>
          <w:szCs w:val="22"/>
          <w:lang w:val="zh-CN"/>
          <w14:textFill>
            <w14:solidFill>
              <w14:schemeClr w14:val="tx1"/>
            </w14:solidFill>
          </w14:textFill>
        </w:rPr>
        <w:t>投诉。</w:t>
      </w:r>
      <w:r>
        <w:rPr>
          <w:rFonts w:hint="eastAsia" w:hAnsi="宋体"/>
          <w:color w:val="000000" w:themeColor="text1"/>
          <w:sz w:val="22"/>
          <w:szCs w:val="22"/>
          <w:lang w:val="zh-CN"/>
          <w14:textFill>
            <w14:solidFill>
              <w14:schemeClr w14:val="tx1"/>
            </w14:solidFill>
          </w14:textFill>
        </w:rPr>
        <w:t>投诉应当有明确的请求和必要的证明材料。</w:t>
      </w:r>
    </w:p>
    <w:p>
      <w:pPr>
        <w:snapToGrid w:val="0"/>
        <w:spacing w:line="360" w:lineRule="auto"/>
        <w:ind w:left="525" w:leftChars="25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投诉部门：东莞市数据互联有限公司</w:t>
      </w:r>
      <w:r>
        <w:rPr>
          <w:rFonts w:hint="eastAsia" w:ascii="宋体" w:hAnsi="宋体"/>
          <w:color w:val="000000" w:themeColor="text1"/>
          <w:sz w:val="22"/>
          <w:szCs w:val="22"/>
          <w14:textFill>
            <w14:solidFill>
              <w14:schemeClr w14:val="tx1"/>
            </w14:solidFill>
          </w14:textFill>
        </w:rPr>
        <w:t>综合管理</w:t>
      </w:r>
      <w:r>
        <w:rPr>
          <w:rFonts w:hint="eastAsia" w:ascii="宋体" w:hAnsi="宋体"/>
          <w:color w:val="000000" w:themeColor="text1"/>
          <w:sz w:val="22"/>
          <w:szCs w:val="22"/>
          <w:lang w:val="zh-CN"/>
          <w14:textFill>
            <w14:solidFill>
              <w14:schemeClr w14:val="tx1"/>
            </w14:solidFill>
          </w14:textFill>
        </w:rPr>
        <w:t>部，联系人：</w:t>
      </w:r>
      <w:r>
        <w:rPr>
          <w:rFonts w:hint="eastAsia" w:ascii="宋体" w:hAnsi="宋体"/>
          <w:color w:val="000000" w:themeColor="text1"/>
          <w:sz w:val="22"/>
          <w:szCs w:val="22"/>
          <w14:textFill>
            <w14:solidFill>
              <w14:schemeClr w14:val="tx1"/>
            </w14:solidFill>
          </w14:textFill>
        </w:rPr>
        <w:t>黄</w:t>
      </w:r>
      <w:r>
        <w:rPr>
          <w:rFonts w:hint="eastAsia" w:ascii="宋体" w:hAnsi="宋体"/>
          <w:color w:val="000000" w:themeColor="text1"/>
          <w:sz w:val="22"/>
          <w:szCs w:val="22"/>
          <w:lang w:val="zh-CN"/>
          <w14:textFill>
            <w14:solidFill>
              <w14:schemeClr w14:val="tx1"/>
            </w14:solidFill>
          </w14:textFill>
        </w:rPr>
        <w:t>小姐，联系电话：</w:t>
      </w:r>
      <w:r>
        <w:rPr>
          <w:rFonts w:ascii="宋体" w:hAnsi="宋体"/>
          <w:color w:val="000000" w:themeColor="text1"/>
          <w:sz w:val="22"/>
          <w:szCs w:val="22"/>
          <w:lang w:val="zh-CN"/>
          <w14:textFill>
            <w14:solidFill>
              <w14:schemeClr w14:val="tx1"/>
            </w14:solidFill>
          </w14:textFill>
        </w:rPr>
        <w:t>0769-</w:t>
      </w:r>
      <w:r>
        <w:rPr>
          <w:rFonts w:hint="eastAsia" w:ascii="宋体" w:hAnsi="宋体"/>
          <w:color w:val="000000" w:themeColor="text1"/>
          <w:sz w:val="22"/>
          <w:szCs w:val="22"/>
          <w:lang w:val="zh-CN"/>
          <w14:textFill>
            <w14:solidFill>
              <w14:schemeClr w14:val="tx1"/>
            </w14:solidFill>
          </w14:textFill>
        </w:rPr>
        <w:t>23308225。</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88" w:name="_Toc15346"/>
      <w:bookmarkStart w:id="189" w:name="_Toc29093"/>
      <w:bookmarkStart w:id="190" w:name="_Toc7403"/>
      <w:bookmarkStart w:id="191" w:name="_Hlk3198297"/>
      <w:r>
        <w:rPr>
          <w:rFonts w:hint="eastAsia" w:ascii="宋体" w:hAnsi="宋体"/>
          <w:b/>
          <w:bCs/>
          <w:color w:val="000000" w:themeColor="text1"/>
          <w:sz w:val="22"/>
          <w:szCs w:val="22"/>
          <w14:textFill>
            <w14:solidFill>
              <w14:schemeClr w14:val="tx1"/>
            </w14:solidFill>
          </w14:textFill>
        </w:rPr>
        <w:t>真实性审查</w:t>
      </w:r>
      <w:bookmarkEnd w:id="188"/>
      <w:bookmarkEnd w:id="189"/>
      <w:bookmarkEnd w:id="190"/>
    </w:p>
    <w:bookmarkEnd w:id="191"/>
    <w:p>
      <w:pPr>
        <w:spacing w:after="60" w:line="360" w:lineRule="auto"/>
        <w:ind w:left="565" w:leftChars="2" w:hanging="561" w:hangingChars="255"/>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28.1 </w:t>
      </w:r>
      <w:r>
        <w:rPr>
          <w:rFonts w:hint="eastAsia" w:hAnsi="宋体"/>
          <w:color w:val="000000" w:themeColor="text1"/>
          <w:sz w:val="22"/>
          <w:szCs w:val="22"/>
          <w14:textFill>
            <w14:solidFill>
              <w14:schemeClr w14:val="tx1"/>
            </w14:solidFill>
          </w14:textFill>
        </w:rPr>
        <w:t>在授予合同前，招标人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spacing w:after="60" w:line="360" w:lineRule="auto"/>
        <w:ind w:left="565" w:hanging="565" w:hangingChars="257"/>
        <w:rPr>
          <w:rFonts w:ascii="宋体" w:hAnsi="宋体"/>
          <w:b/>
          <w:bCs/>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28.2 </w:t>
      </w:r>
      <w:r>
        <w:rPr>
          <w:rFonts w:hint="eastAsia" w:hAnsi="宋体"/>
          <w:color w:val="000000" w:themeColor="text1"/>
          <w:sz w:val="22"/>
          <w:szCs w:val="22"/>
          <w14:textFill>
            <w14:solidFill>
              <w14:schemeClr w14:val="tx1"/>
            </w14:solidFill>
          </w14:textFill>
        </w:rPr>
        <w:t>投标人在招标人通知其提供上述证明资料原件进行核查的要求后，未能在约定的时间内提供原件进行核查的，视为投标人无法提供真实的资料，</w:t>
      </w:r>
      <w:r>
        <w:rPr>
          <w:rFonts w:hAnsi="宋体"/>
          <w:color w:val="000000" w:themeColor="text1"/>
          <w:sz w:val="22"/>
          <w:szCs w:val="22"/>
          <w14:textFill>
            <w14:solidFill>
              <w14:schemeClr w14:val="tx1"/>
            </w14:solidFill>
          </w14:textFill>
        </w:rPr>
        <w:t xml:space="preserve"> </w:t>
      </w:r>
      <w:r>
        <w:rPr>
          <w:rFonts w:hint="eastAsia" w:hAnsi="宋体"/>
          <w:color w:val="000000" w:themeColor="text1"/>
          <w:sz w:val="22"/>
          <w:szCs w:val="22"/>
          <w14:textFill>
            <w14:solidFill>
              <w14:schemeClr w14:val="tx1"/>
            </w14:solidFill>
          </w14:textFill>
        </w:rPr>
        <w:t>招标人有权</w:t>
      </w:r>
      <w:r>
        <w:rPr>
          <w:rFonts w:hAnsi="宋体"/>
          <w:color w:val="000000" w:themeColor="text1"/>
          <w:sz w:val="22"/>
          <w:szCs w:val="22"/>
          <w14:textFill>
            <w14:solidFill>
              <w14:schemeClr w14:val="tx1"/>
            </w14:solidFill>
          </w14:textFill>
        </w:rPr>
        <w:t>按照中标候选人名单排序依次确定其他中标候选人为中标人或重新招标</w:t>
      </w:r>
      <w:r>
        <w:rPr>
          <w:rFonts w:hint="eastAsia" w:hAnsi="宋体"/>
          <w:color w:val="000000" w:themeColor="text1"/>
          <w:sz w:val="22"/>
          <w:szCs w:val="22"/>
          <w14:textFill>
            <w14:solidFill>
              <w14:schemeClr w14:val="tx1"/>
            </w14:solidFill>
          </w14:textFill>
        </w:rPr>
        <w:t>。</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92" w:name="_Toc441844087"/>
      <w:bookmarkStart w:id="193" w:name="_Toc29362"/>
      <w:bookmarkStart w:id="194" w:name="_Toc32078"/>
      <w:bookmarkStart w:id="195" w:name="_Toc771"/>
      <w:r>
        <w:rPr>
          <w:rFonts w:ascii="宋体" w:hAnsi="宋体"/>
          <w:b/>
          <w:bCs/>
          <w:color w:val="000000" w:themeColor="text1"/>
          <w:sz w:val="22"/>
          <w:szCs w:val="22"/>
          <w14:textFill>
            <w14:solidFill>
              <w14:schemeClr w14:val="tx1"/>
            </w14:solidFill>
          </w14:textFill>
        </w:rPr>
        <w:t>中标通知书</w:t>
      </w:r>
      <w:bookmarkEnd w:id="192"/>
      <w:bookmarkEnd w:id="193"/>
      <w:bookmarkEnd w:id="194"/>
      <w:bookmarkEnd w:id="195"/>
    </w:p>
    <w:p>
      <w:pPr>
        <w:spacing w:line="360" w:lineRule="auto"/>
        <w:ind w:left="565" w:hanging="565" w:hangingChars="25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29.1  中标人确定后，招标</w:t>
      </w:r>
      <w:r>
        <w:rPr>
          <w:rFonts w:hint="eastAsia" w:ascii="宋体" w:hAnsi="宋体"/>
          <w:color w:val="000000" w:themeColor="text1"/>
          <w:sz w:val="22"/>
          <w:szCs w:val="22"/>
          <w14:textFill>
            <w14:solidFill>
              <w14:schemeClr w14:val="tx1"/>
            </w14:solidFill>
          </w14:textFill>
        </w:rPr>
        <w:t>人</w:t>
      </w:r>
      <w:r>
        <w:rPr>
          <w:rFonts w:ascii="宋体" w:hAnsi="宋体"/>
          <w:color w:val="000000" w:themeColor="text1"/>
          <w:sz w:val="22"/>
          <w:szCs w:val="22"/>
          <w14:textFill>
            <w14:solidFill>
              <w14:schemeClr w14:val="tx1"/>
            </w14:solidFill>
          </w14:textFill>
        </w:rPr>
        <w:t>将向中标人发出中标通知书。</w:t>
      </w:r>
    </w:p>
    <w:p>
      <w:pPr>
        <w:spacing w:line="360" w:lineRule="auto"/>
        <w:ind w:left="675" w:hanging="675" w:hangingChars="30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29.2  中标通知书是合同的一个组成部分。对招标人和中标人具有法律效力。中标通知书发出后，招标人改变中标结果的，或者中标人放弃中标项目的，应当依法承担法律责任。</w:t>
      </w:r>
    </w:p>
    <w:p>
      <w:pPr>
        <w:pStyle w:val="4"/>
        <w:tabs>
          <w:tab w:val="left" w:pos="142"/>
          <w:tab w:val="clear" w:pos="1440"/>
        </w:tabs>
        <w:ind w:left="0" w:firstLine="0"/>
        <w:rPr>
          <w:rFonts w:ascii="宋体" w:hAnsi="宋体" w:eastAsia="宋体"/>
          <w:color w:val="000000" w:themeColor="text1"/>
          <w:sz w:val="22"/>
          <w:szCs w:val="22"/>
          <w14:textFill>
            <w14:solidFill>
              <w14:schemeClr w14:val="tx1"/>
            </w14:solidFill>
          </w14:textFill>
        </w:rPr>
      </w:pPr>
      <w:bookmarkStart w:id="196" w:name="_Toc17073"/>
      <w:bookmarkStart w:id="197" w:name="_Toc441844088"/>
      <w:bookmarkStart w:id="198" w:name="_Toc19288"/>
      <w:bookmarkStart w:id="199" w:name="_Toc427232330"/>
      <w:bookmarkStart w:id="200" w:name="_Toc16244"/>
      <w:r>
        <w:rPr>
          <w:rFonts w:ascii="宋体" w:hAnsi="宋体" w:eastAsia="宋体"/>
          <w:color w:val="000000" w:themeColor="text1"/>
          <w:sz w:val="22"/>
          <w:szCs w:val="22"/>
          <w14:textFill>
            <w14:solidFill>
              <w14:schemeClr w14:val="tx1"/>
            </w14:solidFill>
          </w14:textFill>
        </w:rPr>
        <w:t>（六）合同的授予</w:t>
      </w:r>
      <w:bookmarkEnd w:id="196"/>
      <w:bookmarkEnd w:id="197"/>
      <w:bookmarkEnd w:id="198"/>
      <w:bookmarkEnd w:id="199"/>
      <w:bookmarkEnd w:id="200"/>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01" w:name="_Toc1109"/>
      <w:bookmarkStart w:id="202" w:name="_Toc427232331"/>
      <w:bookmarkStart w:id="203" w:name="_Toc1438"/>
      <w:bookmarkStart w:id="204" w:name="_Toc441844089"/>
      <w:bookmarkStart w:id="205" w:name="_Toc12924"/>
      <w:r>
        <w:rPr>
          <w:rFonts w:ascii="宋体" w:hAnsi="宋体"/>
          <w:b/>
          <w:bCs/>
          <w:color w:val="000000" w:themeColor="text1"/>
          <w:sz w:val="22"/>
          <w:szCs w:val="22"/>
          <w14:textFill>
            <w14:solidFill>
              <w14:schemeClr w14:val="tx1"/>
            </w14:solidFill>
          </w14:textFill>
        </w:rPr>
        <w:t>合同授予标准</w:t>
      </w:r>
      <w:bookmarkEnd w:id="201"/>
      <w:bookmarkEnd w:id="202"/>
      <w:bookmarkEnd w:id="203"/>
      <w:bookmarkEnd w:id="204"/>
      <w:bookmarkEnd w:id="205"/>
    </w:p>
    <w:p>
      <w:pPr>
        <w:pStyle w:val="27"/>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30.1 招标人按评标结果，在推荐的中标候选人依法确定中标人，并将合同授予之。</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06" w:name="_Toc10693"/>
      <w:bookmarkStart w:id="207" w:name="_Toc441844090"/>
      <w:bookmarkStart w:id="208" w:name="_Toc23637"/>
      <w:bookmarkStart w:id="209" w:name="_Toc16237"/>
      <w:bookmarkStart w:id="210" w:name="_Toc326689400"/>
      <w:bookmarkStart w:id="211" w:name="_Toc401738073"/>
      <w:bookmarkStart w:id="212" w:name="_Toc395863102"/>
      <w:bookmarkStart w:id="213" w:name="_Toc321917131"/>
      <w:bookmarkStart w:id="214" w:name="_Toc427232334"/>
      <w:bookmarkStart w:id="215" w:name="_Toc326689490"/>
      <w:bookmarkStart w:id="216" w:name="_Toc321994755"/>
      <w:r>
        <w:rPr>
          <w:rFonts w:ascii="宋体" w:hAnsi="宋体"/>
          <w:b/>
          <w:bCs/>
          <w:color w:val="000000" w:themeColor="text1"/>
          <w:sz w:val="22"/>
          <w:szCs w:val="22"/>
          <w14:textFill>
            <w14:solidFill>
              <w14:schemeClr w14:val="tx1"/>
            </w14:solidFill>
          </w14:textFill>
        </w:rPr>
        <w:t>接受和拒绝任何或所有投标的权利</w:t>
      </w:r>
      <w:bookmarkEnd w:id="206"/>
      <w:bookmarkEnd w:id="207"/>
      <w:bookmarkEnd w:id="208"/>
      <w:bookmarkEnd w:id="209"/>
    </w:p>
    <w:p>
      <w:pPr>
        <w:pStyle w:val="27"/>
        <w:spacing w:line="360" w:lineRule="auto"/>
        <w:ind w:left="550" w:hanging="550" w:hangingChars="250"/>
        <w:rPr>
          <w:rFonts w:ascii="宋体" w:eastAsia="宋体"/>
          <w:color w:val="000000" w:themeColor="text1"/>
          <w:sz w:val="22"/>
          <w:szCs w:val="22"/>
          <w14:textFill>
            <w14:solidFill>
              <w14:schemeClr w14:val="tx1"/>
            </w14:solidFill>
          </w14:textFill>
        </w:rPr>
      </w:pPr>
      <w:bookmarkStart w:id="217" w:name="_Toc427232333"/>
      <w:bookmarkStart w:id="218" w:name="_Toc321994754"/>
      <w:bookmarkStart w:id="219" w:name="_Toc326689399"/>
      <w:bookmarkStart w:id="220" w:name="_Toc326689489"/>
      <w:bookmarkStart w:id="221" w:name="_Toc395863101"/>
      <w:bookmarkStart w:id="222" w:name="_Toc401738072"/>
      <w:bookmarkStart w:id="223" w:name="_Toc321917130"/>
      <w:bookmarkStart w:id="224" w:name="_Toc441844091"/>
      <w:r>
        <w:rPr>
          <w:rFonts w:ascii="宋体" w:eastAsia="宋体"/>
          <w:color w:val="000000" w:themeColor="text1"/>
          <w:sz w:val="22"/>
          <w:szCs w:val="22"/>
          <w14:textFill>
            <w14:solidFill>
              <w14:schemeClr w14:val="tx1"/>
            </w14:solidFill>
          </w14:textFill>
        </w:rPr>
        <w:t>31.1招标人在确定中标人之前，有权</w:t>
      </w:r>
      <w:bookmarkEnd w:id="217"/>
      <w:bookmarkEnd w:id="218"/>
      <w:bookmarkEnd w:id="219"/>
      <w:bookmarkEnd w:id="220"/>
      <w:bookmarkEnd w:id="221"/>
      <w:bookmarkEnd w:id="222"/>
      <w:bookmarkEnd w:id="223"/>
      <w:r>
        <w:rPr>
          <w:rFonts w:ascii="宋体" w:eastAsia="宋体"/>
          <w:color w:val="000000" w:themeColor="text1"/>
          <w:sz w:val="22"/>
          <w:szCs w:val="22"/>
          <w14:textFill>
            <w14:solidFill>
              <w14:schemeClr w14:val="tx1"/>
            </w14:solidFill>
          </w14:textFill>
        </w:rPr>
        <w:t>拒绝不合格的投标。</w:t>
      </w:r>
      <w:bookmarkEnd w:id="224"/>
    </w:p>
    <w:p>
      <w:pPr>
        <w:pStyle w:val="27"/>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31.2 招标人保留在授标之前任何时候接受或拒绝任何投标，以及宣布招标程序无效或拒绝所有投标的权利，对受影响的投标人不承担任何责任。</w:t>
      </w:r>
      <w:bookmarkEnd w:id="210"/>
      <w:bookmarkEnd w:id="211"/>
      <w:bookmarkEnd w:id="212"/>
      <w:bookmarkEnd w:id="213"/>
      <w:bookmarkEnd w:id="214"/>
      <w:bookmarkEnd w:id="215"/>
      <w:bookmarkEnd w:id="216"/>
    </w:p>
    <w:p>
      <w:pPr>
        <w:pStyle w:val="27"/>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 xml:space="preserve">31.3 </w:t>
      </w:r>
      <w:r>
        <w:rPr>
          <w:rFonts w:hint="eastAsia" w:ascii="宋体" w:eastAsia="宋体"/>
          <w:color w:val="000000" w:themeColor="text1"/>
          <w:sz w:val="22"/>
          <w:szCs w:val="22"/>
          <w14:textFill>
            <w14:solidFill>
              <w14:schemeClr w14:val="tx1"/>
            </w14:solidFill>
          </w14:textFill>
        </w:rPr>
        <w:t>因不可抗力或自身原因不能履行合同的、不按要求与招标人签订合同、中标人放弃中标、中标资格被依法确认无效的，招标</w:t>
      </w:r>
      <w:r>
        <w:rPr>
          <w:rFonts w:ascii="宋体" w:eastAsia="宋体"/>
          <w:color w:val="000000" w:themeColor="text1"/>
          <w:sz w:val="22"/>
          <w:szCs w:val="22"/>
          <w14:textFill>
            <w14:solidFill>
              <w14:schemeClr w14:val="tx1"/>
            </w14:solidFill>
          </w14:textFill>
        </w:rPr>
        <w:t>人可以按照中标候选人名单排序依次确定其他中标候选人为中标人或重新招标。</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25" w:name="_Toc11720"/>
      <w:bookmarkStart w:id="226" w:name="_Toc9436"/>
      <w:bookmarkStart w:id="227" w:name="_Toc441844094"/>
      <w:bookmarkStart w:id="228" w:name="_Toc21729"/>
      <w:bookmarkStart w:id="229" w:name="_Toc427232338"/>
      <w:r>
        <w:rPr>
          <w:rFonts w:ascii="宋体" w:hAnsi="宋体"/>
          <w:b/>
          <w:bCs/>
          <w:color w:val="000000" w:themeColor="text1"/>
          <w:sz w:val="22"/>
          <w:szCs w:val="22"/>
          <w14:textFill>
            <w14:solidFill>
              <w14:schemeClr w14:val="tx1"/>
            </w14:solidFill>
          </w14:textFill>
        </w:rPr>
        <w:t>合同协议书的签订</w:t>
      </w:r>
      <w:bookmarkEnd w:id="225"/>
      <w:bookmarkEnd w:id="226"/>
      <w:bookmarkEnd w:id="227"/>
      <w:bookmarkEnd w:id="228"/>
      <w:bookmarkEnd w:id="229"/>
    </w:p>
    <w:p>
      <w:pPr>
        <w:pStyle w:val="27"/>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3</w:t>
      </w:r>
      <w:r>
        <w:rPr>
          <w:rFonts w:hint="eastAsia" w:ascii="宋体" w:eastAsia="宋体"/>
          <w:color w:val="000000" w:themeColor="text1"/>
          <w:sz w:val="22"/>
          <w:szCs w:val="22"/>
          <w:lang w:val="en-US"/>
          <w14:textFill>
            <w14:solidFill>
              <w14:schemeClr w14:val="tx1"/>
            </w14:solidFill>
          </w14:textFill>
        </w:rPr>
        <w:t>2</w:t>
      </w:r>
      <w:r>
        <w:rPr>
          <w:rFonts w:ascii="宋体" w:eastAsia="宋体"/>
          <w:color w:val="000000" w:themeColor="text1"/>
          <w:sz w:val="22"/>
          <w:szCs w:val="22"/>
          <w14:textFill>
            <w14:solidFill>
              <w14:schemeClr w14:val="tx1"/>
            </w14:solidFill>
          </w14:textFill>
        </w:rPr>
        <w:t>.1 招标人与中标人必须在中标通知书发出之日起十日内，按照招标文件和中标人的投标文件及其澄清文件等订立书面合同，招标人和中标人不得再行订立背离合同实质性内容的其他协议。</w:t>
      </w:r>
    </w:p>
    <w:p>
      <w:pPr>
        <w:spacing w:line="360" w:lineRule="auto"/>
        <w:ind w:left="565" w:hanging="565" w:hangingChars="25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14:textFill>
            <w14:solidFill>
              <w14:schemeClr w14:val="tx1"/>
            </w14:solidFill>
          </w14:textFill>
        </w:rPr>
        <w:t>2</w:t>
      </w:r>
      <w:r>
        <w:rPr>
          <w:rFonts w:ascii="宋体" w:hAnsi="宋体"/>
          <w:color w:val="000000" w:themeColor="text1"/>
          <w:sz w:val="22"/>
          <w:szCs w:val="22"/>
          <w14:textFill>
            <w14:solidFill>
              <w14:schemeClr w14:val="tx1"/>
            </w14:solidFill>
          </w14:textFill>
        </w:rPr>
        <w:t>.2 “招标文件”、中标人的“投标文件”及其澄清文件等，均为签订经济合同依据。</w:t>
      </w:r>
    </w:p>
    <w:p>
      <w:pPr>
        <w:pStyle w:val="27"/>
        <w:spacing w:line="360" w:lineRule="auto"/>
        <w:ind w:firstLine="0" w:firstLineChars="0"/>
      </w:pPr>
      <w:r>
        <w:rPr>
          <w:rFonts w:hint="eastAsia" w:ascii="宋体" w:eastAsia="宋体"/>
          <w:sz w:val="22"/>
          <w:szCs w:val="22"/>
          <w:lang w:val="en-US"/>
        </w:rPr>
        <w:t xml:space="preserve">32.3 </w:t>
      </w:r>
      <w:r>
        <w:rPr>
          <w:rFonts w:hint="eastAsia" w:ascii="宋体" w:eastAsia="宋体"/>
          <w:sz w:val="22"/>
          <w:szCs w:val="22"/>
        </w:rPr>
        <w:t>中标人如不按本投标须知第</w:t>
      </w:r>
      <w:r>
        <w:rPr>
          <w:rFonts w:ascii="宋体" w:eastAsia="宋体"/>
          <w:sz w:val="22"/>
          <w:szCs w:val="22"/>
        </w:rPr>
        <w:t>32.1款</w:t>
      </w:r>
      <w:r>
        <w:rPr>
          <w:rFonts w:hint="eastAsia" w:ascii="宋体" w:eastAsia="宋体"/>
          <w:sz w:val="22"/>
          <w:szCs w:val="22"/>
        </w:rPr>
        <w:t>的规定与招标人订立合同，则招标人将废除授标，履约担保不予退还，给招标人造成的损失超过履约担保数额的，还应当对超过部分予以赔偿，同时依法承担相应法律责任</w:t>
      </w:r>
      <w:r>
        <w:rPr>
          <w:rFonts w:ascii="宋体" w:eastAsia="宋体"/>
          <w:sz w:val="22"/>
          <w:szCs w:val="22"/>
        </w:rPr>
        <w:t>。</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30" w:name="_Toc25789"/>
      <w:bookmarkStart w:id="231" w:name="_Toc441844095"/>
      <w:bookmarkStart w:id="232" w:name="_Toc2378"/>
      <w:bookmarkStart w:id="233" w:name="_Toc3211"/>
      <w:bookmarkStart w:id="234" w:name="_Toc427232339"/>
      <w:r>
        <w:rPr>
          <w:rFonts w:ascii="宋体" w:hAnsi="宋体"/>
          <w:b/>
          <w:bCs/>
          <w:color w:val="000000" w:themeColor="text1"/>
          <w:sz w:val="22"/>
          <w:szCs w:val="22"/>
          <w14:textFill>
            <w14:solidFill>
              <w14:schemeClr w14:val="tx1"/>
            </w14:solidFill>
          </w14:textFill>
        </w:rPr>
        <w:t>其他</w:t>
      </w:r>
      <w:bookmarkEnd w:id="230"/>
      <w:bookmarkEnd w:id="231"/>
      <w:bookmarkEnd w:id="232"/>
      <w:bookmarkEnd w:id="233"/>
      <w:bookmarkEnd w:id="234"/>
    </w:p>
    <w:p>
      <w:pPr>
        <w:pStyle w:val="27"/>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3</w:t>
      </w:r>
      <w:r>
        <w:rPr>
          <w:rFonts w:hint="eastAsia" w:ascii="宋体" w:eastAsia="宋体"/>
          <w:color w:val="000000" w:themeColor="text1"/>
          <w:sz w:val="22"/>
          <w:szCs w:val="22"/>
          <w:lang w:val="en-US"/>
          <w14:textFill>
            <w14:solidFill>
              <w14:schemeClr w14:val="tx1"/>
            </w14:solidFill>
          </w14:textFill>
        </w:rPr>
        <w:t>3</w:t>
      </w:r>
      <w:r>
        <w:rPr>
          <w:rFonts w:ascii="宋体" w:eastAsia="宋体"/>
          <w:color w:val="000000" w:themeColor="text1"/>
          <w:sz w:val="22"/>
          <w:szCs w:val="22"/>
          <w14:textFill>
            <w14:solidFill>
              <w14:schemeClr w14:val="tx1"/>
            </w14:solidFill>
          </w14:textFill>
        </w:rPr>
        <w:t>.1 如投标人提供虚假材料谋取中标的，或者采取不正当手段诋毁、排挤其他投标人的，以及与其他的投标人恶意串通的，我公司将严肃处理，并保留追究其责任的权利。</w:t>
      </w:r>
    </w:p>
    <w:p>
      <w:pPr>
        <w:pStyle w:val="26"/>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35" w:name="_Toc19356"/>
      <w:bookmarkStart w:id="236" w:name="_Toc6938"/>
      <w:bookmarkStart w:id="237" w:name="_Toc427232340"/>
      <w:bookmarkStart w:id="238" w:name="_Toc441844096"/>
      <w:bookmarkStart w:id="239" w:name="_Toc22269"/>
      <w:r>
        <w:rPr>
          <w:rFonts w:ascii="宋体" w:hAnsi="宋体"/>
          <w:b/>
          <w:bCs/>
          <w:color w:val="000000" w:themeColor="text1"/>
          <w:sz w:val="22"/>
          <w:szCs w:val="22"/>
          <w14:textFill>
            <w14:solidFill>
              <w14:schemeClr w14:val="tx1"/>
            </w14:solidFill>
          </w14:textFill>
        </w:rPr>
        <w:t>招标文件的解释权</w:t>
      </w:r>
      <w:bookmarkEnd w:id="235"/>
      <w:bookmarkEnd w:id="236"/>
      <w:bookmarkEnd w:id="237"/>
      <w:bookmarkEnd w:id="238"/>
      <w:bookmarkEnd w:id="239"/>
    </w:p>
    <w:p>
      <w:pPr>
        <w:widowControl/>
        <w:spacing w:line="360" w:lineRule="auto"/>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14:textFill>
            <w14:solidFill>
              <w14:schemeClr w14:val="tx1"/>
            </w14:solidFill>
          </w14:textFill>
        </w:rPr>
        <w:t>4</w:t>
      </w:r>
      <w:r>
        <w:rPr>
          <w:rFonts w:ascii="宋体" w:hAnsi="宋体"/>
          <w:color w:val="000000" w:themeColor="text1"/>
          <w:sz w:val="22"/>
          <w:szCs w:val="22"/>
          <w14:textFill>
            <w14:solidFill>
              <w14:schemeClr w14:val="tx1"/>
            </w14:solidFill>
          </w14:textFill>
        </w:rPr>
        <w:t>.1 本招标文件的解释权属</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w:t>
      </w:r>
    </w:p>
    <w:p>
      <w:pPr>
        <w:rPr>
          <w:rFonts w:ascii="Times New Roman" w:hAnsi="Times New Roman"/>
          <w:color w:val="000000" w:themeColor="text1"/>
          <w14:textFill>
            <w14:solidFill>
              <w14:schemeClr w14:val="tx1"/>
            </w14:solidFill>
          </w14:textFill>
        </w:rPr>
      </w:pPr>
      <w:bookmarkStart w:id="240" w:name="_Toc33540132"/>
      <w:bookmarkStart w:id="241" w:name="_Hlk49356998"/>
      <w:bookmarkStart w:id="242" w:name="_Toc441844097"/>
      <w:r>
        <w:rPr>
          <w:rFonts w:ascii="宋体" w:hAnsi="宋体"/>
          <w:color w:val="000000" w:themeColor="text1"/>
          <w:sz w:val="22"/>
          <w:szCs w:val="22"/>
          <w14:textFill>
            <w14:solidFill>
              <w14:schemeClr w14:val="tx1"/>
            </w14:solidFill>
          </w14:textFill>
        </w:rPr>
        <w:br w:type="page"/>
      </w:r>
      <w:bookmarkEnd w:id="240"/>
      <w:bookmarkEnd w:id="241"/>
    </w:p>
    <w:p>
      <w:pPr>
        <w:pStyle w:val="3"/>
        <w:jc w:val="center"/>
        <w:rPr>
          <w:rFonts w:ascii="Times New Roman" w:hAnsi="Times New Roman"/>
          <w:color w:val="000000" w:themeColor="text1"/>
          <w14:textFill>
            <w14:solidFill>
              <w14:schemeClr w14:val="tx1"/>
            </w14:solidFill>
          </w14:textFill>
        </w:rPr>
      </w:pPr>
    </w:p>
    <w:p>
      <w:pPr>
        <w:pStyle w:val="3"/>
        <w:jc w:val="center"/>
        <w:rPr>
          <w:rFonts w:ascii="Times New Roman" w:hAnsi="Times New Roman"/>
          <w:color w:val="000000" w:themeColor="text1"/>
          <w14:textFill>
            <w14:solidFill>
              <w14:schemeClr w14:val="tx1"/>
            </w14:solidFill>
          </w14:textFill>
        </w:rPr>
      </w:pPr>
    </w:p>
    <w:p>
      <w:pPr>
        <w:pStyle w:val="3"/>
        <w:jc w:val="center"/>
        <w:rPr>
          <w:rFonts w:ascii="Times New Roman" w:hAnsi="Times New Roman"/>
          <w:color w:val="000000" w:themeColor="text1"/>
          <w14:textFill>
            <w14:solidFill>
              <w14:schemeClr w14:val="tx1"/>
            </w14:solidFill>
          </w14:textFill>
        </w:rPr>
      </w:pPr>
    </w:p>
    <w:p>
      <w:pPr>
        <w:pStyle w:val="3"/>
        <w:jc w:val="center"/>
        <w:rPr>
          <w:rFonts w:ascii="Times New Roman" w:hAnsi="Times New Roman"/>
          <w:color w:val="000000" w:themeColor="text1"/>
          <w:lang w:val="en-US"/>
          <w14:textFill>
            <w14:solidFill>
              <w14:schemeClr w14:val="tx1"/>
            </w14:solidFill>
          </w14:textFill>
        </w:rPr>
      </w:pPr>
      <w:bookmarkStart w:id="243" w:name="_Toc16448"/>
      <w:bookmarkStart w:id="244" w:name="_Toc7772"/>
      <w:bookmarkStart w:id="245" w:name="_Toc9040"/>
      <w:r>
        <w:rPr>
          <w:rFonts w:hint="eastAsia" w:ascii="Times New Roman" w:hAnsi="Times New Roman"/>
          <w:color w:val="000000" w:themeColor="text1"/>
          <w14:textFill>
            <w14:solidFill>
              <w14:schemeClr w14:val="tx1"/>
            </w14:solidFill>
          </w14:textFill>
        </w:rPr>
        <w:t>第三章</w:t>
      </w:r>
      <w:r>
        <w:rPr>
          <w:rFonts w:ascii="Times New Roman" w:hAnsi="Times New Roman"/>
          <w:color w:val="000000" w:themeColor="text1"/>
          <w14:textFill>
            <w14:solidFill>
              <w14:schemeClr w14:val="tx1"/>
            </w14:solidFill>
          </w14:textFill>
        </w:rPr>
        <w:t xml:space="preserve"> </w:t>
      </w:r>
      <w:bookmarkEnd w:id="242"/>
      <w:r>
        <w:rPr>
          <w:rFonts w:hint="eastAsia" w:ascii="Times New Roman" w:hAnsi="Times New Roman"/>
          <w:color w:val="000000" w:themeColor="text1"/>
          <w:lang w:val="en-US"/>
          <w14:textFill>
            <w14:solidFill>
              <w14:schemeClr w14:val="tx1"/>
            </w14:solidFill>
          </w14:textFill>
        </w:rPr>
        <w:t>用户需求书</w:t>
      </w:r>
      <w:bookmarkEnd w:id="243"/>
      <w:bookmarkEnd w:id="244"/>
      <w:bookmarkEnd w:id="245"/>
    </w:p>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7"/>
        <w:jc w:val="left"/>
        <w:rPr>
          <w:rFonts w:ascii="宋体" w:hAnsi="宋体" w:cs="宋体"/>
          <w:sz w:val="24"/>
          <w:lang w:val="en-US"/>
        </w:rPr>
      </w:pPr>
    </w:p>
    <w:p>
      <w:pPr>
        <w:rPr>
          <w:rFonts w:ascii="Times New Roman" w:hAnsi="Times New Roman"/>
          <w:color w:val="000000" w:themeColor="text1"/>
          <w:sz w:val="36"/>
          <w:szCs w:val="36"/>
          <w14:textFill>
            <w14:solidFill>
              <w14:schemeClr w14:val="tx1"/>
            </w14:solidFill>
          </w14:textFill>
        </w:rPr>
      </w:pPr>
      <w:r>
        <w:rPr>
          <w:rFonts w:hint="eastAsia" w:ascii="Times New Roman" w:hAnsi="Times New Roman"/>
          <w:color w:val="000000" w:themeColor="text1"/>
          <w:sz w:val="36"/>
          <w:szCs w:val="36"/>
          <w14:textFill>
            <w14:solidFill>
              <w14:schemeClr w14:val="tx1"/>
            </w14:solidFill>
          </w14:textFill>
        </w:rPr>
        <w:br w:type="page"/>
      </w:r>
    </w:p>
    <w:p>
      <w:pPr>
        <w:rPr>
          <w:rFonts w:ascii="Times New Roman" w:hAnsi="Times New Roman"/>
          <w:color w:val="000000" w:themeColor="text1"/>
          <w14:textFill>
            <w14:solidFill>
              <w14:schemeClr w14:val="tx1"/>
            </w14:solidFill>
          </w14:textFill>
        </w:rPr>
      </w:pPr>
    </w:p>
    <w:tbl>
      <w:tblPr>
        <w:tblStyle w:val="18"/>
        <w:tblpPr w:leftFromText="180" w:rightFromText="180" w:vertAnchor="page" w:horzAnchor="page" w:tblpX="660" w:tblpY="2913"/>
        <w:tblOverlap w:val="never"/>
        <w:tblW w:w="10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5415"/>
        <w:gridCol w:w="239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s="黑体"/>
                <w:b/>
                <w:bCs/>
                <w:sz w:val="32"/>
                <w:szCs w:val="32"/>
              </w:rPr>
            </w:pPr>
            <w:r>
              <w:rPr>
                <w:rFonts w:hint="eastAsia" w:ascii="黑体" w:hAnsi="黑体" w:eastAsia="黑体" w:cs="黑体"/>
                <w:b/>
                <w:bCs/>
                <w:sz w:val="32"/>
                <w:szCs w:val="32"/>
              </w:rPr>
              <w:t>序号</w:t>
            </w:r>
          </w:p>
        </w:tc>
        <w:tc>
          <w:tcPr>
            <w:tcW w:w="541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s="黑体"/>
                <w:b/>
                <w:bCs/>
                <w:sz w:val="32"/>
                <w:szCs w:val="32"/>
              </w:rPr>
            </w:pPr>
            <w:r>
              <w:rPr>
                <w:rFonts w:hint="eastAsia" w:ascii="黑体" w:hAnsi="黑体" w:eastAsia="黑体" w:cs="黑体"/>
                <w:b/>
                <w:bCs/>
                <w:sz w:val="32"/>
                <w:szCs w:val="32"/>
              </w:rPr>
              <w:t>工作内容</w:t>
            </w:r>
          </w:p>
        </w:tc>
        <w:tc>
          <w:tcPr>
            <w:tcW w:w="23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s="黑体"/>
                <w:b/>
                <w:bCs/>
                <w:sz w:val="32"/>
                <w:szCs w:val="32"/>
              </w:rPr>
            </w:pPr>
            <w:r>
              <w:rPr>
                <w:rFonts w:hint="eastAsia" w:ascii="黑体" w:hAnsi="黑体" w:eastAsia="黑体" w:cs="黑体"/>
                <w:b/>
                <w:bCs/>
                <w:sz w:val="32"/>
                <w:szCs w:val="32"/>
              </w:rPr>
              <w:t>工作周期</w:t>
            </w:r>
          </w:p>
        </w:tc>
        <w:tc>
          <w:tcPr>
            <w:tcW w:w="20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黑体" w:hAnsi="黑体" w:eastAsia="黑体" w:cs="黑体"/>
                <w:b/>
                <w:bCs/>
                <w:sz w:val="32"/>
                <w:szCs w:val="32"/>
              </w:rPr>
            </w:pPr>
            <w:r>
              <w:rPr>
                <w:rFonts w:hint="eastAsia" w:ascii="黑体" w:hAnsi="黑体" w:eastAsia="黑体" w:cs="黑体"/>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541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3台冷水机组（1300RT+650RT+650RT）通炮清洗</w:t>
            </w:r>
          </w:p>
        </w:tc>
        <w:tc>
          <w:tcPr>
            <w:tcW w:w="23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1次/年</w:t>
            </w:r>
          </w:p>
        </w:tc>
        <w:tc>
          <w:tcPr>
            <w:tcW w:w="202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541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10台水泵Y型过滤器清洗及密封</w:t>
            </w:r>
          </w:p>
        </w:tc>
        <w:tc>
          <w:tcPr>
            <w:tcW w:w="23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1次/年</w:t>
            </w:r>
          </w:p>
        </w:tc>
        <w:tc>
          <w:tcPr>
            <w:tcW w:w="202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541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3台冷凝器在线清洗装置清洗、塑料球更换</w:t>
            </w:r>
          </w:p>
        </w:tc>
        <w:tc>
          <w:tcPr>
            <w:tcW w:w="23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1次/年</w:t>
            </w:r>
          </w:p>
        </w:tc>
        <w:tc>
          <w:tcPr>
            <w:tcW w:w="202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541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2台4571kw板换设备药剂清洗</w:t>
            </w:r>
          </w:p>
        </w:tc>
        <w:tc>
          <w:tcPr>
            <w:tcW w:w="23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1次/年</w:t>
            </w:r>
          </w:p>
        </w:tc>
        <w:tc>
          <w:tcPr>
            <w:tcW w:w="202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541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地下室50立方生活用水箱清洗除垢</w:t>
            </w:r>
          </w:p>
        </w:tc>
        <w:tc>
          <w:tcPr>
            <w:tcW w:w="23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1次/年</w:t>
            </w:r>
          </w:p>
        </w:tc>
        <w:tc>
          <w:tcPr>
            <w:tcW w:w="202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11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5415"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冷却水系统定期加药及药剂</w:t>
            </w:r>
          </w:p>
        </w:tc>
        <w:tc>
          <w:tcPr>
            <w:tcW w:w="2395" w:type="dxa"/>
            <w:vMerge w:val="restart"/>
            <w:tcBorders>
              <w:top w:val="single" w:color="auto" w:sz="4" w:space="0"/>
              <w:left w:val="single" w:color="auto" w:sz="4" w:space="0"/>
              <w:right w:val="single" w:color="auto" w:sz="4" w:space="0"/>
            </w:tcBorders>
            <w:vAlign w:val="center"/>
          </w:tcPr>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28"/>
                <w:szCs w:val="28"/>
              </w:rPr>
              <w:t>清洗剂、预膜剂：1次/年；杀菌剂、灭藻剂：</w:t>
            </w:r>
            <w:r>
              <w:rPr>
                <w:rFonts w:hint="eastAsia" w:ascii="仿宋_GB2312" w:hAnsi="仿宋_GB2312" w:eastAsia="仿宋_GB2312" w:cs="仿宋_GB2312"/>
                <w:sz w:val="32"/>
                <w:szCs w:val="32"/>
              </w:rPr>
              <w:t>1次/月；阻垢缓蚀剂：1次/周</w:t>
            </w:r>
          </w:p>
        </w:tc>
        <w:tc>
          <w:tcPr>
            <w:tcW w:w="2025" w:type="dxa"/>
            <w:vMerge w:val="restart"/>
            <w:tcBorders>
              <w:top w:val="single" w:color="auto" w:sz="4" w:space="0"/>
              <w:left w:val="single" w:color="auto" w:sz="4" w:space="0"/>
              <w:right w:val="single" w:color="auto" w:sz="4" w:space="0"/>
            </w:tcBorders>
            <w:vAlign w:val="center"/>
          </w:tcPr>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28"/>
                <w:szCs w:val="28"/>
              </w:rPr>
              <w:t>阻垢缓蚀剂根据水质测试分析结果进行投放调整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1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5415"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冷冻水系统定期加药及药剂</w:t>
            </w:r>
          </w:p>
        </w:tc>
        <w:tc>
          <w:tcPr>
            <w:tcW w:w="2395" w:type="dxa"/>
            <w:vMerge w:val="continue"/>
            <w:tcBorders>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p>
        </w:tc>
        <w:tc>
          <w:tcPr>
            <w:tcW w:w="2025" w:type="dxa"/>
            <w:vMerge w:val="continue"/>
            <w:tcBorders>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541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屋顶50立方空调补水水箱清洗除垢</w:t>
            </w:r>
          </w:p>
        </w:tc>
        <w:tc>
          <w:tcPr>
            <w:tcW w:w="23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1次/年</w:t>
            </w:r>
          </w:p>
        </w:tc>
        <w:tc>
          <w:tcPr>
            <w:tcW w:w="202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541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屋顶4台BAC冷却塔清洗除垢</w:t>
            </w:r>
          </w:p>
        </w:tc>
        <w:tc>
          <w:tcPr>
            <w:tcW w:w="23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1次/月</w:t>
            </w:r>
          </w:p>
        </w:tc>
        <w:tc>
          <w:tcPr>
            <w:tcW w:w="202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541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3台冷却塔水清器清洗除垢</w:t>
            </w:r>
          </w:p>
        </w:tc>
        <w:tc>
          <w:tcPr>
            <w:tcW w:w="23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1次/月</w:t>
            </w:r>
          </w:p>
        </w:tc>
        <w:tc>
          <w:tcPr>
            <w:tcW w:w="202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541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屋顶软化水装置定期清洗检测</w:t>
            </w:r>
          </w:p>
        </w:tc>
        <w:tc>
          <w:tcPr>
            <w:tcW w:w="23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1次/年</w:t>
            </w:r>
          </w:p>
        </w:tc>
        <w:tc>
          <w:tcPr>
            <w:tcW w:w="202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541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34台末端机房空调Y型过滤器清洗、密封及螺丝更换</w:t>
            </w:r>
          </w:p>
        </w:tc>
        <w:tc>
          <w:tcPr>
            <w:tcW w:w="239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1次/年</w:t>
            </w:r>
          </w:p>
        </w:tc>
        <w:tc>
          <w:tcPr>
            <w:tcW w:w="202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Borders>
              <w:top w:val="single" w:color="auto" w:sz="4" w:space="0"/>
              <w:left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5415" w:type="dxa"/>
            <w:tcBorders>
              <w:top w:val="single" w:color="auto" w:sz="4" w:space="0"/>
              <w:left w:val="single" w:color="auto" w:sz="4" w:space="0"/>
              <w:right w:val="single" w:color="auto" w:sz="4" w:space="0"/>
            </w:tcBorders>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全系统水质测试分析</w:t>
            </w:r>
          </w:p>
        </w:tc>
        <w:tc>
          <w:tcPr>
            <w:tcW w:w="2395" w:type="dxa"/>
            <w:tcBorders>
              <w:top w:val="single" w:color="auto" w:sz="4" w:space="0"/>
              <w:left w:val="single" w:color="auto" w:sz="4" w:space="0"/>
              <w:right w:val="single" w:color="auto" w:sz="4" w:space="0"/>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1次/月</w:t>
            </w:r>
          </w:p>
        </w:tc>
        <w:tc>
          <w:tcPr>
            <w:tcW w:w="2025" w:type="dxa"/>
            <w:tcBorders>
              <w:top w:val="single" w:color="auto" w:sz="4" w:space="0"/>
              <w:left w:val="single" w:color="auto" w:sz="4" w:space="0"/>
              <w:right w:val="single" w:color="auto" w:sz="4" w:space="0"/>
            </w:tcBorders>
          </w:tcPr>
          <w:p>
            <w:pPr>
              <w:spacing w:line="560" w:lineRule="exact"/>
              <w:rPr>
                <w:rFonts w:ascii="仿宋_GB2312" w:hAnsi="仿宋_GB2312" w:eastAsia="仿宋_GB2312" w:cs="仿宋_GB2312"/>
                <w:sz w:val="32"/>
                <w:szCs w:val="32"/>
              </w:rPr>
            </w:pPr>
          </w:p>
        </w:tc>
      </w:tr>
    </w:tbl>
    <w:p>
      <w:pPr>
        <w:spacing w:line="360" w:lineRule="exact"/>
        <w:ind w:firstLine="480" w:firstLineChars="200"/>
        <w:rPr>
          <w:rFonts w:ascii="Times New Roman" w:hAnsi="Times New Roman"/>
          <w:color w:val="000000" w:themeColor="text1"/>
          <w:sz w:val="24"/>
          <w:szCs w:val="32"/>
          <w14:textFill>
            <w14:solidFill>
              <w14:schemeClr w14:val="tx1"/>
            </w14:solidFill>
          </w14:textFill>
        </w:rPr>
        <w:sectPr>
          <w:headerReference r:id="rId8" w:type="first"/>
          <w:headerReference r:id="rId7" w:type="default"/>
          <w:pgSz w:w="11906" w:h="16838"/>
          <w:pgMar w:top="1440" w:right="1440" w:bottom="1440" w:left="1440" w:header="851" w:footer="992" w:gutter="0"/>
          <w:cols w:space="720" w:num="1"/>
          <w:titlePg/>
          <w:docGrid w:linePitch="312" w:charSpace="0"/>
        </w:sectPr>
      </w:pPr>
      <w:bookmarkStart w:id="246" w:name="_Toc441844098"/>
      <w:bookmarkStart w:id="247" w:name="_Toc396137263"/>
      <w:bookmarkStart w:id="248" w:name="_Toc425348171"/>
    </w:p>
    <w:bookmarkEnd w:id="246"/>
    <w:bookmarkEnd w:id="247"/>
    <w:bookmarkEnd w:id="248"/>
    <w:p>
      <w:pPr>
        <w:pStyle w:val="3"/>
        <w:jc w:val="center"/>
        <w:rPr>
          <w:rFonts w:ascii="Times New Roman" w:hAnsi="Times New Roman"/>
          <w:color w:val="000000" w:themeColor="text1"/>
          <w14:textFill>
            <w14:solidFill>
              <w14:schemeClr w14:val="tx1"/>
            </w14:solidFill>
          </w14:textFill>
        </w:rPr>
      </w:pPr>
      <w:bookmarkStart w:id="249" w:name="_Toc441844110"/>
    </w:p>
    <w:p>
      <w:pPr>
        <w:pStyle w:val="3"/>
        <w:jc w:val="center"/>
        <w:rPr>
          <w:rFonts w:ascii="Times New Roman" w:hAnsi="Times New Roman"/>
          <w:color w:val="000000" w:themeColor="text1"/>
          <w14:textFill>
            <w14:solidFill>
              <w14:schemeClr w14:val="tx1"/>
            </w14:solidFill>
          </w14:textFill>
        </w:rPr>
      </w:pPr>
    </w:p>
    <w:p>
      <w:pPr>
        <w:pStyle w:val="3"/>
        <w:jc w:val="center"/>
        <w:rPr>
          <w:rFonts w:ascii="Times New Roman" w:hAnsi="Times New Roman"/>
          <w:color w:val="000000" w:themeColor="text1"/>
          <w14:textFill>
            <w14:solidFill>
              <w14:schemeClr w14:val="tx1"/>
            </w14:solidFill>
          </w14:textFill>
        </w:rPr>
      </w:pPr>
    </w:p>
    <w:p>
      <w:pPr>
        <w:pStyle w:val="3"/>
        <w:jc w:val="center"/>
        <w:rPr>
          <w:rFonts w:ascii="Times New Roman" w:hAnsi="Times New Roman"/>
          <w:color w:val="000000" w:themeColor="text1"/>
          <w14:textFill>
            <w14:solidFill>
              <w14:schemeClr w14:val="tx1"/>
            </w14:solidFill>
          </w14:textFill>
        </w:rPr>
      </w:pPr>
    </w:p>
    <w:p>
      <w:pPr>
        <w:pStyle w:val="3"/>
        <w:jc w:val="center"/>
        <w:rPr>
          <w:rFonts w:ascii="Times New Roman" w:hAnsi="Times New Roman"/>
          <w:color w:val="000000" w:themeColor="text1"/>
          <w14:textFill>
            <w14:solidFill>
              <w14:schemeClr w14:val="tx1"/>
            </w14:solidFill>
          </w14:textFill>
        </w:rPr>
      </w:pPr>
    </w:p>
    <w:p>
      <w:pPr>
        <w:pStyle w:val="3"/>
        <w:jc w:val="center"/>
        <w:rPr>
          <w:rFonts w:ascii="Times New Roman" w:hAnsi="Times New Roman"/>
          <w:color w:val="000000" w:themeColor="text1"/>
          <w14:textFill>
            <w14:solidFill>
              <w14:schemeClr w14:val="tx1"/>
            </w14:solidFill>
          </w14:textFill>
        </w:rPr>
        <w:sectPr>
          <w:headerReference r:id="rId10" w:type="first"/>
          <w:headerReference r:id="rId9" w:type="default"/>
          <w:footerReference r:id="rId11" w:type="default"/>
          <w:pgSz w:w="11906" w:h="16838"/>
          <w:pgMar w:top="1440" w:right="1800" w:bottom="1440" w:left="1800" w:header="851" w:footer="992" w:gutter="0"/>
          <w:cols w:space="425" w:num="1"/>
          <w:docGrid w:type="lines" w:linePitch="312" w:charSpace="0"/>
        </w:sectPr>
      </w:pPr>
      <w:bookmarkStart w:id="250" w:name="_Toc23507"/>
      <w:bookmarkStart w:id="251" w:name="_Toc538"/>
      <w:bookmarkStart w:id="252" w:name="_Toc13562"/>
      <w:r>
        <w:rPr>
          <w:rFonts w:hint="eastAsia" w:ascii="Times New Roman" w:hAnsi="Times New Roman"/>
          <w:color w:val="000000" w:themeColor="text1"/>
          <w14:textFill>
            <w14:solidFill>
              <w14:schemeClr w14:val="tx1"/>
            </w14:solidFill>
          </w14:textFill>
        </w:rPr>
        <w:t>第</w:t>
      </w:r>
      <w:r>
        <w:rPr>
          <w:rFonts w:hint="eastAsia" w:ascii="Times New Roman" w:hAnsi="Times New Roman"/>
          <w:color w:val="000000" w:themeColor="text1"/>
          <w:lang w:val="en-US"/>
          <w14:textFill>
            <w14:solidFill>
              <w14:schemeClr w14:val="tx1"/>
            </w14:solidFill>
          </w14:textFill>
        </w:rPr>
        <w:t>四</w:t>
      </w:r>
      <w:r>
        <w:rPr>
          <w:rFonts w:hint="eastAsia" w:ascii="Times New Roman" w:hAnsi="Times New Roman"/>
          <w:color w:val="000000" w:themeColor="text1"/>
          <w14:textFill>
            <w14:solidFill>
              <w14:schemeClr w14:val="tx1"/>
            </w14:solidFill>
          </w14:textFill>
        </w:rPr>
        <w:t>章</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合同格式</w:t>
      </w:r>
      <w:bookmarkEnd w:id="249"/>
      <w:bookmarkEnd w:id="250"/>
      <w:bookmarkEnd w:id="251"/>
      <w:bookmarkEnd w:id="252"/>
    </w:p>
    <w:p>
      <w:pPr>
        <w:adjustRightInd w:val="0"/>
        <w:snapToGrid w:val="0"/>
        <w:jc w:val="center"/>
        <w:rPr>
          <w:rFonts w:ascii="宋体" w:hAnsi="宋体" w:cs="宋体"/>
          <w:b/>
          <w:bCs/>
          <w:color w:val="000000" w:themeColor="text1"/>
          <w:sz w:val="56"/>
          <w:szCs w:val="56"/>
          <w14:textFill>
            <w14:solidFill>
              <w14:schemeClr w14:val="tx1"/>
            </w14:solidFill>
          </w14:textFill>
        </w:rPr>
      </w:pPr>
    </w:p>
    <w:p>
      <w:pPr>
        <w:jc w:val="left"/>
        <w:rPr>
          <w:rFonts w:ascii="Arial" w:cs="Arial"/>
          <w:b/>
          <w:sz w:val="32"/>
          <w:szCs w:val="32"/>
        </w:rPr>
      </w:pPr>
      <w:r>
        <w:rPr>
          <w:rFonts w:ascii="Arial" w:cs="Arial"/>
          <w:b/>
          <w:sz w:val="32"/>
          <w:szCs w:val="32"/>
        </w:rPr>
        <w:t>合同编号：</w:t>
      </w:r>
    </w:p>
    <w:p>
      <w:pPr>
        <w:pStyle w:val="2"/>
      </w:pPr>
    </w:p>
    <w:p>
      <w:pPr>
        <w:jc w:val="center"/>
        <w:rPr>
          <w:rFonts w:ascii="Arial" w:hAnsi="Arial" w:eastAsia="黑体" w:cs="Arial"/>
          <w:sz w:val="24"/>
          <w:szCs w:val="28"/>
        </w:rPr>
      </w:pPr>
    </w:p>
    <w:p>
      <w:pPr>
        <w:jc w:val="center"/>
        <w:rPr>
          <w:rFonts w:ascii="宋体" w:hAnsi="宋体" w:cs="Arial"/>
          <w:b/>
          <w:sz w:val="32"/>
          <w:szCs w:val="32"/>
        </w:rPr>
      </w:pPr>
    </w:p>
    <w:p>
      <w:pPr>
        <w:jc w:val="center"/>
        <w:rPr>
          <w:rFonts w:ascii="宋体" w:hAnsi="宋体" w:cs="Arial"/>
          <w:b/>
          <w:sz w:val="32"/>
          <w:szCs w:val="32"/>
        </w:rPr>
      </w:pPr>
      <w:r>
        <w:rPr>
          <w:rFonts w:hint="eastAsia" w:ascii="宋体" w:hAnsi="宋体" w:cs="Arial"/>
          <w:b/>
          <w:sz w:val="32"/>
          <w:szCs w:val="32"/>
        </w:rPr>
        <w:t xml:space="preserve">                     </w:t>
      </w:r>
      <w:r>
        <w:rPr>
          <w:rFonts w:hint="eastAsia" w:ascii="宋体" w:hAnsi="宋体" w:cs="宋体"/>
          <w:b/>
          <w:sz w:val="32"/>
          <w:szCs w:val="32"/>
        </w:rPr>
        <w:t xml:space="preserve"> </w:t>
      </w:r>
    </w:p>
    <w:p>
      <w:pPr>
        <w:rPr>
          <w:rFonts w:ascii="宋体" w:hAnsi="宋体" w:cs="Arial"/>
          <w:b/>
          <w:bCs/>
          <w:sz w:val="24"/>
          <w:szCs w:val="28"/>
        </w:rPr>
      </w:pPr>
    </w:p>
    <w:p>
      <w:pPr>
        <w:pStyle w:val="3"/>
        <w:ind w:firstLine="275" w:firstLineChars="38"/>
        <w:jc w:val="center"/>
        <w:rPr>
          <w:rFonts w:ascii="黑体" w:hAnsi="黑体"/>
          <w:sz w:val="72"/>
          <w:szCs w:val="72"/>
        </w:rPr>
      </w:pPr>
      <w:bookmarkStart w:id="253" w:name="_Toc1482"/>
      <w:r>
        <w:rPr>
          <w:rFonts w:hint="eastAsia" w:ascii="黑体" w:hAnsi="黑体"/>
          <w:sz w:val="72"/>
          <w:szCs w:val="72"/>
        </w:rPr>
        <w:t>服务合同</w:t>
      </w:r>
      <w:bookmarkEnd w:id="253"/>
    </w:p>
    <w:p>
      <w:pPr>
        <w:ind w:firstLine="420"/>
      </w:pPr>
    </w:p>
    <w:p>
      <w:pPr>
        <w:ind w:left="42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（数据中心暖通空调水系统加药水处理一体化服务采购项目）</w:t>
      </w:r>
    </w:p>
    <w:p>
      <w:pPr>
        <w:ind w:left="420"/>
        <w:rPr>
          <w:sz w:val="36"/>
          <w:szCs w:val="36"/>
        </w:rPr>
      </w:pPr>
    </w:p>
    <w:p>
      <w:pPr>
        <w:ind w:left="420"/>
        <w:rPr>
          <w:rFonts w:eastAsia="等线"/>
        </w:rPr>
      </w:pPr>
      <w:r>
        <w:rPr>
          <w:rFonts w:hint="eastAsia"/>
        </w:rPr>
        <w:t xml:space="preserve"> </w:t>
      </w:r>
    </w:p>
    <w:p>
      <w:pPr>
        <w:ind w:left="420"/>
        <w:rPr>
          <w:rFonts w:eastAsia="等线"/>
        </w:rPr>
      </w:pPr>
    </w:p>
    <w:p>
      <w:pPr>
        <w:ind w:left="420"/>
      </w:pPr>
    </w:p>
    <w:p>
      <w:pPr>
        <w:jc w:val="left"/>
        <w:rPr>
          <w:rFonts w:ascii="黑体" w:eastAsia="黑体"/>
          <w:b/>
          <w:sz w:val="48"/>
          <w:szCs w:val="48"/>
        </w:rPr>
      </w:pPr>
    </w:p>
    <w:p>
      <w:pPr>
        <w:ind w:firstLine="1606" w:firstLineChars="500"/>
        <w:jc w:val="left"/>
        <w:rPr>
          <w:rFonts w:ascii="Arial" w:hAnsi="Arial" w:cs="Arial"/>
          <w:b/>
          <w:sz w:val="32"/>
          <w:szCs w:val="32"/>
        </w:rPr>
      </w:pPr>
      <w:r>
        <w:rPr>
          <w:rFonts w:ascii="Arial" w:hAnsi="Arial" w:cs="Arial"/>
          <w:b/>
          <w:sz w:val="32"/>
          <w:szCs w:val="32"/>
        </w:rPr>
        <w:t>甲方：</w:t>
      </w:r>
      <w:r>
        <w:rPr>
          <w:rFonts w:hint="eastAsia" w:ascii="Arial" w:hAnsi="Arial" w:cs="Arial"/>
          <w:b/>
          <w:sz w:val="32"/>
          <w:szCs w:val="32"/>
        </w:rPr>
        <w:t>东莞市数据互联有限公司</w:t>
      </w:r>
    </w:p>
    <w:p>
      <w:pPr>
        <w:jc w:val="left"/>
        <w:rPr>
          <w:rFonts w:ascii="Arial" w:hAnsi="Arial" w:cs="Arial"/>
          <w:b/>
          <w:sz w:val="32"/>
          <w:szCs w:val="32"/>
        </w:rPr>
      </w:pPr>
      <w:r>
        <w:rPr>
          <w:rFonts w:ascii="Arial" w:hAnsi="Arial" w:cs="Arial"/>
          <w:b/>
          <w:sz w:val="32"/>
          <w:szCs w:val="32"/>
        </w:rPr>
        <w:t xml:space="preserve"> </w:t>
      </w:r>
    </w:p>
    <w:p>
      <w:pPr>
        <w:ind w:firstLine="1606" w:firstLineChars="500"/>
        <w:jc w:val="left"/>
        <w:rPr>
          <w:rFonts w:ascii="黑体" w:eastAsia="黑体"/>
          <w:b/>
          <w:sz w:val="32"/>
          <w:szCs w:val="32"/>
        </w:rPr>
      </w:pPr>
      <w:r>
        <w:rPr>
          <w:rFonts w:ascii="Arial" w:hAnsi="Arial" w:cs="Arial"/>
          <w:b/>
          <w:sz w:val="32"/>
          <w:szCs w:val="32"/>
        </w:rPr>
        <w:t>乙方：</w:t>
      </w: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sz w:val="32"/>
          <w:szCs w:val="32"/>
        </w:rPr>
      </w:pPr>
      <w:r>
        <w:rPr>
          <w:rFonts w:eastAsia="黑体"/>
          <w:sz w:val="32"/>
          <w:szCs w:val="32"/>
        </w:rPr>
        <w:t>202</w:t>
      </w:r>
      <w:r>
        <w:rPr>
          <w:rFonts w:hint="eastAsia" w:eastAsia="黑体"/>
          <w:sz w:val="32"/>
          <w:szCs w:val="32"/>
        </w:rPr>
        <w:t>2</w:t>
      </w:r>
      <w:r>
        <w:rPr>
          <w:rFonts w:hint="eastAsia" w:ascii="黑体" w:eastAsia="黑体"/>
          <w:sz w:val="32"/>
          <w:szCs w:val="32"/>
        </w:rPr>
        <w:t>年</w:t>
      </w:r>
      <w:r>
        <w:rPr>
          <w:rFonts w:hint="eastAsia" w:ascii="黑体" w:eastAsia="黑体"/>
          <w:sz w:val="32"/>
          <w:szCs w:val="32"/>
          <w:u w:val="single"/>
        </w:rPr>
        <w:t xml:space="preserve"> </w:t>
      </w:r>
      <w:r>
        <w:rPr>
          <w:rFonts w:hint="eastAsia" w:eastAsia="黑体"/>
          <w:sz w:val="32"/>
          <w:szCs w:val="32"/>
          <w:u w:val="single"/>
        </w:rPr>
        <w:t xml:space="preserve">  </w:t>
      </w:r>
      <w:r>
        <w:rPr>
          <w:rFonts w:hint="eastAsia" w:ascii="黑体" w:eastAsia="黑体"/>
          <w:sz w:val="32"/>
          <w:szCs w:val="32"/>
        </w:rPr>
        <w:t>月</w:t>
      </w:r>
      <w:r>
        <w:rPr>
          <w:rFonts w:hint="eastAsia" w:ascii="Arial" w:hAnsi="Arial" w:cs="Arial"/>
        </w:rPr>
        <w:t xml:space="preserve">                                                 </w:t>
      </w:r>
    </w:p>
    <w:p>
      <w:pPr>
        <w:rPr>
          <w:rFonts w:ascii="Arial" w:hAnsi="Arial" w:cs="Arial"/>
          <w:b/>
          <w:sz w:val="24"/>
        </w:rPr>
      </w:pPr>
    </w:p>
    <w:p>
      <w:pPr>
        <w:rPr>
          <w:rFonts w:ascii="Arial" w:hAnsi="Arial" w:cs="Arial"/>
          <w:b/>
          <w:sz w:val="24"/>
        </w:rPr>
      </w:pPr>
    </w:p>
    <w:p>
      <w:pPr>
        <w:rPr>
          <w:rFonts w:ascii="Arial" w:hAnsi="Arial" w:cs="Arial"/>
          <w:b/>
          <w:sz w:val="24"/>
        </w:rPr>
      </w:pPr>
      <w:r>
        <w:rPr>
          <w:rFonts w:ascii="Arial" w:hAnsi="Arial" w:cs="Arial"/>
          <w:b/>
          <w:sz w:val="24"/>
        </w:rPr>
        <w:t>甲方：</w:t>
      </w:r>
      <w:r>
        <w:rPr>
          <w:rFonts w:hint="eastAsia" w:ascii="Arial" w:hAnsi="Arial" w:cs="Arial"/>
          <w:b/>
          <w:sz w:val="24"/>
        </w:rPr>
        <w:t>东莞市数据互联有限公司</w:t>
      </w:r>
    </w:p>
    <w:p>
      <w:pPr>
        <w:spacing w:line="240" w:lineRule="exact"/>
        <w:rPr>
          <w:rFonts w:ascii="Arial" w:hAnsi="Arial" w:cs="Arial"/>
          <w:b/>
          <w:sz w:val="24"/>
        </w:rPr>
      </w:pPr>
      <w:r>
        <w:rPr>
          <w:rFonts w:ascii="Arial" w:hAnsi="Arial" w:cs="Arial"/>
          <w:b/>
          <w:sz w:val="24"/>
        </w:rPr>
        <w:t xml:space="preserve"> </w:t>
      </w:r>
    </w:p>
    <w:p>
      <w:pPr>
        <w:rPr>
          <w:rFonts w:ascii="Arial" w:hAnsi="Arial" w:cs="Arial"/>
          <w:b/>
          <w:sz w:val="24"/>
        </w:rPr>
      </w:pPr>
      <w:r>
        <w:rPr>
          <w:rFonts w:ascii="Arial" w:hAnsi="Arial" w:cs="Arial"/>
          <w:b/>
          <w:sz w:val="24"/>
        </w:rPr>
        <w:t>乙方：</w:t>
      </w:r>
      <w:r>
        <w:rPr>
          <w:rFonts w:hint="eastAsia" w:ascii="Arial" w:hAnsi="Arial" w:cs="Arial"/>
          <w:b/>
          <w:sz w:val="24"/>
        </w:rPr>
        <w:t xml:space="preserve"> </w:t>
      </w:r>
    </w:p>
    <w:p>
      <w:pPr>
        <w:ind w:firstLine="420"/>
        <w:rPr>
          <w:rFonts w:ascii="Arial" w:hAnsi="Arial" w:cs="Arial"/>
        </w:rPr>
      </w:pPr>
    </w:p>
    <w:p>
      <w:pPr>
        <w:ind w:firstLine="420"/>
        <w:rPr>
          <w:rFonts w:ascii="Arial" w:hAnsi="Arial" w:cs="Arial"/>
        </w:rPr>
      </w:pPr>
    </w:p>
    <w:p>
      <w:pPr>
        <w:ind w:firstLine="420"/>
        <w:rPr>
          <w:rFonts w:ascii="Arial" w:hAnsi="Arial" w:cs="Arial"/>
        </w:rPr>
      </w:pPr>
      <w:r>
        <w:rPr>
          <w:rFonts w:ascii="Arial" w:hAnsi="Arial" w:cs="Arial"/>
        </w:rPr>
        <w:t>根据《中华人民共和国</w:t>
      </w:r>
      <w:r>
        <w:rPr>
          <w:rFonts w:hint="eastAsia" w:ascii="Arial" w:hAnsi="Arial" w:cs="Arial"/>
        </w:rPr>
        <w:t>民典</w:t>
      </w:r>
      <w:r>
        <w:rPr>
          <w:rFonts w:ascii="Arial" w:hAnsi="Arial" w:cs="Arial"/>
        </w:rPr>
        <w:t>法》及有关规定，经甲、乙双方共同友好协商，甲方委托乙方对甲方</w:t>
      </w:r>
      <w:r>
        <w:rPr>
          <w:rFonts w:hint="eastAsia" w:ascii="Arial" w:hAnsi="Arial" w:cs="Arial"/>
        </w:rPr>
        <w:t>管理</w:t>
      </w:r>
      <w:r>
        <w:rPr>
          <w:rFonts w:ascii="Arial" w:hAnsi="Arial" w:cs="Arial"/>
        </w:rPr>
        <w:t>的</w:t>
      </w:r>
      <w:r>
        <w:rPr>
          <w:rFonts w:hint="eastAsia" w:ascii="Arial" w:hAnsi="Arial" w:cs="Arial"/>
        </w:rPr>
        <w:t>中央</w:t>
      </w:r>
      <w:r>
        <w:rPr>
          <w:rFonts w:ascii="Arial" w:hAnsi="Arial" w:cs="Arial"/>
        </w:rPr>
        <w:t>空调循环水系统实施水质处理</w:t>
      </w:r>
      <w:r>
        <w:rPr>
          <w:rFonts w:hint="eastAsia" w:ascii="Arial" w:hAnsi="Arial" w:cs="Arial"/>
        </w:rPr>
        <w:t>服务</w:t>
      </w:r>
      <w:r>
        <w:rPr>
          <w:rFonts w:ascii="Arial" w:hAnsi="Arial" w:cs="Arial"/>
        </w:rPr>
        <w:t>，双方就其</w:t>
      </w:r>
      <w:r>
        <w:rPr>
          <w:rFonts w:hint="eastAsia" w:ascii="Arial" w:hAnsi="Arial" w:cs="Arial"/>
        </w:rPr>
        <w:t>服务</w:t>
      </w:r>
      <w:r>
        <w:rPr>
          <w:rFonts w:ascii="Arial" w:hAnsi="Arial" w:cs="Arial"/>
        </w:rPr>
        <w:t>内容签订本合同并共同遵守。</w:t>
      </w:r>
    </w:p>
    <w:p>
      <w:pPr>
        <w:numPr>
          <w:ilvl w:val="0"/>
          <w:numId w:val="8"/>
        </w:numPr>
        <w:tabs>
          <w:tab w:val="clear" w:pos="1500"/>
        </w:tabs>
        <w:ind w:left="840" w:hanging="870"/>
        <w:rPr>
          <w:rFonts w:ascii="Arial" w:hAnsi="Arial" w:cs="Arial"/>
          <w:b/>
        </w:rPr>
      </w:pPr>
      <w:r>
        <w:rPr>
          <w:rFonts w:hint="eastAsia" w:ascii="Arial" w:hAnsi="Arial" w:cs="Arial"/>
          <w:b/>
        </w:rPr>
        <w:t>服务</w:t>
      </w:r>
      <w:r>
        <w:rPr>
          <w:rFonts w:ascii="Arial" w:hAnsi="Arial" w:cs="Arial"/>
          <w:b/>
        </w:rPr>
        <w:t>内容</w:t>
      </w:r>
      <w:r>
        <w:rPr>
          <w:rFonts w:hint="eastAsia" w:ascii="宋体" w:hAnsi="宋体" w:cs="宋体"/>
          <w:b/>
        </w:rPr>
        <w:t>及目标</w:t>
      </w:r>
    </w:p>
    <w:p>
      <w:pPr>
        <w:ind w:firstLine="420"/>
        <w:rPr>
          <w:rFonts w:ascii="Arial" w:hAnsi="Arial" w:cs="Arial"/>
        </w:rPr>
      </w:pPr>
      <w:r>
        <w:rPr>
          <w:rFonts w:hint="eastAsia" w:ascii="宋体" w:hAnsi="宋体" w:cs="宋体"/>
        </w:rPr>
        <w:t>甲方委托乙方对东莞交投数据中心的机房暖通空调水系统进行水质处理服务，确保机房暖通空调水系统的水质达到系统运行要求，避免由于水质问题造成暖通管道及制冷设备的管内壁受损及水泵部件损坏。</w:t>
      </w:r>
    </w:p>
    <w:p>
      <w:pPr>
        <w:ind w:left="420"/>
        <w:rPr>
          <w:rFonts w:ascii="Arial" w:hAnsi="Arial" w:cs="Arial"/>
        </w:rPr>
      </w:pPr>
      <w:r>
        <w:rPr>
          <w:rFonts w:hint="eastAsia" w:ascii="Arial" w:hAnsi="Arial" w:cs="Arial"/>
        </w:rPr>
        <w:t>设备情况：</w:t>
      </w:r>
    </w:p>
    <w:p>
      <w:pPr>
        <w:autoSpaceDE w:val="0"/>
        <w:autoSpaceDN w:val="0"/>
        <w:adjustRightInd w:val="0"/>
        <w:spacing w:line="460" w:lineRule="exact"/>
        <w:ind w:left="1575" w:leftChars="250" w:hanging="1050" w:hangingChars="500"/>
        <w:rPr>
          <w:rFonts w:ascii="Arial" w:hAnsi="Arial" w:cs="Arial"/>
          <w:bCs/>
          <w:kern w:val="0"/>
        </w:rPr>
      </w:pPr>
      <w:r>
        <w:rPr>
          <w:rFonts w:ascii="Arial" w:hAnsi="宋体" w:cs="Arial"/>
          <w:bCs/>
          <w:kern w:val="0"/>
        </w:rPr>
        <w:t>冷水机组</w:t>
      </w:r>
      <w:r>
        <w:rPr>
          <w:rFonts w:ascii="Arial" w:hAnsi="Arial" w:cs="Arial"/>
          <w:bCs/>
          <w:kern w:val="0"/>
        </w:rPr>
        <w:t xml:space="preserve"> 1300</w:t>
      </w:r>
      <w:r>
        <w:rPr>
          <w:rFonts w:hint="eastAsia" w:ascii="Arial" w:hAnsi="Arial" w:cs="Arial"/>
          <w:bCs/>
          <w:kern w:val="0"/>
        </w:rPr>
        <w:t xml:space="preserve"> </w:t>
      </w:r>
      <w:r>
        <w:rPr>
          <w:rFonts w:ascii="Arial" w:hAnsi="Arial" w:cs="Arial"/>
          <w:bCs/>
          <w:kern w:val="0"/>
        </w:rPr>
        <w:t>RT</w:t>
      </w:r>
      <w:r>
        <w:rPr>
          <w:rFonts w:ascii="宋体" w:hAnsi="宋体" w:cs="Arial"/>
          <w:bCs/>
          <w:kern w:val="0"/>
        </w:rPr>
        <w:t>/</w:t>
      </w:r>
      <w:r>
        <w:rPr>
          <w:rFonts w:ascii="Arial" w:hAnsi="宋体" w:cs="Arial"/>
          <w:bCs/>
          <w:kern w:val="0"/>
        </w:rPr>
        <w:t>台</w:t>
      </w:r>
      <w:r>
        <w:rPr>
          <w:rFonts w:ascii="宋体" w:hAnsi="宋体" w:cs="Arial"/>
          <w:bCs/>
          <w:kern w:val="0"/>
        </w:rPr>
        <w:t>×</w:t>
      </w:r>
      <w:r>
        <w:rPr>
          <w:rFonts w:ascii="Arial" w:hAnsi="Arial" w:cs="Arial"/>
          <w:bCs/>
          <w:kern w:val="0"/>
        </w:rPr>
        <w:t>1</w:t>
      </w:r>
      <w:r>
        <w:rPr>
          <w:rFonts w:ascii="Arial" w:hAnsi="宋体" w:cs="Arial"/>
          <w:bCs/>
          <w:kern w:val="0"/>
        </w:rPr>
        <w:t>台，</w:t>
      </w:r>
      <w:r>
        <w:rPr>
          <w:rFonts w:hint="eastAsia" w:ascii="Arial" w:hAnsi="宋体" w:cs="Arial"/>
          <w:bCs/>
          <w:kern w:val="0"/>
        </w:rPr>
        <w:t xml:space="preserve"> </w:t>
      </w:r>
      <w:r>
        <w:rPr>
          <w:rFonts w:ascii="Arial" w:hAnsi="宋体" w:cs="Arial"/>
          <w:bCs/>
          <w:kern w:val="0"/>
        </w:rPr>
        <w:t>冷水机组</w:t>
      </w:r>
      <w:r>
        <w:rPr>
          <w:rFonts w:ascii="Arial" w:hAnsi="Arial" w:cs="Arial"/>
          <w:bCs/>
          <w:kern w:val="0"/>
        </w:rPr>
        <w:t xml:space="preserve"> 650</w:t>
      </w:r>
      <w:r>
        <w:rPr>
          <w:rFonts w:hint="eastAsia" w:ascii="Arial" w:hAnsi="Arial" w:cs="Arial"/>
          <w:bCs/>
          <w:kern w:val="0"/>
        </w:rPr>
        <w:t xml:space="preserve"> </w:t>
      </w:r>
      <w:r>
        <w:rPr>
          <w:rFonts w:ascii="Arial" w:hAnsi="Arial" w:cs="Arial"/>
          <w:bCs/>
          <w:kern w:val="0"/>
        </w:rPr>
        <w:t>RT</w:t>
      </w:r>
      <w:r>
        <w:rPr>
          <w:rFonts w:ascii="宋体" w:hAnsi="宋体" w:cs="Arial"/>
          <w:bCs/>
          <w:kern w:val="0"/>
        </w:rPr>
        <w:t>/</w:t>
      </w:r>
      <w:r>
        <w:rPr>
          <w:rFonts w:ascii="Arial" w:hAnsi="宋体" w:cs="Arial"/>
          <w:bCs/>
          <w:kern w:val="0"/>
        </w:rPr>
        <w:t>台</w:t>
      </w:r>
      <w:r>
        <w:rPr>
          <w:rFonts w:ascii="宋体" w:hAnsi="宋体" w:cs="Arial"/>
          <w:bCs/>
          <w:kern w:val="0"/>
        </w:rPr>
        <w:t>×</w:t>
      </w:r>
      <w:r>
        <w:rPr>
          <w:rFonts w:ascii="Arial" w:hAnsi="Arial" w:cs="Arial"/>
          <w:bCs/>
          <w:kern w:val="0"/>
        </w:rPr>
        <w:t>2</w:t>
      </w:r>
      <w:r>
        <w:rPr>
          <w:rFonts w:ascii="Arial" w:hAnsi="宋体" w:cs="Arial"/>
          <w:bCs/>
          <w:kern w:val="0"/>
        </w:rPr>
        <w:t>台；</w:t>
      </w:r>
      <w:r>
        <w:rPr>
          <w:rFonts w:hint="eastAsia" w:ascii="Arial" w:hAnsi="宋体" w:cs="Arial"/>
          <w:bCs/>
          <w:kern w:val="0"/>
        </w:rPr>
        <w:t xml:space="preserve"> </w:t>
      </w:r>
      <w:r>
        <w:rPr>
          <w:rFonts w:ascii="Arial" w:hAnsi="宋体" w:cs="Arial"/>
        </w:rPr>
        <w:t>板换设备</w:t>
      </w:r>
      <w:r>
        <w:rPr>
          <w:rFonts w:ascii="Arial" w:hAnsi="Arial" w:cs="Arial"/>
        </w:rPr>
        <w:t xml:space="preserve"> 4571</w:t>
      </w:r>
      <w:r>
        <w:rPr>
          <w:rFonts w:hint="eastAsia" w:ascii="Arial" w:hAnsi="Arial" w:cs="Arial"/>
        </w:rPr>
        <w:t xml:space="preserve"> </w:t>
      </w:r>
      <w:r>
        <w:rPr>
          <w:rFonts w:ascii="Arial" w:hAnsi="Arial" w:cs="Arial"/>
        </w:rPr>
        <w:t>kw</w:t>
      </w:r>
      <w:r>
        <w:rPr>
          <w:rFonts w:ascii="宋体" w:hAnsi="宋体" w:cs="Arial"/>
          <w:bCs/>
          <w:kern w:val="0"/>
        </w:rPr>
        <w:t>/</w:t>
      </w:r>
      <w:r>
        <w:rPr>
          <w:rFonts w:ascii="Arial" w:hAnsi="宋体" w:cs="Arial"/>
          <w:bCs/>
          <w:kern w:val="0"/>
        </w:rPr>
        <w:t>台</w:t>
      </w:r>
      <w:r>
        <w:rPr>
          <w:rFonts w:ascii="宋体" w:hAnsi="宋体" w:cs="Arial"/>
          <w:bCs/>
          <w:kern w:val="0"/>
        </w:rPr>
        <w:t>×</w:t>
      </w:r>
      <w:r>
        <w:rPr>
          <w:rFonts w:ascii="Arial" w:hAnsi="Arial" w:cs="Arial"/>
          <w:bCs/>
          <w:kern w:val="0"/>
        </w:rPr>
        <w:t>2</w:t>
      </w:r>
      <w:r>
        <w:rPr>
          <w:rFonts w:ascii="Arial" w:hAnsi="宋体" w:cs="Arial"/>
          <w:bCs/>
          <w:kern w:val="0"/>
        </w:rPr>
        <w:t>台；</w:t>
      </w:r>
    </w:p>
    <w:p>
      <w:pPr>
        <w:autoSpaceDE w:val="0"/>
        <w:autoSpaceDN w:val="0"/>
        <w:adjustRightInd w:val="0"/>
        <w:spacing w:line="460" w:lineRule="exact"/>
        <w:ind w:left="1575" w:leftChars="250" w:hanging="1050" w:hangingChars="500"/>
        <w:rPr>
          <w:rFonts w:ascii="Arial" w:hAnsi="Arial" w:cs="Arial"/>
          <w:bCs/>
          <w:kern w:val="0"/>
        </w:rPr>
      </w:pPr>
      <w:r>
        <w:rPr>
          <w:rFonts w:ascii="Arial" w:hAnsi="宋体" w:cs="Arial"/>
          <w:bCs/>
          <w:kern w:val="0"/>
        </w:rPr>
        <w:t>冷凝器在线清洗装置</w:t>
      </w:r>
      <w:r>
        <w:rPr>
          <w:rFonts w:ascii="Arial" w:hAnsi="Arial" w:cs="Arial"/>
          <w:bCs/>
          <w:kern w:val="0"/>
        </w:rPr>
        <w:t xml:space="preserve"> </w:t>
      </w:r>
      <w:r>
        <w:rPr>
          <w:rFonts w:ascii="宋体" w:hAnsi="宋体" w:cs="Arial"/>
          <w:bCs/>
          <w:kern w:val="0"/>
        </w:rPr>
        <w:t>×</w:t>
      </w:r>
      <w:r>
        <w:rPr>
          <w:rFonts w:ascii="Arial" w:hAnsi="Arial" w:cs="Arial"/>
          <w:bCs/>
          <w:kern w:val="0"/>
        </w:rPr>
        <w:t>3</w:t>
      </w:r>
      <w:r>
        <w:rPr>
          <w:rFonts w:ascii="Arial" w:hAnsi="宋体" w:cs="Arial"/>
          <w:bCs/>
          <w:kern w:val="0"/>
        </w:rPr>
        <w:t>台；</w:t>
      </w:r>
      <w:r>
        <w:rPr>
          <w:rFonts w:hint="eastAsia" w:ascii="Arial" w:hAnsi="宋体" w:cs="Arial"/>
          <w:bCs/>
          <w:kern w:val="0"/>
        </w:rPr>
        <w:t xml:space="preserve"> </w:t>
      </w:r>
      <w:r>
        <w:rPr>
          <w:rFonts w:ascii="Arial" w:hAnsi="宋体" w:cs="Arial"/>
          <w:bCs/>
          <w:kern w:val="0"/>
        </w:rPr>
        <w:t>冷却塔水清器</w:t>
      </w:r>
      <w:r>
        <w:rPr>
          <w:rFonts w:ascii="Arial" w:hAnsi="Arial" w:cs="Arial"/>
          <w:bCs/>
          <w:kern w:val="0"/>
        </w:rPr>
        <w:t xml:space="preserve"> </w:t>
      </w:r>
      <w:r>
        <w:rPr>
          <w:rFonts w:ascii="宋体" w:hAnsi="宋体" w:cs="Arial"/>
          <w:bCs/>
          <w:kern w:val="0"/>
        </w:rPr>
        <w:t>×</w:t>
      </w:r>
      <w:r>
        <w:rPr>
          <w:rFonts w:ascii="Arial" w:hAnsi="Arial" w:cs="Arial"/>
          <w:bCs/>
          <w:kern w:val="0"/>
        </w:rPr>
        <w:t>3</w:t>
      </w:r>
      <w:r>
        <w:rPr>
          <w:rFonts w:ascii="Arial" w:hAnsi="宋体" w:cs="Arial"/>
          <w:bCs/>
          <w:kern w:val="0"/>
        </w:rPr>
        <w:t>台；</w:t>
      </w:r>
    </w:p>
    <w:p>
      <w:pPr>
        <w:autoSpaceDE w:val="0"/>
        <w:autoSpaceDN w:val="0"/>
        <w:adjustRightInd w:val="0"/>
        <w:spacing w:line="460" w:lineRule="exact"/>
        <w:ind w:left="1575" w:leftChars="250" w:hanging="1050" w:hangingChars="500"/>
        <w:rPr>
          <w:rFonts w:ascii="Arial" w:hAnsi="Arial" w:cs="Arial"/>
          <w:bCs/>
          <w:kern w:val="0"/>
        </w:rPr>
      </w:pPr>
      <w:r>
        <w:rPr>
          <w:rFonts w:ascii="Arial" w:hAnsi="宋体" w:cs="Arial"/>
          <w:bCs/>
          <w:kern w:val="0"/>
        </w:rPr>
        <w:t>水泵</w:t>
      </w:r>
      <w:r>
        <w:rPr>
          <w:rFonts w:ascii="Arial" w:hAnsi="Arial" w:cs="Arial"/>
          <w:bCs/>
          <w:kern w:val="0"/>
        </w:rPr>
        <w:t>Y</w:t>
      </w:r>
      <w:r>
        <w:rPr>
          <w:rFonts w:ascii="Arial" w:hAnsi="宋体" w:cs="Arial"/>
          <w:bCs/>
          <w:kern w:val="0"/>
        </w:rPr>
        <w:t>型过滤器</w:t>
      </w:r>
      <w:r>
        <w:rPr>
          <w:rFonts w:ascii="Arial" w:hAnsi="Arial" w:cs="Arial"/>
          <w:bCs/>
          <w:kern w:val="0"/>
        </w:rPr>
        <w:t xml:space="preserve"> </w:t>
      </w:r>
      <w:r>
        <w:rPr>
          <w:rFonts w:ascii="宋体" w:hAnsi="宋体" w:cs="Arial"/>
          <w:bCs/>
          <w:kern w:val="0"/>
        </w:rPr>
        <w:t>×</w:t>
      </w:r>
      <w:r>
        <w:rPr>
          <w:rFonts w:ascii="Arial" w:hAnsi="Arial" w:cs="Arial"/>
          <w:bCs/>
          <w:kern w:val="0"/>
        </w:rPr>
        <w:t>10</w:t>
      </w:r>
      <w:r>
        <w:rPr>
          <w:rFonts w:ascii="Arial" w:hAnsi="宋体" w:cs="Arial"/>
          <w:bCs/>
          <w:kern w:val="0"/>
        </w:rPr>
        <w:t>台；</w:t>
      </w:r>
      <w:r>
        <w:rPr>
          <w:rFonts w:hint="eastAsia" w:ascii="Arial" w:hAnsi="宋体" w:cs="Arial"/>
          <w:bCs/>
          <w:kern w:val="0"/>
        </w:rPr>
        <w:t xml:space="preserve"> </w:t>
      </w:r>
      <w:r>
        <w:rPr>
          <w:rFonts w:ascii="Arial" w:hAnsi="宋体" w:cs="Arial"/>
          <w:bCs/>
          <w:kern w:val="0"/>
        </w:rPr>
        <w:t>末端机房空调</w:t>
      </w:r>
      <w:r>
        <w:rPr>
          <w:rFonts w:ascii="Arial" w:hAnsi="Arial" w:cs="Arial"/>
          <w:bCs/>
          <w:kern w:val="0"/>
        </w:rPr>
        <w:t>Y</w:t>
      </w:r>
      <w:r>
        <w:rPr>
          <w:rFonts w:ascii="Arial" w:hAnsi="宋体" w:cs="Arial"/>
          <w:bCs/>
          <w:kern w:val="0"/>
        </w:rPr>
        <w:t>型过滤器</w:t>
      </w:r>
      <w:r>
        <w:rPr>
          <w:rFonts w:ascii="Arial" w:hAnsi="Arial" w:cs="Arial"/>
          <w:bCs/>
          <w:kern w:val="0"/>
        </w:rPr>
        <w:t xml:space="preserve"> </w:t>
      </w:r>
      <w:r>
        <w:rPr>
          <w:rFonts w:ascii="宋体" w:hAnsi="宋体" w:cs="Arial"/>
          <w:bCs/>
          <w:kern w:val="0"/>
        </w:rPr>
        <w:t>×</w:t>
      </w:r>
      <w:r>
        <w:rPr>
          <w:rFonts w:ascii="Arial" w:hAnsi="Arial" w:cs="Arial"/>
          <w:bCs/>
          <w:kern w:val="0"/>
        </w:rPr>
        <w:t>34</w:t>
      </w:r>
      <w:r>
        <w:rPr>
          <w:rFonts w:ascii="Arial" w:hAnsi="宋体" w:cs="Arial"/>
          <w:bCs/>
          <w:kern w:val="0"/>
        </w:rPr>
        <w:t>台；</w:t>
      </w:r>
    </w:p>
    <w:p>
      <w:pPr>
        <w:autoSpaceDE w:val="0"/>
        <w:autoSpaceDN w:val="0"/>
        <w:adjustRightInd w:val="0"/>
        <w:spacing w:line="460" w:lineRule="exact"/>
        <w:ind w:left="1575" w:leftChars="250" w:hanging="1050" w:hangingChars="500"/>
        <w:rPr>
          <w:rFonts w:ascii="Arial" w:hAnsi="Arial" w:cs="Arial"/>
          <w:bCs/>
          <w:kern w:val="0"/>
        </w:rPr>
      </w:pPr>
      <w:r>
        <w:rPr>
          <w:rFonts w:hint="eastAsia" w:ascii="Arial" w:hAnsi="宋体" w:cs="Arial"/>
          <w:bCs/>
          <w:kern w:val="0"/>
        </w:rPr>
        <w:t>生活用水箱</w:t>
      </w:r>
      <w:r>
        <w:rPr>
          <w:rFonts w:ascii="Arial" w:hAnsi="Arial" w:cs="Arial"/>
          <w:bCs/>
          <w:kern w:val="0"/>
        </w:rPr>
        <w:t>50m³</w:t>
      </w:r>
      <w:r>
        <w:rPr>
          <w:rFonts w:ascii="宋体" w:hAnsi="宋体" w:cs="Arial"/>
          <w:bCs/>
          <w:kern w:val="0"/>
        </w:rPr>
        <w:t>/</w:t>
      </w:r>
      <w:r>
        <w:rPr>
          <w:rFonts w:ascii="Arial" w:hAnsi="宋体" w:cs="Arial"/>
          <w:bCs/>
          <w:kern w:val="0"/>
        </w:rPr>
        <w:t>个</w:t>
      </w:r>
      <w:r>
        <w:rPr>
          <w:rFonts w:ascii="宋体" w:hAnsi="宋体" w:cs="Arial"/>
          <w:bCs/>
          <w:kern w:val="0"/>
        </w:rPr>
        <w:t>×</w:t>
      </w:r>
      <w:r>
        <w:rPr>
          <w:rFonts w:hint="eastAsia" w:ascii="宋体" w:hAnsi="宋体" w:cs="Arial"/>
          <w:bCs/>
          <w:kern w:val="0"/>
        </w:rPr>
        <w:t>1</w:t>
      </w:r>
      <w:r>
        <w:rPr>
          <w:rFonts w:ascii="Arial" w:hAnsi="宋体" w:cs="Arial"/>
          <w:bCs/>
          <w:kern w:val="0"/>
        </w:rPr>
        <w:t>个；</w:t>
      </w:r>
      <w:r>
        <w:rPr>
          <w:rFonts w:hint="eastAsia" w:ascii="Arial" w:hAnsi="宋体" w:cs="Arial"/>
          <w:bCs/>
          <w:kern w:val="0"/>
        </w:rPr>
        <w:t xml:space="preserve"> </w:t>
      </w:r>
      <w:r>
        <w:rPr>
          <w:rFonts w:ascii="Arial" w:hAnsi="宋体" w:cs="Arial"/>
          <w:bCs/>
          <w:kern w:val="0"/>
        </w:rPr>
        <w:t>屋顶</w:t>
      </w:r>
      <w:r>
        <w:rPr>
          <w:rFonts w:ascii="Arial" w:hAnsi="Arial" w:cs="Arial"/>
          <w:bCs/>
          <w:kern w:val="0"/>
        </w:rPr>
        <w:t>BAC</w:t>
      </w:r>
      <w:r>
        <w:rPr>
          <w:rFonts w:ascii="Arial" w:hAnsi="宋体" w:cs="Arial"/>
          <w:bCs/>
          <w:kern w:val="0"/>
        </w:rPr>
        <w:t>冷却塔：</w:t>
      </w:r>
      <w:r>
        <w:rPr>
          <w:rFonts w:ascii="Arial" w:hAnsi="Arial" w:cs="Arial"/>
          <w:bCs/>
          <w:kern w:val="0"/>
        </w:rPr>
        <w:t>650m³</w:t>
      </w:r>
      <w:r>
        <w:rPr>
          <w:rFonts w:ascii="宋体" w:hAnsi="宋体" w:cs="Arial"/>
          <w:bCs/>
          <w:kern w:val="0"/>
        </w:rPr>
        <w:t>/</w:t>
      </w:r>
      <w:r>
        <w:rPr>
          <w:rFonts w:ascii="Arial" w:hAnsi="Arial" w:cs="Arial"/>
          <w:bCs/>
          <w:kern w:val="0"/>
        </w:rPr>
        <w:t>h/</w:t>
      </w:r>
      <w:r>
        <w:rPr>
          <w:rFonts w:ascii="Arial" w:hAnsi="宋体" w:cs="Arial"/>
          <w:bCs/>
          <w:kern w:val="0"/>
        </w:rPr>
        <w:t>台</w:t>
      </w:r>
      <w:r>
        <w:rPr>
          <w:rFonts w:ascii="宋体" w:hAnsi="宋体" w:cs="Arial"/>
          <w:bCs/>
          <w:kern w:val="0"/>
        </w:rPr>
        <w:t>×</w:t>
      </w:r>
      <w:r>
        <w:rPr>
          <w:rFonts w:ascii="Arial" w:hAnsi="Arial" w:cs="Arial"/>
          <w:bCs/>
          <w:kern w:val="0"/>
        </w:rPr>
        <w:t>4</w:t>
      </w:r>
      <w:r>
        <w:rPr>
          <w:rFonts w:ascii="Arial" w:hAnsi="宋体" w:cs="Arial"/>
          <w:bCs/>
          <w:kern w:val="0"/>
        </w:rPr>
        <w:t>台，</w:t>
      </w:r>
    </w:p>
    <w:p>
      <w:pPr>
        <w:autoSpaceDE w:val="0"/>
        <w:autoSpaceDN w:val="0"/>
        <w:adjustRightInd w:val="0"/>
        <w:spacing w:line="460" w:lineRule="exact"/>
        <w:ind w:left="1575" w:leftChars="250" w:hanging="1050" w:hangingChars="500"/>
        <w:rPr>
          <w:rFonts w:ascii="Arial" w:hAnsi="Arial" w:cs="Arial"/>
          <w:bCs/>
          <w:kern w:val="0"/>
        </w:rPr>
      </w:pPr>
      <w:r>
        <w:rPr>
          <w:rFonts w:ascii="Arial" w:hAnsi="宋体" w:cs="Arial"/>
          <w:bCs/>
          <w:kern w:val="0"/>
        </w:rPr>
        <w:t>屋顶空调补水水箱</w:t>
      </w:r>
      <w:r>
        <w:rPr>
          <w:rFonts w:ascii="Arial" w:hAnsi="Arial" w:cs="Arial"/>
          <w:bCs/>
          <w:kern w:val="0"/>
        </w:rPr>
        <w:t xml:space="preserve"> 50m³</w:t>
      </w:r>
      <w:r>
        <w:rPr>
          <w:rFonts w:ascii="宋体" w:hAnsi="宋体" w:cs="Arial"/>
          <w:bCs/>
          <w:kern w:val="0"/>
        </w:rPr>
        <w:t>/</w:t>
      </w:r>
      <w:r>
        <w:rPr>
          <w:rFonts w:ascii="Arial" w:hAnsi="宋体" w:cs="Arial"/>
          <w:bCs/>
          <w:kern w:val="0"/>
        </w:rPr>
        <w:t>个</w:t>
      </w:r>
      <w:r>
        <w:rPr>
          <w:rFonts w:ascii="宋体" w:hAnsi="宋体" w:cs="Arial"/>
          <w:bCs/>
          <w:kern w:val="0"/>
        </w:rPr>
        <w:t>×</w:t>
      </w:r>
      <w:r>
        <w:rPr>
          <w:rFonts w:ascii="Arial" w:hAnsi="Arial" w:cs="Arial"/>
          <w:bCs/>
          <w:kern w:val="0"/>
        </w:rPr>
        <w:t>1</w:t>
      </w:r>
      <w:r>
        <w:rPr>
          <w:rFonts w:ascii="Arial" w:hAnsi="宋体" w:cs="Arial"/>
          <w:bCs/>
          <w:kern w:val="0"/>
        </w:rPr>
        <w:t>个，</w:t>
      </w:r>
      <w:r>
        <w:rPr>
          <w:rFonts w:ascii="Arial" w:hAnsi="Arial" w:cs="Arial"/>
          <w:bCs/>
          <w:kern w:val="0"/>
        </w:rPr>
        <w:t xml:space="preserve"> </w:t>
      </w:r>
      <w:r>
        <w:rPr>
          <w:rFonts w:ascii="Arial" w:hAnsi="宋体" w:cs="Arial"/>
          <w:bCs/>
          <w:kern w:val="0"/>
        </w:rPr>
        <w:t>软化水箱：</w:t>
      </w:r>
      <w:r>
        <w:rPr>
          <w:rFonts w:ascii="Arial" w:hAnsi="Arial" w:cs="Arial"/>
          <w:bCs/>
          <w:kern w:val="0"/>
        </w:rPr>
        <w:t>1</w:t>
      </w:r>
      <w:r>
        <w:rPr>
          <w:rFonts w:ascii="Arial" w:hAnsi="宋体" w:cs="Arial"/>
          <w:bCs/>
          <w:kern w:val="0"/>
        </w:rPr>
        <w:t>个。</w:t>
      </w:r>
      <w:r>
        <w:rPr>
          <w:rFonts w:ascii="Arial" w:hAnsi="Arial" w:cs="Arial"/>
          <w:bCs/>
          <w:kern w:val="0"/>
        </w:rPr>
        <w:t xml:space="preserve"> </w:t>
      </w:r>
    </w:p>
    <w:p>
      <w:pPr>
        <w:numPr>
          <w:ilvl w:val="0"/>
          <w:numId w:val="8"/>
        </w:numPr>
        <w:tabs>
          <w:tab w:val="clear" w:pos="1500"/>
        </w:tabs>
        <w:ind w:left="840" w:hanging="870"/>
        <w:rPr>
          <w:rFonts w:ascii="Arial" w:hAnsi="Arial" w:cs="Arial"/>
          <w:b/>
        </w:rPr>
      </w:pPr>
      <w:r>
        <w:rPr>
          <w:rFonts w:ascii="Arial" w:hAnsi="Arial" w:cs="Arial"/>
          <w:b/>
        </w:rPr>
        <w:t>造价及付款方式</w:t>
      </w:r>
    </w:p>
    <w:p>
      <w:pPr>
        <w:numPr>
          <w:ilvl w:val="0"/>
          <w:numId w:val="9"/>
        </w:numPr>
        <w:ind w:left="840" w:hanging="420"/>
        <w:rPr>
          <w:rFonts w:ascii="Arial" w:hAnsi="Arial" w:cs="Arial"/>
        </w:rPr>
      </w:pPr>
      <w:r>
        <w:rPr>
          <w:rFonts w:ascii="Arial" w:hAnsi="Arial" w:cs="Arial"/>
        </w:rPr>
        <w:t>本合同总价为人民币</w:t>
      </w:r>
      <w:r>
        <w:rPr>
          <w:rFonts w:hint="eastAsia" w:ascii="Arial" w:hAnsi="Arial" w:cs="Arial"/>
          <w:u w:val="single"/>
        </w:rPr>
        <w:t xml:space="preserve">        </w:t>
      </w:r>
      <w:r>
        <w:rPr>
          <w:rFonts w:ascii="Arial" w:hAnsi="Arial" w:cs="Arial"/>
        </w:rPr>
        <w:t>元（大写：</w:t>
      </w:r>
      <w:r>
        <w:rPr>
          <w:rFonts w:hint="eastAsia" w:ascii="Arial" w:hAnsi="Arial" w:cs="Arial"/>
        </w:rPr>
        <w:t xml:space="preserve">  元整</w:t>
      </w:r>
      <w:r>
        <w:rPr>
          <w:rFonts w:ascii="Arial" w:hAnsi="Arial" w:cs="Arial"/>
        </w:rPr>
        <w:t>）</w:t>
      </w:r>
      <w:r>
        <w:rPr>
          <w:rFonts w:hint="eastAsia" w:ascii="宋体" w:hAnsi="宋体" w:cs="Arial"/>
        </w:rPr>
        <w:t>，</w:t>
      </w:r>
      <w:r>
        <w:rPr>
          <w:rFonts w:ascii="Arial" w:hAnsi="Arial" w:cs="Arial"/>
        </w:rPr>
        <w:t>含</w:t>
      </w:r>
      <w:r>
        <w:rPr>
          <w:rFonts w:hint="eastAsia" w:ascii="Arial" w:hAnsi="Arial" w:cs="Arial"/>
        </w:rPr>
        <w:t>6%增值税。</w:t>
      </w:r>
    </w:p>
    <w:p>
      <w:pPr>
        <w:numPr>
          <w:ilvl w:val="0"/>
          <w:numId w:val="0"/>
        </w:numPr>
        <w:tabs>
          <w:tab w:val="left" w:pos="502"/>
        </w:tabs>
        <w:spacing w:before="160"/>
        <w:ind w:left="0" w:firstLine="0"/>
        <w:jc w:val="left"/>
        <w:rPr>
          <w:rFonts w:ascii="Calibri" w:hAnsi="Calibri" w:cs="Times New Roman"/>
        </w:rPr>
      </w:pPr>
      <w:r>
        <w:rPr>
          <w:rFonts w:hint="eastAsia"/>
        </w:rPr>
        <w:t>2、付款方式：</w:t>
      </w:r>
      <w:r>
        <w:t>以</w:t>
      </w:r>
      <w:r>
        <w:rPr>
          <w:rFonts w:hint="eastAsia"/>
        </w:rPr>
        <w:t>季度</w:t>
      </w:r>
      <w:r>
        <w:t>为结算周期，</w:t>
      </w:r>
      <w:r>
        <w:rPr>
          <w:rFonts w:ascii="宋体" w:hAnsi="宋体" w:cs="宋体"/>
          <w:sz w:val="20"/>
          <w:szCs w:val="20"/>
        </w:rPr>
        <w:t>季度费用依</w:t>
      </w:r>
      <w:r>
        <w:rPr>
          <w:rFonts w:ascii="宋体" w:hAnsi="宋体" w:cs="宋体"/>
          <w:spacing w:val="-52"/>
          <w:sz w:val="20"/>
          <w:szCs w:val="20"/>
        </w:rPr>
        <w:t xml:space="preserve"> </w:t>
      </w:r>
      <w:r>
        <w:rPr>
          <w:rFonts w:ascii="宋体" w:hAnsi="宋体" w:cs="宋体"/>
          <w:sz w:val="20"/>
          <w:szCs w:val="20"/>
        </w:rPr>
        <w:t>3</w:t>
      </w:r>
      <w:r>
        <w:rPr>
          <w:rFonts w:ascii="宋体" w:hAnsi="宋体" w:cs="宋体"/>
          <w:spacing w:val="-51"/>
          <w:sz w:val="20"/>
          <w:szCs w:val="20"/>
        </w:rPr>
        <w:t xml:space="preserve"> </w:t>
      </w:r>
      <w:r>
        <w:rPr>
          <w:rFonts w:ascii="宋体" w:hAnsi="宋体" w:cs="宋体"/>
          <w:sz w:val="20"/>
          <w:szCs w:val="20"/>
        </w:rPr>
        <w:t>个月</w:t>
      </w:r>
      <w:r>
        <w:rPr>
          <w:rFonts w:ascii="宋体" w:hAnsi="宋体" w:cs="宋体"/>
          <w:spacing w:val="-52"/>
          <w:sz w:val="20"/>
          <w:szCs w:val="20"/>
        </w:rPr>
        <w:t xml:space="preserve"> </w:t>
      </w:r>
      <w:r>
        <w:rPr>
          <w:rFonts w:ascii="宋体" w:hAnsi="宋体" w:cs="宋体"/>
          <w:sz w:val="20"/>
          <w:szCs w:val="20"/>
        </w:rPr>
        <w:t>KPI</w:t>
      </w:r>
      <w:r>
        <w:rPr>
          <w:rFonts w:ascii="宋体" w:hAnsi="宋体" w:cs="宋体"/>
          <w:spacing w:val="-53"/>
          <w:sz w:val="20"/>
          <w:szCs w:val="20"/>
        </w:rPr>
        <w:t xml:space="preserve"> </w:t>
      </w:r>
      <w:r>
        <w:rPr>
          <w:rFonts w:ascii="宋体" w:hAnsi="宋体" w:cs="宋体"/>
          <w:sz w:val="20"/>
          <w:szCs w:val="20"/>
        </w:rPr>
        <w:t>考核表计算</w:t>
      </w:r>
      <w:r>
        <w:rPr>
          <w:rFonts w:hint="eastAsia" w:ascii="宋体" w:hAnsi="宋体" w:cs="宋体"/>
          <w:sz w:val="20"/>
          <w:szCs w:val="20"/>
        </w:rPr>
        <w:t>，</w:t>
      </w:r>
      <w:r>
        <w:t>每月 KPI 目标分值95分，考核评分在【 95】分（含本数）以上甲方全额支付乙方承包费用；【95】分以下，则每少 1 分扣减【2000】元；</w:t>
      </w:r>
      <w:r>
        <w:rPr>
          <w:rFonts w:hint="eastAsia"/>
        </w:rPr>
        <w:t>具体见附件3：《</w:t>
      </w:r>
      <w:r>
        <w:t>空调水处理月考核评分表</w:t>
      </w:r>
      <w:r>
        <w:rPr>
          <w:rFonts w:hint="eastAsia"/>
        </w:rPr>
        <w:t>》，</w:t>
      </w:r>
      <w:r>
        <w:rPr>
          <w:rFonts w:ascii="宋体" w:hAnsi="宋体" w:cs="宋体"/>
          <w:sz w:val="20"/>
          <w:szCs w:val="20"/>
        </w:rPr>
        <w:t>连续</w:t>
      </w:r>
      <w:r>
        <w:rPr>
          <w:rFonts w:ascii="宋体" w:hAnsi="宋体" w:cs="宋体"/>
          <w:spacing w:val="-54"/>
          <w:sz w:val="20"/>
          <w:szCs w:val="20"/>
        </w:rPr>
        <w:t xml:space="preserve"> </w:t>
      </w:r>
      <w:r>
        <w:rPr>
          <w:rFonts w:ascii="宋体" w:hAnsi="宋体" w:cs="宋体"/>
          <w:sz w:val="20"/>
          <w:szCs w:val="20"/>
        </w:rPr>
        <w:t>3</w:t>
      </w:r>
      <w:r>
        <w:rPr>
          <w:rFonts w:ascii="宋体" w:hAnsi="宋体" w:cs="宋体"/>
          <w:spacing w:val="-53"/>
          <w:sz w:val="20"/>
          <w:szCs w:val="20"/>
        </w:rPr>
        <w:t xml:space="preserve"> </w:t>
      </w:r>
      <w:r>
        <w:rPr>
          <w:rFonts w:ascii="宋体" w:hAnsi="宋体" w:cs="宋体"/>
          <w:sz w:val="20"/>
          <w:szCs w:val="20"/>
        </w:rPr>
        <w:t>次低于</w:t>
      </w:r>
      <w:r>
        <w:rPr>
          <w:rFonts w:ascii="宋体" w:hAnsi="宋体" w:cs="宋体"/>
          <w:spacing w:val="-54"/>
          <w:sz w:val="20"/>
          <w:szCs w:val="20"/>
        </w:rPr>
        <w:t xml:space="preserve"> </w:t>
      </w:r>
      <w:r>
        <w:rPr>
          <w:rFonts w:ascii="宋体" w:hAnsi="宋体" w:cs="宋体"/>
          <w:sz w:val="20"/>
          <w:szCs w:val="20"/>
        </w:rPr>
        <w:t>85</w:t>
      </w:r>
      <w:r>
        <w:rPr>
          <w:rFonts w:ascii="宋体" w:hAnsi="宋体" w:cs="宋体"/>
          <w:spacing w:val="-55"/>
          <w:sz w:val="20"/>
          <w:szCs w:val="20"/>
        </w:rPr>
        <w:t xml:space="preserve"> </w:t>
      </w:r>
      <w:r>
        <w:rPr>
          <w:rFonts w:ascii="宋体" w:hAnsi="宋体" w:cs="宋体"/>
          <w:sz w:val="20"/>
          <w:szCs w:val="20"/>
        </w:rPr>
        <w:t>分，甲方有权取消</w:t>
      </w:r>
      <w:r>
        <w:rPr>
          <w:rFonts w:hint="eastAsia" w:ascii="宋体" w:hAnsi="宋体" w:cs="宋体"/>
          <w:sz w:val="20"/>
          <w:szCs w:val="20"/>
        </w:rPr>
        <w:t>服务</w:t>
      </w:r>
      <w:r>
        <w:rPr>
          <w:rFonts w:ascii="宋体" w:hAnsi="宋体" w:cs="宋体"/>
          <w:sz w:val="20"/>
          <w:szCs w:val="20"/>
        </w:rPr>
        <w:t>单位资格并中止合同</w:t>
      </w:r>
      <w:r>
        <w:rPr>
          <w:rFonts w:hint="eastAsia" w:ascii="宋体" w:hAnsi="宋体" w:cs="宋体"/>
          <w:sz w:val="20"/>
          <w:szCs w:val="20"/>
        </w:rPr>
        <w:t>。</w:t>
      </w:r>
    </w:p>
    <w:p>
      <w:pPr>
        <w:numPr>
          <w:ilvl w:val="1"/>
          <w:numId w:val="8"/>
        </w:numPr>
        <w:tabs>
          <w:tab w:val="clear" w:pos="1200"/>
        </w:tabs>
        <w:ind w:left="840" w:hanging="420"/>
        <w:rPr>
          <w:rFonts w:ascii="Arial" w:hAnsi="Arial" w:cs="Arial"/>
        </w:rPr>
      </w:pPr>
      <w:r>
        <w:rPr>
          <w:rFonts w:ascii="Arial" w:hAnsi="Arial" w:cs="Arial"/>
        </w:rPr>
        <w:t>本合同有效</w:t>
      </w:r>
      <w:r>
        <w:rPr>
          <w:rFonts w:hint="eastAsia" w:ascii="Arial" w:hAnsi="Arial" w:cs="Arial"/>
        </w:rPr>
        <w:t>服务</w:t>
      </w:r>
      <w:r>
        <w:rPr>
          <w:rFonts w:ascii="Arial" w:hAnsi="Arial" w:cs="Arial"/>
        </w:rPr>
        <w:t>期为</w:t>
      </w:r>
      <w:r>
        <w:rPr>
          <w:rFonts w:hint="eastAsia" w:ascii="Arial" w:hAnsi="Arial" w:cs="Arial"/>
          <w:u w:val="single"/>
        </w:rPr>
        <w:t xml:space="preserve">   </w:t>
      </w:r>
      <w:r>
        <w:rPr>
          <w:rFonts w:ascii="Arial" w:hAnsi="Arial" w:cs="Arial"/>
        </w:rPr>
        <w:t>年</w:t>
      </w:r>
      <w:r>
        <w:rPr>
          <w:rFonts w:hint="eastAsia" w:ascii="宋体" w:hAnsi="宋体" w:cs="宋体"/>
        </w:rPr>
        <w:t>，从</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宋体" w:cs="Arial"/>
          <w:szCs w:val="21"/>
        </w:rPr>
        <w:t>年</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宋体" w:cs="Arial"/>
          <w:szCs w:val="21"/>
        </w:rPr>
        <w:t>月</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宋体" w:cs="Arial"/>
          <w:szCs w:val="21"/>
        </w:rPr>
        <w:t>日至</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宋体" w:cs="Arial"/>
          <w:szCs w:val="21"/>
        </w:rPr>
        <w:t>年</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宋体" w:cs="Arial"/>
          <w:szCs w:val="21"/>
        </w:rPr>
        <w:t>月</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宋体" w:cs="Arial"/>
          <w:szCs w:val="21"/>
        </w:rPr>
        <w:t>日</w:t>
      </w:r>
      <w:r>
        <w:rPr>
          <w:rFonts w:hint="eastAsia" w:ascii="宋体" w:hAnsi="宋体"/>
          <w:szCs w:val="21"/>
        </w:rPr>
        <w:t>止</w:t>
      </w:r>
      <w:r>
        <w:rPr>
          <w:rFonts w:ascii="Arial" w:hAnsi="Arial" w:cs="Arial"/>
        </w:rPr>
        <w:t>。</w:t>
      </w:r>
    </w:p>
    <w:p>
      <w:pPr>
        <w:numPr>
          <w:ilvl w:val="1"/>
          <w:numId w:val="8"/>
        </w:numPr>
        <w:tabs>
          <w:tab w:val="clear" w:pos="1200"/>
        </w:tabs>
        <w:ind w:left="840" w:hanging="420"/>
        <w:rPr>
          <w:rFonts w:ascii="Arial" w:hAnsi="Arial" w:cs="Arial"/>
        </w:rPr>
      </w:pPr>
      <w:r>
        <w:rPr>
          <w:rFonts w:ascii="Arial" w:hAnsi="Arial" w:cs="Arial"/>
        </w:rPr>
        <w:t>如遇不可抗拒因素（如火灾、地震、水灾等）影响工期，双方另行商定解决办法。</w:t>
      </w:r>
    </w:p>
    <w:p>
      <w:pPr>
        <w:numPr>
          <w:ilvl w:val="0"/>
          <w:numId w:val="8"/>
        </w:numPr>
        <w:tabs>
          <w:tab w:val="clear" w:pos="1500"/>
        </w:tabs>
        <w:spacing w:line="460" w:lineRule="exact"/>
        <w:ind w:left="840" w:hanging="870"/>
        <w:rPr>
          <w:rFonts w:ascii="Arial" w:hAnsi="Arial" w:cs="Arial"/>
          <w:b/>
        </w:rPr>
      </w:pPr>
      <w:r>
        <w:rPr>
          <w:rFonts w:ascii="Arial" w:hAnsi="Arial" w:cs="Arial"/>
          <w:b/>
        </w:rPr>
        <w:t>甲方的义务与责任</w:t>
      </w:r>
    </w:p>
    <w:p>
      <w:pPr>
        <w:numPr>
          <w:ilvl w:val="1"/>
          <w:numId w:val="8"/>
        </w:numPr>
        <w:tabs>
          <w:tab w:val="clear" w:pos="1200"/>
        </w:tabs>
        <w:spacing w:line="460" w:lineRule="exact"/>
        <w:ind w:left="840" w:hanging="420"/>
        <w:rPr>
          <w:rFonts w:ascii="Arial" w:hAnsi="Arial" w:cs="Arial"/>
        </w:rPr>
      </w:pPr>
      <w:r>
        <w:rPr>
          <w:rFonts w:ascii="Arial" w:hAnsi="Arial" w:cs="Arial"/>
        </w:rPr>
        <w:t>按本合同约定期限支付乙方</w:t>
      </w:r>
      <w:r>
        <w:rPr>
          <w:rFonts w:hint="eastAsia" w:ascii="Arial" w:hAnsi="Arial" w:cs="Arial"/>
        </w:rPr>
        <w:t>服务款</w:t>
      </w:r>
      <w:r>
        <w:rPr>
          <w:rFonts w:ascii="Arial" w:hAnsi="Arial" w:cs="Arial"/>
        </w:rPr>
        <w:t>。</w:t>
      </w:r>
    </w:p>
    <w:p>
      <w:pPr>
        <w:numPr>
          <w:ilvl w:val="1"/>
          <w:numId w:val="8"/>
        </w:numPr>
        <w:tabs>
          <w:tab w:val="clear" w:pos="1200"/>
        </w:tabs>
        <w:spacing w:line="460" w:lineRule="exact"/>
        <w:ind w:left="840" w:hanging="420"/>
        <w:rPr>
          <w:rFonts w:ascii="Arial" w:hAnsi="Arial" w:cs="Arial"/>
        </w:rPr>
      </w:pPr>
      <w:r>
        <w:rPr>
          <w:rFonts w:ascii="Arial" w:hAnsi="Arial" w:cs="Arial"/>
        </w:rPr>
        <w:t>配合乙方，提供乙方施工所需要的系统参数，供乙方参考制订工作方案。</w:t>
      </w:r>
    </w:p>
    <w:p>
      <w:pPr>
        <w:spacing w:line="460" w:lineRule="exact"/>
        <w:ind w:firstLine="420"/>
        <w:rPr>
          <w:rFonts w:ascii="Arial" w:hAnsi="Arial" w:cs="Arial"/>
        </w:rPr>
      </w:pPr>
      <w:r>
        <w:rPr>
          <w:rFonts w:hint="eastAsia" w:ascii="Arial" w:hAnsi="Arial" w:cs="Arial"/>
        </w:rPr>
        <w:t xml:space="preserve">3、 </w:t>
      </w:r>
      <w:r>
        <w:rPr>
          <w:rFonts w:ascii="Arial" w:hAnsi="Arial" w:cs="Arial"/>
        </w:rPr>
        <w:t>配合乙方施工计划，若甲方根据自身需要，单方面修改施工计划，必须提前</w:t>
      </w:r>
      <w:r>
        <w:rPr>
          <w:rFonts w:hint="eastAsia" w:ascii="Arial" w:hAnsi="Arial" w:cs="Arial"/>
        </w:rPr>
        <w:t>三天</w:t>
      </w:r>
      <w:r>
        <w:rPr>
          <w:rFonts w:ascii="Arial" w:hAnsi="Arial" w:cs="Arial"/>
        </w:rPr>
        <w:t>通知乙方</w:t>
      </w:r>
      <w:r>
        <w:rPr>
          <w:rFonts w:hint="eastAsia" w:ascii="Arial" w:hAnsi="Arial" w:cs="Arial"/>
        </w:rPr>
        <w:t>主管工程师</w:t>
      </w:r>
      <w:r>
        <w:rPr>
          <w:rFonts w:ascii="Arial" w:hAnsi="Arial" w:cs="Arial"/>
        </w:rPr>
        <w:t>。</w:t>
      </w:r>
    </w:p>
    <w:p>
      <w:pPr>
        <w:spacing w:line="460" w:lineRule="exact"/>
        <w:ind w:left="420"/>
        <w:rPr>
          <w:rFonts w:ascii="Arial" w:hAnsi="Arial" w:cs="Arial"/>
        </w:rPr>
      </w:pPr>
      <w:r>
        <w:rPr>
          <w:rFonts w:hint="eastAsia" w:ascii="Arial" w:hAnsi="Arial" w:cs="Arial"/>
        </w:rPr>
        <w:t>4、</w:t>
      </w:r>
      <w:r>
        <w:rPr>
          <w:rFonts w:ascii="Arial" w:hAnsi="Arial" w:cs="Arial"/>
        </w:rPr>
        <w:t>乙方进场施工期间，甲方负责提供用电、给排水之方便，并派出1名</w:t>
      </w:r>
      <w:r>
        <w:rPr>
          <w:rFonts w:hint="eastAsia" w:ascii="Arial" w:hAnsi="Arial" w:cs="Arial"/>
        </w:rPr>
        <w:t>管理</w:t>
      </w:r>
      <w:r>
        <w:rPr>
          <w:rFonts w:ascii="Arial" w:hAnsi="Arial" w:cs="Arial"/>
        </w:rPr>
        <w:t>人员协调工作。</w:t>
      </w:r>
    </w:p>
    <w:p>
      <w:pPr>
        <w:tabs>
          <w:tab w:val="left" w:pos="0"/>
        </w:tabs>
        <w:spacing w:line="460" w:lineRule="exact"/>
        <w:ind w:firstLine="420"/>
      </w:pPr>
      <w:r>
        <w:rPr>
          <w:rFonts w:hint="eastAsia" w:ascii="Arial" w:hAnsi="Arial" w:cs="Arial"/>
        </w:rPr>
        <w:t>5、</w:t>
      </w:r>
      <w:r>
        <w:rPr>
          <w:rFonts w:hint="eastAsia"/>
        </w:rPr>
        <w:t>提供符合标准的市政自来水作为循环水系统的补充水。当外部环境因素影响系统水质时，应立即响应乙方建议，协助乙方采取措施消除其影响。</w:t>
      </w:r>
    </w:p>
    <w:p>
      <w:pPr>
        <w:tabs>
          <w:tab w:val="left" w:pos="0"/>
        </w:tabs>
        <w:spacing w:line="460" w:lineRule="exact"/>
        <w:ind w:firstLine="420"/>
      </w:pPr>
      <w:r>
        <w:rPr>
          <w:rFonts w:ascii="Arial" w:hAnsi="Arial" w:cs="Arial"/>
        </w:rPr>
        <w:t>6</w:t>
      </w:r>
      <w:r>
        <w:rPr>
          <w:rFonts w:ascii="Arial" w:cs="Arial"/>
        </w:rPr>
        <w:t>、</w:t>
      </w:r>
      <w:r>
        <w:rPr>
          <w:rFonts w:hint="eastAsia"/>
        </w:rPr>
        <w:t>如遇空调改造、检修、装修需放掉系统内的冷冻水，而导致乙方超出本合同预算另外重新投加清洗剂和缓蚀剂，其费用由甲方另外支付。</w:t>
      </w:r>
    </w:p>
    <w:p>
      <w:pPr>
        <w:spacing w:line="460" w:lineRule="exact"/>
        <w:ind w:firstLine="420"/>
        <w:rPr>
          <w:rFonts w:ascii="Arial" w:hAnsi="Arial" w:cs="Arial"/>
        </w:rPr>
      </w:pPr>
      <w:r>
        <w:rPr>
          <w:rFonts w:ascii="Arial" w:hAnsi="Arial" w:cs="Arial"/>
        </w:rPr>
        <w:t>7</w:t>
      </w:r>
      <w:r>
        <w:rPr>
          <w:rFonts w:ascii="Arial" w:cs="Arial"/>
        </w:rPr>
        <w:t>、</w:t>
      </w:r>
      <w:r>
        <w:rPr>
          <w:rFonts w:hint="eastAsia"/>
        </w:rPr>
        <w:t>如果冷却水系统浓缩倍数过高，导致循环水总硬度超标时，</w:t>
      </w:r>
      <w:r>
        <w:rPr>
          <w:rFonts w:hint="eastAsia" w:ascii="宋体" w:hAnsi="宋体" w:cs="宋体"/>
        </w:rPr>
        <w:t>乙方在确保数据中心正常运营的情况下</w:t>
      </w:r>
      <w:r>
        <w:rPr>
          <w:rFonts w:hint="eastAsia"/>
        </w:rPr>
        <w:t>根据行业标准及工艺要求进行适当排污，甲方予以配合，使其达到药物可控状态。</w:t>
      </w:r>
    </w:p>
    <w:p>
      <w:pPr>
        <w:spacing w:line="460" w:lineRule="exact"/>
        <w:ind w:firstLine="420"/>
        <w:rPr>
          <w:rFonts w:ascii="Arial" w:hAnsi="Arial" w:cs="Arial"/>
        </w:rPr>
      </w:pPr>
      <w:r>
        <w:rPr>
          <w:rFonts w:ascii="Arial" w:hAnsi="Arial" w:cs="Arial"/>
        </w:rPr>
        <w:t>8、禁止用冷却水（属工业用水）</w:t>
      </w:r>
      <w:r>
        <w:rPr>
          <w:rFonts w:hint="eastAsia" w:ascii="Arial" w:hAnsi="Arial" w:cs="Arial"/>
        </w:rPr>
        <w:t>作为生活用水使用</w:t>
      </w:r>
      <w:r>
        <w:rPr>
          <w:rFonts w:ascii="Arial" w:hAnsi="Arial" w:cs="Arial"/>
        </w:rPr>
        <w:t>，不得随便动用乙方放在甲方处备用的水处理药剂（属化工原料，禁作它用，否则后果自负）。</w:t>
      </w:r>
    </w:p>
    <w:p>
      <w:pPr>
        <w:spacing w:line="460" w:lineRule="exact"/>
        <w:rPr>
          <w:rFonts w:ascii="Arial" w:hAnsi="Arial" w:cs="Arial"/>
          <w:b/>
        </w:rPr>
      </w:pPr>
      <w:r>
        <w:rPr>
          <w:rFonts w:hint="eastAsia" w:ascii="Arial" w:hAnsi="Arial" w:cs="Arial"/>
          <w:b/>
        </w:rPr>
        <w:t>第五条、</w:t>
      </w:r>
      <w:r>
        <w:rPr>
          <w:rFonts w:ascii="Arial" w:hAnsi="Arial" w:cs="Arial"/>
          <w:b/>
        </w:rPr>
        <w:t>乙方的义务与责任</w:t>
      </w:r>
    </w:p>
    <w:p>
      <w:pPr>
        <w:spacing w:line="460" w:lineRule="exact"/>
        <w:ind w:left="420"/>
        <w:rPr>
          <w:rFonts w:ascii="Arial" w:hAnsi="Arial" w:cs="Arial"/>
        </w:rPr>
      </w:pPr>
      <w:r>
        <w:rPr>
          <w:rFonts w:hint="eastAsia" w:ascii="Arial" w:hAnsi="Arial" w:cs="Arial"/>
        </w:rPr>
        <w:t>1、</w:t>
      </w:r>
      <w:r>
        <w:rPr>
          <w:rFonts w:ascii="Arial" w:hAnsi="Arial" w:cs="Arial"/>
        </w:rPr>
        <w:t>按本合同约定负责本</w:t>
      </w:r>
      <w:r>
        <w:rPr>
          <w:rFonts w:hint="eastAsia" w:ascii="Arial" w:hAnsi="Arial" w:cs="Arial"/>
        </w:rPr>
        <w:t>项目</w:t>
      </w:r>
      <w:r>
        <w:rPr>
          <w:rFonts w:ascii="Arial" w:hAnsi="Arial" w:cs="Arial"/>
        </w:rPr>
        <w:t>的实施，确保本</w:t>
      </w:r>
      <w:r>
        <w:rPr>
          <w:rFonts w:hint="eastAsia" w:ascii="Arial" w:hAnsi="Arial" w:cs="Arial"/>
        </w:rPr>
        <w:t>项目</w:t>
      </w:r>
      <w:r>
        <w:rPr>
          <w:rFonts w:ascii="Arial" w:hAnsi="Arial" w:cs="Arial"/>
        </w:rPr>
        <w:t>按期保质完成。</w:t>
      </w:r>
    </w:p>
    <w:p>
      <w:pPr>
        <w:spacing w:line="460" w:lineRule="exact"/>
        <w:ind w:firstLine="420"/>
        <w:rPr>
          <w:rFonts w:ascii="Arial" w:hAnsi="Arial" w:cs="Arial"/>
        </w:rPr>
      </w:pPr>
      <w:r>
        <w:rPr>
          <w:rFonts w:hint="eastAsia" w:ascii="Arial" w:hAnsi="Arial" w:cs="Arial"/>
        </w:rPr>
        <w:t>2、向甲方</w:t>
      </w:r>
      <w:r>
        <w:rPr>
          <w:rFonts w:ascii="Arial" w:hAnsi="Arial" w:cs="Arial"/>
        </w:rPr>
        <w:t>提交</w:t>
      </w:r>
      <w:r>
        <w:rPr>
          <w:rFonts w:hint="eastAsia" w:ascii="Arial" w:hAnsi="Arial" w:cs="Arial"/>
        </w:rPr>
        <w:t>本项目服务方案</w:t>
      </w:r>
      <w:r>
        <w:rPr>
          <w:rFonts w:ascii="Arial" w:hAnsi="Arial" w:cs="Arial"/>
        </w:rPr>
        <w:t>，</w:t>
      </w:r>
      <w:r>
        <w:rPr>
          <w:rFonts w:hint="eastAsia" w:ascii="Arial" w:hAnsi="Arial" w:cs="Arial"/>
        </w:rPr>
        <w:t>经甲方审核同意后</w:t>
      </w:r>
      <w:r>
        <w:rPr>
          <w:rFonts w:ascii="Arial" w:hAnsi="Arial" w:cs="Arial"/>
        </w:rPr>
        <w:t>按照</w:t>
      </w:r>
      <w:r>
        <w:rPr>
          <w:rFonts w:hint="eastAsia" w:ascii="Arial" w:hAnsi="Arial" w:cs="Arial"/>
        </w:rPr>
        <w:t>服务方案提供服务（经审核同意后的服务方案作为本合同附件）</w:t>
      </w:r>
      <w:r>
        <w:rPr>
          <w:rFonts w:ascii="Arial" w:hAnsi="Arial" w:cs="Arial"/>
        </w:rPr>
        <w:t>，若</w:t>
      </w:r>
      <w:r>
        <w:rPr>
          <w:rFonts w:hint="eastAsia" w:ascii="宋体" w:hAnsi="宋体" w:cs="宋体"/>
        </w:rPr>
        <w:t>服务</w:t>
      </w:r>
      <w:r>
        <w:rPr>
          <w:rFonts w:ascii="Arial" w:hAnsi="Arial" w:cs="Arial"/>
        </w:rPr>
        <w:t>过程中，需要修改计划，必须向甲方提出改变</w:t>
      </w:r>
      <w:r>
        <w:rPr>
          <w:rFonts w:hint="eastAsia" w:ascii="宋体" w:hAnsi="宋体" w:cs="宋体"/>
        </w:rPr>
        <w:t>服务</w:t>
      </w:r>
      <w:r>
        <w:rPr>
          <w:rFonts w:ascii="Arial" w:hAnsi="Arial" w:cs="Arial"/>
        </w:rPr>
        <w:t>计划的意见，经甲方同意</w:t>
      </w:r>
      <w:r>
        <w:rPr>
          <w:rFonts w:hint="eastAsia" w:ascii="Arial" w:hAnsi="Arial" w:cs="Arial"/>
        </w:rPr>
        <w:t>方可</w:t>
      </w:r>
      <w:r>
        <w:rPr>
          <w:rFonts w:ascii="Arial" w:hAnsi="Arial" w:cs="Arial"/>
        </w:rPr>
        <w:t>变更</w:t>
      </w:r>
      <w:r>
        <w:rPr>
          <w:rFonts w:hint="eastAsia" w:ascii="Arial" w:hAnsi="Arial" w:cs="Arial"/>
        </w:rPr>
        <w:t>服务计划</w:t>
      </w:r>
      <w:r>
        <w:rPr>
          <w:rFonts w:ascii="Arial" w:hAnsi="Arial" w:cs="Arial"/>
        </w:rPr>
        <w:t>。</w:t>
      </w:r>
    </w:p>
    <w:p>
      <w:pPr>
        <w:spacing w:line="460" w:lineRule="exact"/>
        <w:ind w:left="420"/>
        <w:rPr>
          <w:rFonts w:ascii="Arial" w:hAnsi="Arial" w:cs="Arial"/>
        </w:rPr>
      </w:pPr>
      <w:r>
        <w:rPr>
          <w:rFonts w:hint="eastAsia" w:ascii="Arial" w:hAnsi="Arial" w:cs="Arial"/>
        </w:rPr>
        <w:t>3、未经甲方同意，乙方施工人员不得动用甲方任何设备。</w:t>
      </w:r>
    </w:p>
    <w:p>
      <w:pPr>
        <w:spacing w:line="460" w:lineRule="exact"/>
        <w:ind w:left="420"/>
        <w:rPr>
          <w:rFonts w:ascii="Arial" w:hAnsi="Arial" w:cs="Arial"/>
        </w:rPr>
      </w:pPr>
      <w:r>
        <w:rPr>
          <w:rFonts w:hint="eastAsia" w:ascii="Arial" w:hAnsi="Arial" w:cs="Arial"/>
        </w:rPr>
        <w:t>4、乙方需确保按合同约定提供相应服务，并达到合同目标要求。否则，甲方将书面给予警告，如经甲方书面警告后5个工作日内（以甲方邮件发出时间起算）乙方仍未能达到合同要求服务标准及目标，甲方有权单方面无条件解除合同，同时乙方需向甲方支付</w:t>
      </w:r>
      <w:r>
        <w:rPr>
          <w:rFonts w:hint="eastAsia" w:ascii="宋体" w:hAnsi="宋体" w:cs="宋体"/>
        </w:rPr>
        <w:t>本合同服务费10%违约金。</w:t>
      </w:r>
    </w:p>
    <w:p>
      <w:pPr>
        <w:spacing w:line="460" w:lineRule="exact"/>
        <w:ind w:left="420"/>
        <w:rPr>
          <w:rFonts w:ascii="Arial" w:hAnsi="Arial" w:cs="Arial"/>
        </w:rPr>
      </w:pPr>
      <w:r>
        <w:rPr>
          <w:rFonts w:hint="eastAsia" w:ascii="Arial" w:hAnsi="Arial" w:cs="Arial"/>
        </w:rPr>
        <w:t>5、在本合同服务期间，如机房暖通空调水系统出现故障，乙方需无条件及时提供处理方案。如故障经专业第三方审查确定是由于乙方服务造成，造成的损失由乙方向甲方赔偿，同时需向甲方支付本合同服务费10%违约金。</w:t>
      </w:r>
    </w:p>
    <w:p>
      <w:pPr>
        <w:spacing w:line="460" w:lineRule="exact"/>
        <w:ind w:left="420"/>
        <w:rPr>
          <w:rFonts w:ascii="Arial" w:hAnsi="Arial" w:cs="Arial"/>
        </w:rPr>
      </w:pPr>
      <w:r>
        <w:rPr>
          <w:rFonts w:hint="eastAsia" w:ascii="Arial" w:hAnsi="Arial" w:cs="Arial"/>
        </w:rPr>
        <w:t>6、</w:t>
      </w:r>
      <w:r>
        <w:rPr>
          <w:rFonts w:hint="eastAsia" w:ascii="Arial" w:cs="Arial"/>
        </w:rPr>
        <w:t>在乙方进行施工保养期间，乙方对冷冻系统（水泵）进行检查，</w:t>
      </w:r>
      <w:r>
        <w:rPr>
          <w:rFonts w:hint="eastAsia"/>
        </w:rPr>
        <w:t>甲方协助确保冷冻系统（水泵）无异常串漏（滴漏不在此范围内）。</w:t>
      </w:r>
    </w:p>
    <w:p>
      <w:pPr>
        <w:spacing w:line="460" w:lineRule="exact"/>
        <w:rPr>
          <w:rFonts w:ascii="Arial" w:hAnsi="Arial" w:cs="Arial"/>
          <w:b/>
        </w:rPr>
      </w:pPr>
      <w:r>
        <w:rPr>
          <w:rFonts w:hint="eastAsia" w:ascii="Arial" w:hAnsi="Arial" w:cs="Arial"/>
          <w:b/>
        </w:rPr>
        <w:t>第六条、违约责任</w:t>
      </w:r>
    </w:p>
    <w:p>
      <w:pPr>
        <w:spacing w:line="460" w:lineRule="exact"/>
        <w:ind w:left="-28" w:firstLine="420"/>
        <w:rPr>
          <w:rFonts w:ascii="Arial" w:hAnsi="Arial" w:cs="Arial"/>
        </w:rPr>
      </w:pPr>
      <w:r>
        <w:rPr>
          <w:rFonts w:hint="eastAsia" w:ascii="Arial" w:hAnsi="Arial" w:cs="Arial"/>
        </w:rPr>
        <w:t>1、乙方没有按合同约定向甲方提供</w:t>
      </w:r>
      <w:r>
        <w:rPr>
          <w:rFonts w:hint="eastAsia" w:ascii="宋体" w:hAnsi="宋体" w:cs="宋体"/>
        </w:rPr>
        <w:t>水质处理</w:t>
      </w:r>
      <w:r>
        <w:rPr>
          <w:rFonts w:hint="eastAsia" w:ascii="Arial" w:hAnsi="Arial" w:cs="Arial"/>
        </w:rPr>
        <w:t>服务，经甲方提出在甲方宽限期内仍不予以整改的，或由于乙方未能按照相关标准规范提供服务导致甲方损失的，甲方有权终止合同，乙方须偿付合同金额</w:t>
      </w:r>
      <w:r>
        <w:rPr>
          <w:rFonts w:ascii="Arial" w:hAnsi="Arial" w:cs="Arial"/>
        </w:rPr>
        <w:t xml:space="preserve">  </w:t>
      </w:r>
      <w:r>
        <w:rPr>
          <w:rFonts w:hint="eastAsia" w:ascii="Arial" w:hAnsi="Arial" w:cs="Arial"/>
        </w:rPr>
        <w:t>3</w:t>
      </w:r>
      <w:r>
        <w:rPr>
          <w:rFonts w:ascii="Arial" w:hAnsi="Arial" w:cs="Arial"/>
        </w:rPr>
        <w:t>0  %</w:t>
      </w:r>
      <w:r>
        <w:rPr>
          <w:rFonts w:hint="eastAsia" w:ascii="Arial" w:hAnsi="Arial" w:cs="Arial"/>
        </w:rPr>
        <w:t>的违约金给甲方，且甲方有权要求乙方退还已支付的所有服务费用。</w:t>
      </w:r>
    </w:p>
    <w:p>
      <w:pPr>
        <w:spacing w:line="460" w:lineRule="exact"/>
        <w:ind w:left="-28" w:firstLine="420"/>
        <w:rPr>
          <w:rFonts w:ascii="Arial" w:hAnsi="Arial" w:cs="Arial"/>
        </w:rPr>
      </w:pPr>
      <w:r>
        <w:rPr>
          <w:rFonts w:hint="eastAsia" w:ascii="Arial" w:hAnsi="Arial" w:cs="Arial"/>
        </w:rPr>
        <w:t>2、乙方对上述违约情形及违约后果已充分了解，并承诺在违约时不得请求减免。</w:t>
      </w:r>
    </w:p>
    <w:p>
      <w:pPr>
        <w:spacing w:line="460" w:lineRule="exact"/>
        <w:ind w:left="-30"/>
        <w:rPr>
          <w:rFonts w:ascii="Arial" w:hAnsi="Arial" w:cs="Arial"/>
          <w:b/>
        </w:rPr>
      </w:pPr>
      <w:r>
        <w:rPr>
          <w:rFonts w:hint="eastAsia" w:ascii="Arial" w:hAnsi="Arial" w:cs="Arial"/>
          <w:b/>
        </w:rPr>
        <w:t>第七条、</w:t>
      </w:r>
      <w:r>
        <w:rPr>
          <w:rFonts w:ascii="Arial" w:hAnsi="Arial" w:cs="Arial"/>
          <w:b/>
        </w:rPr>
        <w:t>争议及解决方法</w:t>
      </w:r>
    </w:p>
    <w:p>
      <w:pPr>
        <w:spacing w:line="460" w:lineRule="exact"/>
        <w:ind w:firstLine="420"/>
        <w:rPr>
          <w:rFonts w:ascii="Arial" w:hAnsi="Arial" w:cs="Arial"/>
        </w:rPr>
      </w:pPr>
      <w:r>
        <w:rPr>
          <w:rFonts w:hint="eastAsia" w:ascii="Arial" w:hAnsi="Arial" w:cs="Arial"/>
        </w:rPr>
        <w:t>1、</w:t>
      </w:r>
      <w:r>
        <w:rPr>
          <w:rFonts w:ascii="Arial" w:hAnsi="Arial" w:cs="Arial"/>
        </w:rPr>
        <w:t>在本合同履行过程中若双方发生争议，双方应本着</w:t>
      </w:r>
      <w:r>
        <w:rPr>
          <w:rFonts w:hint="eastAsia" w:ascii="宋体" w:hAnsi="宋体" w:cs="Arial"/>
        </w:rPr>
        <w:t>实事求是</w:t>
      </w:r>
      <w:r>
        <w:rPr>
          <w:rFonts w:ascii="Arial" w:hAnsi="Arial" w:cs="Arial"/>
        </w:rPr>
        <w:t>的原则协商解决。</w:t>
      </w:r>
    </w:p>
    <w:p>
      <w:pPr>
        <w:spacing w:line="460" w:lineRule="exact"/>
        <w:ind w:left="480"/>
        <w:rPr>
          <w:rFonts w:ascii="Arial" w:hAnsi="Arial" w:cs="Arial"/>
        </w:rPr>
      </w:pPr>
      <w:r>
        <w:rPr>
          <w:rFonts w:hint="eastAsia" w:ascii="Arial" w:hAnsi="Arial" w:cs="Arial"/>
        </w:rPr>
        <w:t>2、</w:t>
      </w:r>
      <w:r>
        <w:rPr>
          <w:rFonts w:hint="eastAsia" w:ascii="宋体" w:hAnsi="宋体" w:cs="Arial"/>
        </w:rPr>
        <w:t>未尽</w:t>
      </w:r>
      <w:r>
        <w:rPr>
          <w:rFonts w:ascii="Arial" w:hAnsi="Arial" w:cs="Arial"/>
        </w:rPr>
        <w:t>事宜双方协商解决</w:t>
      </w:r>
      <w:r>
        <w:rPr>
          <w:rFonts w:hint="eastAsia" w:ascii="宋体" w:hAnsi="宋体" w:cs="Arial"/>
        </w:rPr>
        <w:t>，</w:t>
      </w:r>
      <w:r>
        <w:rPr>
          <w:rFonts w:ascii="Arial" w:hAnsi="Arial" w:cs="Arial"/>
        </w:rPr>
        <w:t>协商不成</w:t>
      </w:r>
      <w:r>
        <w:rPr>
          <w:rFonts w:hint="eastAsia" w:ascii="宋体" w:hAnsi="宋体" w:cs="Arial"/>
        </w:rPr>
        <w:t>，</w:t>
      </w:r>
      <w:r>
        <w:rPr>
          <w:rFonts w:hint="eastAsia" w:ascii="宋体" w:hAnsi="宋体" w:cs="宋体"/>
        </w:rPr>
        <w:t>双方均可向东莞市第一</w:t>
      </w:r>
      <w:r>
        <w:rPr>
          <w:rFonts w:ascii="Arial" w:hAnsi="Arial" w:cs="Arial"/>
        </w:rPr>
        <w:t>人民法院</w:t>
      </w:r>
      <w:r>
        <w:rPr>
          <w:rFonts w:hint="eastAsia" w:ascii="宋体" w:hAnsi="宋体" w:cs="宋体"/>
        </w:rPr>
        <w:t>提起</w:t>
      </w:r>
      <w:r>
        <w:rPr>
          <w:rFonts w:ascii="Arial" w:hAnsi="Arial" w:cs="Arial"/>
        </w:rPr>
        <w:t>诉讼。</w:t>
      </w:r>
    </w:p>
    <w:p>
      <w:pPr>
        <w:spacing w:line="460" w:lineRule="exact"/>
        <w:rPr>
          <w:rFonts w:ascii="Arial" w:hAnsi="Arial" w:cs="Arial"/>
          <w:b/>
        </w:rPr>
      </w:pPr>
      <w:r>
        <w:rPr>
          <w:rFonts w:hint="eastAsia" w:ascii="Arial" w:hAnsi="Arial" w:cs="Arial"/>
          <w:b/>
        </w:rPr>
        <w:t>第八条、</w:t>
      </w:r>
      <w:r>
        <w:rPr>
          <w:rFonts w:ascii="Arial" w:hAnsi="Arial" w:cs="Arial"/>
          <w:b/>
        </w:rPr>
        <w:t>附则</w:t>
      </w:r>
    </w:p>
    <w:p>
      <w:pPr>
        <w:spacing w:line="460" w:lineRule="exact"/>
        <w:ind w:firstLine="420"/>
        <w:jc w:val="left"/>
        <w:rPr>
          <w:rFonts w:ascii="Arial" w:hAnsi="Arial" w:cs="Arial"/>
        </w:rPr>
      </w:pPr>
      <w:r>
        <w:rPr>
          <w:rFonts w:hint="eastAsia" w:ascii="Arial" w:hAnsi="Arial" w:cs="Arial"/>
        </w:rPr>
        <w:t>1、</w:t>
      </w:r>
      <w:r>
        <w:rPr>
          <w:rFonts w:ascii="Arial" w:hAnsi="Arial" w:cs="Arial"/>
        </w:rPr>
        <w:t>本合同经双方</w:t>
      </w:r>
      <w:r>
        <w:rPr>
          <w:rFonts w:hint="eastAsia" w:ascii="宋体" w:hAnsi="宋体" w:cs="宋体"/>
        </w:rPr>
        <w:t>法定代表人或其授权代理人</w:t>
      </w:r>
      <w:r>
        <w:rPr>
          <w:rFonts w:ascii="Arial" w:hAnsi="Arial" w:cs="Arial"/>
        </w:rPr>
        <w:t>签字</w:t>
      </w:r>
      <w:r>
        <w:rPr>
          <w:rFonts w:hint="eastAsia" w:ascii="宋体" w:hAnsi="宋体" w:cs="宋体"/>
        </w:rPr>
        <w:t>并加盖双方</w:t>
      </w:r>
      <w:r>
        <w:rPr>
          <w:rFonts w:hint="eastAsia" w:ascii="Arial" w:hAnsi="Arial" w:eastAsia="等线" w:cs="Arial"/>
        </w:rPr>
        <w:t>公</w:t>
      </w:r>
      <w:r>
        <w:rPr>
          <w:rFonts w:ascii="Arial" w:hAnsi="Arial" w:cs="Arial"/>
        </w:rPr>
        <w:t>章后正式生效。</w:t>
      </w:r>
    </w:p>
    <w:p>
      <w:pPr>
        <w:spacing w:line="460" w:lineRule="exact"/>
        <w:ind w:firstLine="420"/>
        <w:rPr>
          <w:rFonts w:ascii="Arial" w:hAnsi="Arial" w:cs="Arial"/>
        </w:rPr>
      </w:pPr>
      <w:r>
        <w:rPr>
          <w:rFonts w:hint="eastAsia" w:ascii="Arial" w:hAnsi="Arial" w:cs="Arial"/>
        </w:rPr>
        <w:t>2、</w:t>
      </w:r>
      <w:r>
        <w:rPr>
          <w:rFonts w:ascii="Arial" w:hAnsi="Arial" w:cs="Arial"/>
        </w:rPr>
        <w:t>本合同未尽事宜，双方友好协商签订补充协议。补充协议与本合同具有同等法律效力。</w:t>
      </w:r>
    </w:p>
    <w:p>
      <w:pPr>
        <w:spacing w:line="460" w:lineRule="exact"/>
        <w:ind w:firstLine="420"/>
        <w:rPr>
          <w:rFonts w:ascii="Arial" w:hAnsi="Arial" w:cs="Arial"/>
        </w:rPr>
      </w:pPr>
      <w:r>
        <w:rPr>
          <w:rFonts w:hint="eastAsia" w:ascii="Arial" w:hAnsi="Arial" w:cs="Arial"/>
        </w:rPr>
        <w:t>3、</w:t>
      </w:r>
      <w:r>
        <w:rPr>
          <w:rFonts w:ascii="Arial" w:hAnsi="Arial" w:cs="Arial"/>
        </w:rPr>
        <w:t>本合同</w:t>
      </w:r>
      <w:r>
        <w:rPr>
          <w:rFonts w:hint="eastAsia" w:ascii="Arial" w:hAnsi="Arial" w:cs="Arial"/>
        </w:rPr>
        <w:t>一</w:t>
      </w:r>
      <w:r>
        <w:rPr>
          <w:rFonts w:ascii="Arial" w:hAnsi="Arial" w:cs="Arial"/>
        </w:rPr>
        <w:t>式</w:t>
      </w:r>
      <w:r>
        <w:rPr>
          <w:rFonts w:hint="eastAsia" w:ascii="Arial" w:hAnsi="Arial" w:cs="Arial"/>
        </w:rPr>
        <w:t>四</w:t>
      </w:r>
      <w:r>
        <w:rPr>
          <w:rFonts w:ascii="Arial" w:hAnsi="Arial" w:cs="Arial"/>
        </w:rPr>
        <w:t>份</w:t>
      </w:r>
      <w:r>
        <w:rPr>
          <w:rFonts w:hint="eastAsia" w:ascii="Arial" w:hAnsi="Arial" w:cs="Arial"/>
        </w:rPr>
        <w:t>，</w:t>
      </w:r>
      <w:r>
        <w:rPr>
          <w:rFonts w:ascii="Arial" w:hAnsi="Arial" w:cs="Arial"/>
        </w:rPr>
        <w:t>甲</w:t>
      </w:r>
      <w:r>
        <w:rPr>
          <w:rFonts w:hint="eastAsia" w:ascii="宋体" w:hAnsi="宋体" w:cs="宋体"/>
        </w:rPr>
        <w:t>方执三份，</w:t>
      </w:r>
      <w:r>
        <w:rPr>
          <w:rFonts w:ascii="Arial" w:hAnsi="Arial" w:cs="Arial"/>
        </w:rPr>
        <w:t>乙方执</w:t>
      </w:r>
      <w:r>
        <w:rPr>
          <w:rFonts w:hint="eastAsia" w:ascii="Arial" w:hAnsi="Arial" w:cs="Arial"/>
        </w:rPr>
        <w:t>一</w:t>
      </w:r>
      <w:r>
        <w:rPr>
          <w:rFonts w:ascii="Arial" w:hAnsi="Arial" w:cs="Arial"/>
        </w:rPr>
        <w:t>份，均具同等法律效力。</w:t>
      </w:r>
    </w:p>
    <w:p>
      <w:pPr>
        <w:spacing w:line="360" w:lineRule="auto"/>
        <w:rPr>
          <w:rFonts w:ascii="Arial" w:hAnsi="Arial" w:cs="Arial"/>
          <w:b/>
        </w:rPr>
      </w:pPr>
      <w:r>
        <w:rPr>
          <w:rFonts w:hint="eastAsia" w:ascii="Arial" w:hAnsi="Arial" w:cs="Arial"/>
          <w:b/>
        </w:rPr>
        <w:t>（本页以下无正文）</w:t>
      </w:r>
    </w:p>
    <w:p>
      <w:pPr>
        <w:spacing w:line="360" w:lineRule="auto"/>
        <w:rPr>
          <w:rFonts w:ascii="Arial" w:hAnsi="Arial" w:cs="Arial"/>
          <w:b/>
        </w:rPr>
      </w:pPr>
      <w:r>
        <w:rPr>
          <w:rFonts w:hint="eastAsia" w:ascii="Arial" w:hAnsi="Arial" w:cs="Arial"/>
          <w:b/>
        </w:rPr>
        <w:t>（以下为签字栏）</w:t>
      </w:r>
    </w:p>
    <w:p>
      <w:pPr>
        <w:spacing w:line="1600" w:lineRule="exact"/>
        <w:rPr>
          <w:rFonts w:ascii="Arial" w:hAnsi="Arial" w:cs="Arial"/>
          <w:b/>
        </w:rPr>
      </w:pPr>
    </w:p>
    <w:p>
      <w:pPr>
        <w:rPr>
          <w:rFonts w:ascii="Arial" w:hAnsi="Arial" w:cs="Arial"/>
          <w:b/>
        </w:rPr>
      </w:pPr>
      <w:r>
        <w:rPr>
          <w:rFonts w:ascii="Arial" w:hAnsi="Arial" w:cs="Arial"/>
          <w:b/>
        </w:rPr>
        <w:t>甲方：</w:t>
      </w:r>
      <w:r>
        <w:rPr>
          <w:rFonts w:hint="eastAsia" w:ascii="Arial" w:hAnsi="Arial" w:cs="Arial"/>
          <w:b/>
        </w:rPr>
        <w:t xml:space="preserve">东莞市数据互联有限公司                       </w:t>
      </w:r>
      <w:r>
        <w:rPr>
          <w:rFonts w:ascii="Arial" w:hAnsi="Arial" w:cs="Arial"/>
          <w:b/>
        </w:rPr>
        <w:t>乙方：</w:t>
      </w:r>
      <w:r>
        <w:rPr>
          <w:rFonts w:hint="eastAsia" w:ascii="Arial" w:hAnsi="Arial" w:cs="Arial"/>
          <w:b/>
        </w:rPr>
        <w:t xml:space="preserve"> </w:t>
      </w:r>
    </w:p>
    <w:p>
      <w:pPr>
        <w:rPr>
          <w:rFonts w:ascii="Arial" w:hAnsi="Arial" w:cs="Arial"/>
          <w:sz w:val="18"/>
        </w:rPr>
      </w:pPr>
    </w:p>
    <w:p>
      <w:pPr>
        <w:rPr>
          <w:rFonts w:ascii="Arial" w:hAnsi="Arial" w:eastAsia="等线" w:cs="Arial"/>
        </w:rPr>
      </w:pPr>
      <w:r>
        <w:rPr>
          <w:rFonts w:hint="eastAsia" w:ascii="宋体" w:hAnsi="宋体" w:cs="宋体"/>
        </w:rPr>
        <w:t>法定代表人（签字）</w:t>
      </w:r>
      <w:r>
        <w:rPr>
          <w:rFonts w:ascii="Arial" w:hAnsi="Arial" w:cs="Arial"/>
        </w:rPr>
        <w:t xml:space="preserve">：                          </w:t>
      </w:r>
      <w:r>
        <w:rPr>
          <w:rFonts w:hint="eastAsia" w:ascii="Arial" w:hAnsi="Arial" w:cs="Arial"/>
        </w:rPr>
        <w:t xml:space="preserve">      法定</w:t>
      </w:r>
      <w:r>
        <w:rPr>
          <w:rFonts w:ascii="Arial" w:hAnsi="Arial" w:cs="Arial"/>
        </w:rPr>
        <w:t>代表</w:t>
      </w:r>
      <w:r>
        <w:rPr>
          <w:rFonts w:hint="eastAsia" w:ascii="宋体" w:hAnsi="宋体" w:cs="宋体"/>
        </w:rPr>
        <w:t>人（签字）</w:t>
      </w:r>
      <w:r>
        <w:rPr>
          <w:rFonts w:ascii="Arial" w:hAnsi="Arial" w:cs="Arial"/>
        </w:rPr>
        <w:t>：</w:t>
      </w:r>
    </w:p>
    <w:p>
      <w:pPr>
        <w:rPr>
          <w:rFonts w:ascii="宋体" w:hAnsi="宋体" w:cs="宋体"/>
          <w:szCs w:val="22"/>
        </w:rPr>
      </w:pPr>
      <w:r>
        <w:rPr>
          <w:rFonts w:hint="eastAsia" w:ascii="宋体" w:hAnsi="宋体" w:cs="宋体"/>
          <w:szCs w:val="22"/>
        </w:rPr>
        <w:t>或                                                 或</w:t>
      </w:r>
    </w:p>
    <w:p>
      <w:pPr>
        <w:rPr>
          <w:rFonts w:ascii="宋体" w:hAnsi="宋体" w:cs="宋体"/>
          <w:szCs w:val="22"/>
        </w:rPr>
      </w:pPr>
      <w:r>
        <w:rPr>
          <w:rFonts w:hint="eastAsia" w:ascii="宋体" w:hAnsi="宋体" w:cs="宋体"/>
          <w:szCs w:val="22"/>
        </w:rPr>
        <w:t>授权代理人（签字）：                                授权代理人（签字）：</w:t>
      </w:r>
    </w:p>
    <w:p>
      <w:pPr>
        <w:rPr>
          <w:rFonts w:ascii="宋体" w:hAnsi="宋体" w:cs="宋体"/>
          <w:szCs w:val="22"/>
        </w:rPr>
      </w:pPr>
    </w:p>
    <w:p>
      <w:pPr>
        <w:rPr>
          <w:rFonts w:ascii="Arial" w:hAnsi="Arial" w:cs="Arial"/>
          <w:szCs w:val="22"/>
        </w:rPr>
      </w:pPr>
      <w:r>
        <w:rPr>
          <w:rFonts w:hint="eastAsia" w:ascii="宋体" w:hAnsi="宋体" w:cs="宋体"/>
          <w:szCs w:val="22"/>
        </w:rPr>
        <w:t>邮箱地址：                                         邮箱地址：</w:t>
      </w:r>
      <w:r>
        <w:rPr>
          <w:rFonts w:hint="eastAsia" w:ascii="Arial" w:hAnsi="Arial" w:cs="Arial"/>
          <w:szCs w:val="22"/>
        </w:rPr>
        <w:t xml:space="preserve"> </w:t>
      </w:r>
    </w:p>
    <w:p>
      <w:pPr>
        <w:rPr>
          <w:rFonts w:ascii="Arial" w:hAnsi="Arial" w:cs="Arial"/>
        </w:rPr>
      </w:pPr>
      <w:r>
        <w:rPr>
          <w:rFonts w:hint="eastAsia" w:ascii="宋体" w:hAnsi="宋体" w:cs="宋体"/>
          <w:szCs w:val="22"/>
        </w:rPr>
        <w:t xml:space="preserve">                                                  </w:t>
      </w:r>
      <w:r>
        <w:rPr>
          <w:rFonts w:ascii="Arial" w:hAnsi="Arial" w:cs="Arial"/>
        </w:rPr>
        <w:t xml:space="preserve">                  </w:t>
      </w:r>
      <w:r>
        <w:rPr>
          <w:rFonts w:hint="eastAsia" w:ascii="Arial" w:hAnsi="Arial" w:cs="Arial"/>
        </w:rPr>
        <w:t xml:space="preserve">     </w:t>
      </w:r>
      <w:r>
        <w:rPr>
          <w:rFonts w:ascii="Arial" w:hAnsi="Arial" w:cs="Arial"/>
        </w:rPr>
        <w:t xml:space="preserve">  </w:t>
      </w:r>
      <w:r>
        <w:rPr>
          <w:rFonts w:hint="eastAsia" w:ascii="Arial" w:hAnsi="Arial" w:cs="Arial"/>
        </w:rPr>
        <w:t xml:space="preserve">           </w:t>
      </w:r>
    </w:p>
    <w:p>
      <w:pPr>
        <w:ind w:left="6195" w:hanging="6195" w:hangingChars="2950"/>
        <w:rPr>
          <w:rFonts w:ascii="Arial" w:hAnsi="Arial" w:cs="Arial"/>
        </w:rPr>
      </w:pPr>
      <w:r>
        <w:rPr>
          <w:rFonts w:hint="eastAsia" w:ascii="Arial" w:hAnsi="Arial" w:cs="Arial"/>
        </w:rPr>
        <w:t>地址：广东省东莞市寮步镇曲岭一路85号</w:t>
      </w:r>
      <w:r>
        <w:rPr>
          <w:rFonts w:ascii="Arial" w:hAnsi="Arial" w:cs="Arial"/>
        </w:rPr>
        <w:t xml:space="preserve">        </w:t>
      </w:r>
      <w:r>
        <w:rPr>
          <w:rFonts w:hint="eastAsia" w:ascii="Arial" w:hAnsi="Arial" w:cs="Arial"/>
        </w:rPr>
        <w:t xml:space="preserve">      </w:t>
      </w:r>
      <w:r>
        <w:rPr>
          <w:rFonts w:ascii="Arial" w:hAnsi="Arial" w:cs="Arial"/>
        </w:rPr>
        <w:t>地址：</w:t>
      </w:r>
      <w:r>
        <w:rPr>
          <w:rFonts w:hint="eastAsia" w:ascii="Arial" w:hAnsi="Arial" w:cs="Arial"/>
        </w:rPr>
        <w:t xml:space="preserve"> </w:t>
      </w:r>
    </w:p>
    <w:p>
      <w:pPr>
        <w:ind w:left="6195" w:hanging="6195" w:hangingChars="2950"/>
        <w:rPr>
          <w:rFonts w:ascii="Arial" w:hAnsi="Arial" w:cs="Arial"/>
        </w:rPr>
      </w:pPr>
      <w:r>
        <w:rPr>
          <w:rFonts w:hint="eastAsia" w:ascii="Arial" w:hAnsi="Arial" w:cs="Arial"/>
        </w:rPr>
        <w:t xml:space="preserve">                                                          </w:t>
      </w:r>
    </w:p>
    <w:p>
      <w:pPr>
        <w:ind w:left="-30"/>
        <w:rPr>
          <w:rFonts w:ascii="Arial" w:hAnsi="Arial" w:cs="Arial"/>
          <w:szCs w:val="21"/>
        </w:rPr>
      </w:pPr>
      <w:r>
        <w:rPr>
          <w:rFonts w:hint="eastAsia" w:ascii="Arial" w:hAnsi="Arial" w:cs="Arial"/>
        </w:rPr>
        <w:t>签约</w:t>
      </w:r>
      <w:r>
        <w:rPr>
          <w:rFonts w:ascii="Arial" w:hAnsi="Arial" w:cs="Arial"/>
        </w:rPr>
        <w:t>日期</w:t>
      </w:r>
      <w:r>
        <w:rPr>
          <w:rFonts w:hint="eastAsia" w:ascii="宋体" w:hAnsi="宋体" w:cs="宋体"/>
        </w:rPr>
        <w:t>及地点</w:t>
      </w:r>
      <w:r>
        <w:rPr>
          <w:rFonts w:ascii="Arial" w:hAnsi="Arial" w:cs="Arial"/>
        </w:rPr>
        <w:t>：</w:t>
      </w:r>
      <w:r>
        <w:rPr>
          <w:rFonts w:hint="eastAsia" w:ascii="等线" w:hAnsi="等线" w:eastAsia="等线" w:cs="Arial"/>
        </w:rPr>
        <w:t>2022</w:t>
      </w:r>
      <w:r>
        <w:rPr>
          <w:rFonts w:ascii="Arial" w:hAnsi="Arial" w:cs="Arial"/>
        </w:rPr>
        <w:t>年    月    日</w:t>
      </w:r>
      <w:r>
        <w:rPr>
          <w:rFonts w:hint="eastAsia" w:ascii="Arial" w:hAnsi="Arial" w:cs="Arial"/>
        </w:rPr>
        <w:t>于东莞市</w:t>
      </w:r>
    </w:p>
    <w:p>
      <w:pPr>
        <w:ind w:firstLine="174" w:firstLineChars="83"/>
        <w:rPr>
          <w:rFonts w:ascii="宋体" w:hAnsi="宋体" w:cs="Arial"/>
        </w:rPr>
      </w:pPr>
    </w:p>
    <w:p>
      <w:pPr>
        <w:ind w:firstLine="174" w:firstLineChars="83"/>
        <w:rPr>
          <w:rFonts w:ascii="宋体" w:hAnsi="宋体" w:cs="Arial"/>
        </w:rPr>
      </w:pPr>
    </w:p>
    <w:p>
      <w:pPr>
        <w:ind w:firstLine="174" w:firstLineChars="83"/>
        <w:rPr>
          <w:rFonts w:ascii="宋体" w:hAnsi="宋体" w:cs="Arial"/>
        </w:rPr>
      </w:pPr>
    </w:p>
    <w:p>
      <w:pPr>
        <w:ind w:firstLine="174" w:firstLineChars="83"/>
        <w:rPr>
          <w:rFonts w:ascii="宋体" w:hAnsi="宋体" w:cs="Arial"/>
        </w:rPr>
      </w:pPr>
    </w:p>
    <w:p>
      <w:pPr>
        <w:ind w:firstLine="174" w:firstLineChars="83"/>
        <w:rPr>
          <w:rFonts w:ascii="宋体" w:hAnsi="宋体" w:cs="Arial"/>
        </w:rPr>
      </w:pPr>
    </w:p>
    <w:p>
      <w:pPr>
        <w:ind w:firstLine="174" w:firstLineChars="83"/>
        <w:rPr>
          <w:rFonts w:ascii="宋体" w:hAnsi="宋体" w:cs="Arial"/>
        </w:rPr>
      </w:pPr>
    </w:p>
    <w:p>
      <w:pPr>
        <w:ind w:firstLine="174" w:firstLineChars="83"/>
        <w:rPr>
          <w:rFonts w:ascii="宋体" w:hAnsi="宋体" w:cs="Arial"/>
        </w:rPr>
      </w:pPr>
    </w:p>
    <w:p>
      <w:pPr>
        <w:ind w:firstLine="174" w:firstLineChars="83"/>
        <w:rPr>
          <w:rFonts w:ascii="宋体" w:hAnsi="宋体" w:cs="Arial"/>
        </w:rPr>
      </w:pPr>
    </w:p>
    <w:p>
      <w:pPr>
        <w:ind w:firstLine="174" w:firstLineChars="83"/>
        <w:rPr>
          <w:rFonts w:ascii="宋体" w:hAnsi="宋体" w:cs="Arial"/>
        </w:rPr>
      </w:pPr>
    </w:p>
    <w:p>
      <w:pPr>
        <w:ind w:firstLine="174" w:firstLineChars="83"/>
        <w:rPr>
          <w:rFonts w:ascii="宋体" w:hAnsi="宋体" w:cs="Arial"/>
        </w:rPr>
      </w:pPr>
    </w:p>
    <w:p>
      <w:pPr>
        <w:ind w:firstLine="174" w:firstLineChars="83"/>
        <w:rPr>
          <w:rFonts w:ascii="宋体" w:hAnsi="宋体" w:cs="Arial"/>
        </w:rPr>
        <w:sectPr>
          <w:headerReference r:id="rId14" w:type="first"/>
          <w:footerReference r:id="rId17" w:type="first"/>
          <w:headerReference r:id="rId12" w:type="default"/>
          <w:footerReference r:id="rId15" w:type="default"/>
          <w:headerReference r:id="rId13" w:type="even"/>
          <w:footerReference r:id="rId16" w:type="even"/>
          <w:pgSz w:w="11906" w:h="16838"/>
          <w:pgMar w:top="851" w:right="1418" w:bottom="851" w:left="1418" w:header="851" w:footer="992" w:gutter="170"/>
          <w:cols w:space="720" w:num="1"/>
          <w:titlePg/>
          <w:docGrid w:type="lines" w:linePitch="436" w:charSpace="0"/>
        </w:sectPr>
      </w:pPr>
    </w:p>
    <w:p>
      <w:pPr>
        <w:ind w:firstLine="641"/>
        <w:jc w:val="center"/>
        <w:rPr>
          <w:rFonts w:ascii="Arial" w:hAnsi="Arial" w:cs="Arial"/>
          <w:b/>
          <w:sz w:val="32"/>
          <w:szCs w:val="32"/>
        </w:rPr>
      </w:pPr>
      <w:r>
        <w:rPr>
          <w:rFonts w:hint="eastAsia" w:ascii="宋体" w:hAnsi="宋体" w:cs="宋体"/>
          <w:b/>
          <w:sz w:val="32"/>
          <w:szCs w:val="32"/>
        </w:rPr>
        <w:t>附件一、</w:t>
      </w:r>
      <w:r>
        <w:rPr>
          <w:rFonts w:ascii="Arial" w:hAnsi="Arial" w:cs="Arial"/>
          <w:b/>
          <w:sz w:val="32"/>
          <w:szCs w:val="32"/>
        </w:rPr>
        <w:t>报价明细表</w:t>
      </w:r>
    </w:p>
    <w:p>
      <w:pPr>
        <w:ind w:firstLine="641"/>
        <w:jc w:val="center"/>
        <w:rPr>
          <w:b/>
          <w:sz w:val="32"/>
          <w:szCs w:val="32"/>
        </w:rPr>
      </w:pPr>
    </w:p>
    <w:tbl>
      <w:tblPr>
        <w:tblStyle w:val="17"/>
        <w:tblW w:w="13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940"/>
        <w:gridCol w:w="2526"/>
        <w:gridCol w:w="1149"/>
        <w:gridCol w:w="1365"/>
        <w:gridCol w:w="1785"/>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9" w:type="dxa"/>
            <w:vAlign w:val="center"/>
          </w:tcPr>
          <w:p>
            <w:pPr>
              <w:tabs>
                <w:tab w:val="left" w:pos="3780"/>
              </w:tabs>
              <w:ind w:right="84"/>
              <w:jc w:val="center"/>
              <w:rPr>
                <w:rFonts w:ascii="Arial" w:hAnsi="Arial" w:cs="Arial"/>
                <w:b/>
                <w:bCs/>
              </w:rPr>
            </w:pPr>
            <w:r>
              <w:rPr>
                <w:rFonts w:ascii="Arial" w:hAnsi="宋体" w:cs="Arial"/>
                <w:b/>
                <w:bCs/>
              </w:rPr>
              <w:t>序号</w:t>
            </w:r>
          </w:p>
        </w:tc>
        <w:tc>
          <w:tcPr>
            <w:tcW w:w="5466" w:type="dxa"/>
            <w:gridSpan w:val="2"/>
            <w:vAlign w:val="center"/>
          </w:tcPr>
          <w:p>
            <w:pPr>
              <w:tabs>
                <w:tab w:val="left" w:pos="3780"/>
              </w:tabs>
              <w:ind w:right="84" w:firstLine="420"/>
              <w:jc w:val="center"/>
              <w:rPr>
                <w:rFonts w:ascii="Arial" w:hAnsi="Arial" w:cs="Arial"/>
                <w:b/>
                <w:bCs/>
              </w:rPr>
            </w:pPr>
            <w:r>
              <w:rPr>
                <w:rFonts w:ascii="Arial" w:hAnsi="宋体" w:cs="Arial"/>
                <w:b/>
                <w:bCs/>
              </w:rPr>
              <w:t>项目内容</w:t>
            </w:r>
          </w:p>
        </w:tc>
        <w:tc>
          <w:tcPr>
            <w:tcW w:w="1149" w:type="dxa"/>
            <w:vAlign w:val="center"/>
          </w:tcPr>
          <w:p>
            <w:pPr>
              <w:tabs>
                <w:tab w:val="left" w:pos="3780"/>
              </w:tabs>
              <w:ind w:right="84"/>
              <w:jc w:val="center"/>
              <w:rPr>
                <w:rFonts w:ascii="Arial" w:hAnsi="Arial" w:cs="Arial"/>
                <w:b/>
                <w:bCs/>
              </w:rPr>
            </w:pPr>
            <w:r>
              <w:rPr>
                <w:rFonts w:ascii="Arial" w:hAnsi="宋体" w:cs="Arial"/>
                <w:b/>
                <w:bCs/>
              </w:rPr>
              <w:t>工作数量（次）</w:t>
            </w:r>
          </w:p>
        </w:tc>
        <w:tc>
          <w:tcPr>
            <w:tcW w:w="1365" w:type="dxa"/>
            <w:vAlign w:val="center"/>
          </w:tcPr>
          <w:p>
            <w:pPr>
              <w:tabs>
                <w:tab w:val="left" w:pos="3780"/>
              </w:tabs>
              <w:ind w:right="84"/>
              <w:jc w:val="center"/>
              <w:rPr>
                <w:rFonts w:ascii="Arial" w:hAnsi="Arial" w:cs="Arial"/>
                <w:b/>
                <w:bCs/>
              </w:rPr>
            </w:pPr>
            <w:r>
              <w:rPr>
                <w:rFonts w:ascii="Arial" w:hAnsi="宋体" w:cs="Arial"/>
                <w:b/>
                <w:bCs/>
              </w:rPr>
              <w:t>单价（元）</w:t>
            </w:r>
          </w:p>
        </w:tc>
        <w:tc>
          <w:tcPr>
            <w:tcW w:w="1785" w:type="dxa"/>
            <w:vAlign w:val="center"/>
          </w:tcPr>
          <w:p>
            <w:pPr>
              <w:tabs>
                <w:tab w:val="left" w:pos="3780"/>
              </w:tabs>
              <w:ind w:right="84"/>
              <w:jc w:val="center"/>
              <w:rPr>
                <w:rFonts w:ascii="Arial" w:hAnsi="Arial" w:cs="Arial"/>
                <w:b/>
                <w:bCs/>
              </w:rPr>
            </w:pPr>
            <w:r>
              <w:rPr>
                <w:rFonts w:ascii="Arial" w:hAnsi="宋体" w:cs="Arial"/>
                <w:b/>
                <w:bCs/>
              </w:rPr>
              <w:t>分项报价（元）</w:t>
            </w:r>
          </w:p>
        </w:tc>
        <w:tc>
          <w:tcPr>
            <w:tcW w:w="2884" w:type="dxa"/>
            <w:vAlign w:val="center"/>
          </w:tcPr>
          <w:p>
            <w:pPr>
              <w:tabs>
                <w:tab w:val="left" w:pos="3780"/>
              </w:tabs>
              <w:ind w:right="84" w:firstLine="945" w:firstLineChars="450"/>
              <w:rPr>
                <w:rFonts w:ascii="Arial" w:hAnsi="Arial" w:cs="Arial"/>
                <w:b/>
                <w:bCs/>
              </w:rPr>
            </w:pPr>
            <w:r>
              <w:rPr>
                <w:rFonts w:ascii="Arial" w:hAnsi="宋体" w:cs="Arial"/>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9" w:type="dxa"/>
            <w:vAlign w:val="center"/>
          </w:tcPr>
          <w:p>
            <w:pPr>
              <w:tabs>
                <w:tab w:val="left" w:pos="3780"/>
              </w:tabs>
              <w:ind w:right="84" w:firstLine="199" w:firstLineChars="95"/>
              <w:rPr>
                <w:rFonts w:ascii="Arial" w:hAnsi="Arial" w:cs="Arial"/>
              </w:rPr>
            </w:pPr>
            <w:r>
              <w:rPr>
                <w:rFonts w:ascii="Arial" w:hAnsi="Arial" w:cs="Arial"/>
              </w:rPr>
              <w:t>1</w:t>
            </w:r>
          </w:p>
        </w:tc>
        <w:tc>
          <w:tcPr>
            <w:tcW w:w="5466" w:type="dxa"/>
            <w:gridSpan w:val="2"/>
            <w:vAlign w:val="center"/>
          </w:tcPr>
          <w:p>
            <w:pPr>
              <w:ind w:firstLine="420"/>
              <w:jc w:val="center"/>
              <w:rPr>
                <w:rFonts w:ascii="Arial" w:hAnsi="Arial" w:cs="Arial"/>
              </w:rPr>
            </w:pPr>
            <w:r>
              <w:rPr>
                <w:rFonts w:ascii="Arial" w:hAnsi="Arial" w:cs="Arial"/>
              </w:rPr>
              <w:t>3</w:t>
            </w:r>
            <w:r>
              <w:rPr>
                <w:rFonts w:ascii="Arial" w:hAnsi="宋体" w:cs="Arial"/>
              </w:rPr>
              <w:t>台冷水机组（</w:t>
            </w:r>
            <w:r>
              <w:rPr>
                <w:rFonts w:ascii="Arial" w:hAnsi="Arial" w:cs="Arial"/>
              </w:rPr>
              <w:t>1300RT+650RT+650RT</w:t>
            </w:r>
            <w:r>
              <w:rPr>
                <w:rFonts w:ascii="Arial" w:hAnsi="宋体" w:cs="Arial"/>
              </w:rPr>
              <w:t>）通炮清洗</w:t>
            </w:r>
          </w:p>
        </w:tc>
        <w:tc>
          <w:tcPr>
            <w:tcW w:w="1149" w:type="dxa"/>
            <w:vAlign w:val="center"/>
          </w:tcPr>
          <w:p>
            <w:pPr>
              <w:widowControl/>
              <w:ind w:firstLine="405" w:firstLineChars="193"/>
              <w:rPr>
                <w:rFonts w:ascii="Arial" w:hAnsi="Arial" w:cs="Arial"/>
              </w:rPr>
            </w:pPr>
            <w:r>
              <w:rPr>
                <w:rFonts w:ascii="Arial" w:hAnsi="Arial" w:cs="Arial"/>
              </w:rPr>
              <w:t>1</w:t>
            </w:r>
          </w:p>
        </w:tc>
        <w:tc>
          <w:tcPr>
            <w:tcW w:w="1365" w:type="dxa"/>
            <w:vAlign w:val="center"/>
          </w:tcPr>
          <w:p>
            <w:pPr>
              <w:ind w:firstLine="302" w:firstLineChars="144"/>
              <w:jc w:val="left"/>
              <w:rPr>
                <w:rFonts w:ascii="Arial" w:hAnsi="Arial" w:cs="Arial"/>
              </w:rPr>
            </w:pPr>
          </w:p>
        </w:tc>
        <w:tc>
          <w:tcPr>
            <w:tcW w:w="1785" w:type="dxa"/>
            <w:vAlign w:val="center"/>
          </w:tcPr>
          <w:p>
            <w:pPr>
              <w:ind w:firstLine="420"/>
              <w:jc w:val="left"/>
              <w:rPr>
                <w:rFonts w:ascii="Arial" w:hAnsi="Arial" w:cs="Arial"/>
              </w:rPr>
            </w:pPr>
          </w:p>
        </w:tc>
        <w:tc>
          <w:tcPr>
            <w:tcW w:w="2884" w:type="dxa"/>
            <w:vAlign w:val="center"/>
          </w:tcPr>
          <w:p>
            <w:pPr>
              <w:widowControl/>
              <w:ind w:firstLine="840" w:firstLineChars="400"/>
              <w:rPr>
                <w:rFonts w:ascii="Arial" w:hAnsi="Arial" w:cs="Arial"/>
              </w:rPr>
            </w:pPr>
            <w:r>
              <w:rPr>
                <w:rFonts w:ascii="Arial" w:hAnsi="Arial" w:cs="Arial"/>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9" w:type="dxa"/>
            <w:vAlign w:val="center"/>
          </w:tcPr>
          <w:p>
            <w:pPr>
              <w:tabs>
                <w:tab w:val="left" w:pos="3780"/>
              </w:tabs>
              <w:ind w:right="84" w:firstLine="199" w:firstLineChars="95"/>
              <w:rPr>
                <w:rFonts w:ascii="Arial" w:hAnsi="Arial" w:cs="Arial"/>
              </w:rPr>
            </w:pPr>
            <w:r>
              <w:rPr>
                <w:rFonts w:ascii="Arial" w:hAnsi="Arial" w:cs="Arial"/>
              </w:rPr>
              <w:t>2</w:t>
            </w:r>
          </w:p>
        </w:tc>
        <w:tc>
          <w:tcPr>
            <w:tcW w:w="5466" w:type="dxa"/>
            <w:gridSpan w:val="2"/>
            <w:vAlign w:val="center"/>
          </w:tcPr>
          <w:p>
            <w:pPr>
              <w:ind w:firstLine="420"/>
              <w:jc w:val="center"/>
              <w:rPr>
                <w:rFonts w:ascii="Arial" w:hAnsi="Arial" w:cs="Arial"/>
              </w:rPr>
            </w:pPr>
            <w:r>
              <w:rPr>
                <w:rFonts w:ascii="Arial" w:hAnsi="Arial" w:cs="Arial"/>
              </w:rPr>
              <w:t>10</w:t>
            </w:r>
            <w:r>
              <w:rPr>
                <w:rFonts w:ascii="Arial" w:hAnsi="宋体" w:cs="Arial"/>
              </w:rPr>
              <w:t>台水泵</w:t>
            </w:r>
            <w:r>
              <w:rPr>
                <w:rFonts w:ascii="Arial" w:hAnsi="Arial" w:cs="Arial"/>
              </w:rPr>
              <w:t>Y</w:t>
            </w:r>
            <w:r>
              <w:rPr>
                <w:rFonts w:ascii="Arial" w:hAnsi="宋体" w:cs="Arial"/>
              </w:rPr>
              <w:t>型过滤器清洗及密封</w:t>
            </w:r>
          </w:p>
        </w:tc>
        <w:tc>
          <w:tcPr>
            <w:tcW w:w="1149" w:type="dxa"/>
            <w:vAlign w:val="center"/>
          </w:tcPr>
          <w:p>
            <w:pPr>
              <w:widowControl/>
              <w:ind w:firstLine="405" w:firstLineChars="193"/>
              <w:rPr>
                <w:rFonts w:ascii="Arial" w:hAnsi="Arial" w:cs="Arial"/>
              </w:rPr>
            </w:pPr>
            <w:r>
              <w:rPr>
                <w:rFonts w:ascii="Arial" w:hAnsi="Arial" w:cs="Arial"/>
              </w:rPr>
              <w:t>1</w:t>
            </w:r>
          </w:p>
        </w:tc>
        <w:tc>
          <w:tcPr>
            <w:tcW w:w="1365" w:type="dxa"/>
            <w:vAlign w:val="center"/>
          </w:tcPr>
          <w:p>
            <w:pPr>
              <w:ind w:firstLine="298" w:firstLineChars="142"/>
              <w:jc w:val="left"/>
              <w:rPr>
                <w:rFonts w:ascii="Arial" w:hAnsi="Arial" w:cs="Arial"/>
              </w:rPr>
            </w:pPr>
          </w:p>
        </w:tc>
        <w:tc>
          <w:tcPr>
            <w:tcW w:w="1785" w:type="dxa"/>
            <w:vAlign w:val="center"/>
          </w:tcPr>
          <w:p>
            <w:pPr>
              <w:ind w:firstLine="405" w:firstLineChars="193"/>
              <w:rPr>
                <w:rFonts w:ascii="Arial" w:hAnsi="Arial" w:cs="Arial"/>
              </w:rPr>
            </w:pPr>
          </w:p>
        </w:tc>
        <w:tc>
          <w:tcPr>
            <w:tcW w:w="2884" w:type="dxa"/>
            <w:vAlign w:val="center"/>
          </w:tcPr>
          <w:p>
            <w:pPr>
              <w:widowControl/>
              <w:ind w:firstLine="840" w:firstLineChars="400"/>
              <w:rPr>
                <w:rFonts w:ascii="Arial" w:hAnsi="Arial" w:cs="Arial"/>
              </w:rPr>
            </w:pPr>
            <w:r>
              <w:rPr>
                <w:rFonts w:ascii="Arial" w:hAnsi="Arial" w:cs="Arial"/>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9" w:type="dxa"/>
            <w:vAlign w:val="center"/>
          </w:tcPr>
          <w:p>
            <w:pPr>
              <w:tabs>
                <w:tab w:val="left" w:pos="3780"/>
              </w:tabs>
              <w:ind w:right="84" w:firstLine="199" w:firstLineChars="95"/>
              <w:rPr>
                <w:rFonts w:ascii="Arial" w:hAnsi="Arial" w:cs="Arial"/>
              </w:rPr>
            </w:pPr>
            <w:r>
              <w:rPr>
                <w:rFonts w:ascii="Arial" w:hAnsi="Arial" w:cs="Arial"/>
              </w:rPr>
              <w:t>3</w:t>
            </w:r>
          </w:p>
        </w:tc>
        <w:tc>
          <w:tcPr>
            <w:tcW w:w="5466" w:type="dxa"/>
            <w:gridSpan w:val="2"/>
            <w:vAlign w:val="center"/>
          </w:tcPr>
          <w:p>
            <w:pPr>
              <w:ind w:firstLine="420"/>
              <w:jc w:val="center"/>
              <w:rPr>
                <w:rFonts w:ascii="Arial" w:hAnsi="Arial" w:cs="Arial"/>
              </w:rPr>
            </w:pPr>
            <w:r>
              <w:rPr>
                <w:rFonts w:ascii="Arial" w:hAnsi="Arial" w:cs="Arial"/>
              </w:rPr>
              <w:t>3</w:t>
            </w:r>
            <w:r>
              <w:rPr>
                <w:rFonts w:ascii="Arial" w:hAnsi="宋体" w:cs="Arial"/>
              </w:rPr>
              <w:t>台冷凝器在线清洗装置清洗、塑料球更换</w:t>
            </w:r>
          </w:p>
        </w:tc>
        <w:tc>
          <w:tcPr>
            <w:tcW w:w="1149" w:type="dxa"/>
            <w:vAlign w:val="center"/>
          </w:tcPr>
          <w:p>
            <w:pPr>
              <w:widowControl/>
              <w:ind w:firstLine="405" w:firstLineChars="193"/>
              <w:rPr>
                <w:rFonts w:ascii="Arial" w:hAnsi="Arial" w:cs="Arial"/>
              </w:rPr>
            </w:pPr>
            <w:r>
              <w:rPr>
                <w:rFonts w:ascii="Arial" w:hAnsi="Arial" w:cs="Arial"/>
              </w:rPr>
              <w:t>1</w:t>
            </w:r>
          </w:p>
        </w:tc>
        <w:tc>
          <w:tcPr>
            <w:tcW w:w="1365" w:type="dxa"/>
            <w:vAlign w:val="center"/>
          </w:tcPr>
          <w:p>
            <w:pPr>
              <w:ind w:firstLine="302" w:firstLineChars="144"/>
              <w:jc w:val="left"/>
              <w:rPr>
                <w:rFonts w:ascii="Arial" w:hAnsi="Arial" w:cs="Arial"/>
              </w:rPr>
            </w:pPr>
          </w:p>
        </w:tc>
        <w:tc>
          <w:tcPr>
            <w:tcW w:w="1785" w:type="dxa"/>
            <w:vAlign w:val="center"/>
          </w:tcPr>
          <w:p>
            <w:pPr>
              <w:ind w:firstLine="420"/>
              <w:jc w:val="left"/>
              <w:rPr>
                <w:rFonts w:ascii="Arial" w:hAnsi="Arial" w:cs="Arial"/>
              </w:rPr>
            </w:pPr>
          </w:p>
        </w:tc>
        <w:tc>
          <w:tcPr>
            <w:tcW w:w="2884" w:type="dxa"/>
            <w:vAlign w:val="center"/>
          </w:tcPr>
          <w:p>
            <w:pPr>
              <w:widowControl/>
              <w:ind w:firstLine="840" w:firstLineChars="400"/>
              <w:rPr>
                <w:rFonts w:ascii="Arial" w:hAnsi="Arial" w:cs="Arial"/>
              </w:rPr>
            </w:pPr>
            <w:r>
              <w:rPr>
                <w:rFonts w:ascii="Arial" w:hAnsi="Arial" w:cs="Arial"/>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9" w:type="dxa"/>
            <w:vAlign w:val="center"/>
          </w:tcPr>
          <w:p>
            <w:pPr>
              <w:tabs>
                <w:tab w:val="left" w:pos="3780"/>
              </w:tabs>
              <w:ind w:right="84" w:firstLine="199" w:firstLineChars="95"/>
              <w:rPr>
                <w:rFonts w:ascii="Arial" w:hAnsi="Arial" w:cs="Arial"/>
              </w:rPr>
            </w:pPr>
            <w:r>
              <w:rPr>
                <w:rFonts w:hint="eastAsia" w:ascii="Arial" w:hAnsi="Arial" w:cs="Arial"/>
              </w:rPr>
              <w:t>4</w:t>
            </w:r>
          </w:p>
        </w:tc>
        <w:tc>
          <w:tcPr>
            <w:tcW w:w="5466" w:type="dxa"/>
            <w:gridSpan w:val="2"/>
            <w:vAlign w:val="center"/>
          </w:tcPr>
          <w:p>
            <w:pPr>
              <w:ind w:firstLine="420"/>
              <w:jc w:val="center"/>
              <w:rPr>
                <w:rFonts w:ascii="Arial" w:hAnsi="Arial" w:cs="Arial"/>
              </w:rPr>
            </w:pPr>
            <w:r>
              <w:rPr>
                <w:rFonts w:ascii="Arial" w:hAnsi="Arial" w:cs="Arial"/>
              </w:rPr>
              <w:t>2</w:t>
            </w:r>
            <w:r>
              <w:rPr>
                <w:rFonts w:ascii="Arial" w:hAnsi="宋体" w:cs="Arial"/>
              </w:rPr>
              <w:t>台</w:t>
            </w:r>
            <w:r>
              <w:rPr>
                <w:rFonts w:ascii="Arial" w:hAnsi="Arial" w:cs="Arial"/>
              </w:rPr>
              <w:t>4571kw</w:t>
            </w:r>
            <w:r>
              <w:rPr>
                <w:rFonts w:ascii="Arial" w:hAnsi="宋体" w:cs="Arial"/>
              </w:rPr>
              <w:t>板换设备药剂清洗</w:t>
            </w:r>
          </w:p>
        </w:tc>
        <w:tc>
          <w:tcPr>
            <w:tcW w:w="1149" w:type="dxa"/>
            <w:vAlign w:val="center"/>
          </w:tcPr>
          <w:p>
            <w:pPr>
              <w:widowControl/>
              <w:ind w:firstLine="405" w:firstLineChars="193"/>
              <w:rPr>
                <w:rFonts w:ascii="Arial" w:hAnsi="Arial" w:cs="Arial"/>
              </w:rPr>
            </w:pPr>
            <w:r>
              <w:rPr>
                <w:rFonts w:ascii="Arial" w:hAnsi="Arial" w:cs="Arial"/>
              </w:rPr>
              <w:t>1</w:t>
            </w:r>
          </w:p>
        </w:tc>
        <w:tc>
          <w:tcPr>
            <w:tcW w:w="1365" w:type="dxa"/>
            <w:vAlign w:val="center"/>
          </w:tcPr>
          <w:p>
            <w:pPr>
              <w:ind w:firstLine="298" w:firstLineChars="142"/>
              <w:jc w:val="left"/>
              <w:rPr>
                <w:rFonts w:ascii="Arial" w:hAnsi="Arial" w:cs="Arial"/>
              </w:rPr>
            </w:pPr>
          </w:p>
        </w:tc>
        <w:tc>
          <w:tcPr>
            <w:tcW w:w="1785" w:type="dxa"/>
            <w:vAlign w:val="center"/>
          </w:tcPr>
          <w:p>
            <w:pPr>
              <w:ind w:firstLine="420"/>
              <w:jc w:val="left"/>
              <w:rPr>
                <w:rFonts w:ascii="Arial" w:hAnsi="Arial" w:cs="Arial"/>
              </w:rPr>
            </w:pPr>
          </w:p>
        </w:tc>
        <w:tc>
          <w:tcPr>
            <w:tcW w:w="2884" w:type="dxa"/>
            <w:vAlign w:val="center"/>
          </w:tcPr>
          <w:p>
            <w:pPr>
              <w:widowControl/>
              <w:ind w:firstLine="840" w:firstLineChars="400"/>
              <w:rPr>
                <w:rFonts w:ascii="Arial" w:hAnsi="Arial" w:cs="Arial"/>
              </w:rPr>
            </w:pPr>
            <w:r>
              <w:rPr>
                <w:rFonts w:ascii="Arial" w:hAnsi="Arial" w:cs="Arial"/>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9" w:type="dxa"/>
            <w:vAlign w:val="center"/>
          </w:tcPr>
          <w:p>
            <w:pPr>
              <w:tabs>
                <w:tab w:val="left" w:pos="3780"/>
              </w:tabs>
              <w:ind w:right="84" w:firstLine="199" w:firstLineChars="95"/>
              <w:rPr>
                <w:rFonts w:ascii="Arial" w:hAnsi="Arial" w:cs="Arial"/>
              </w:rPr>
            </w:pPr>
            <w:r>
              <w:rPr>
                <w:rFonts w:hint="eastAsia" w:ascii="Arial" w:hAnsi="Arial" w:cs="Arial"/>
              </w:rPr>
              <w:t>5</w:t>
            </w:r>
          </w:p>
        </w:tc>
        <w:tc>
          <w:tcPr>
            <w:tcW w:w="5466" w:type="dxa"/>
            <w:gridSpan w:val="2"/>
            <w:vAlign w:val="center"/>
          </w:tcPr>
          <w:p>
            <w:pPr>
              <w:ind w:firstLine="420"/>
              <w:jc w:val="center"/>
              <w:rPr>
                <w:rFonts w:ascii="Arial" w:hAnsi="Arial" w:cs="Arial"/>
              </w:rPr>
            </w:pPr>
            <w:r>
              <w:rPr>
                <w:rFonts w:hint="eastAsia" w:ascii="Arial" w:hAnsi="宋体" w:cs="Arial"/>
              </w:rPr>
              <w:t>地下室50立方生活用水箱</w:t>
            </w:r>
            <w:r>
              <w:rPr>
                <w:rFonts w:ascii="Arial" w:hAnsi="宋体" w:cs="Arial"/>
              </w:rPr>
              <w:t>清洗除垢</w:t>
            </w:r>
          </w:p>
        </w:tc>
        <w:tc>
          <w:tcPr>
            <w:tcW w:w="1149" w:type="dxa"/>
            <w:vAlign w:val="center"/>
          </w:tcPr>
          <w:p>
            <w:pPr>
              <w:widowControl/>
              <w:ind w:firstLine="405" w:firstLineChars="193"/>
              <w:rPr>
                <w:rFonts w:ascii="Arial" w:hAnsi="Arial" w:cs="Arial"/>
              </w:rPr>
            </w:pPr>
            <w:r>
              <w:rPr>
                <w:rFonts w:ascii="Arial" w:hAnsi="Arial" w:cs="Arial"/>
              </w:rPr>
              <w:t>1</w:t>
            </w:r>
          </w:p>
        </w:tc>
        <w:tc>
          <w:tcPr>
            <w:tcW w:w="1365" w:type="dxa"/>
            <w:vAlign w:val="center"/>
          </w:tcPr>
          <w:p>
            <w:pPr>
              <w:ind w:firstLine="298" w:firstLineChars="142"/>
              <w:jc w:val="left"/>
              <w:rPr>
                <w:rFonts w:ascii="Arial" w:hAnsi="Arial" w:cs="Arial"/>
              </w:rPr>
            </w:pPr>
          </w:p>
        </w:tc>
        <w:tc>
          <w:tcPr>
            <w:tcW w:w="1785" w:type="dxa"/>
            <w:vAlign w:val="center"/>
          </w:tcPr>
          <w:p>
            <w:pPr>
              <w:ind w:firstLine="420"/>
              <w:jc w:val="left"/>
              <w:rPr>
                <w:rFonts w:ascii="Arial" w:hAnsi="Arial" w:cs="Arial"/>
              </w:rPr>
            </w:pPr>
          </w:p>
        </w:tc>
        <w:tc>
          <w:tcPr>
            <w:tcW w:w="2884" w:type="dxa"/>
            <w:vAlign w:val="center"/>
          </w:tcPr>
          <w:p>
            <w:pPr>
              <w:widowControl/>
              <w:ind w:firstLine="840" w:firstLineChars="400"/>
              <w:rPr>
                <w:rFonts w:ascii="Arial" w:hAnsi="Arial" w:cs="Arial"/>
              </w:rPr>
            </w:pPr>
            <w:r>
              <w:rPr>
                <w:rFonts w:ascii="Arial" w:hAnsi="Arial" w:cs="Arial"/>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9" w:type="dxa"/>
            <w:vMerge w:val="restart"/>
            <w:vAlign w:val="center"/>
          </w:tcPr>
          <w:p>
            <w:pPr>
              <w:tabs>
                <w:tab w:val="left" w:pos="3780"/>
              </w:tabs>
              <w:ind w:right="84" w:firstLine="199" w:firstLineChars="95"/>
              <w:rPr>
                <w:rFonts w:ascii="Arial" w:hAnsi="Arial" w:cs="Arial"/>
              </w:rPr>
            </w:pPr>
            <w:r>
              <w:rPr>
                <w:rFonts w:hint="eastAsia" w:ascii="Arial" w:hAnsi="Arial" w:cs="Arial"/>
              </w:rPr>
              <w:t>6</w:t>
            </w:r>
          </w:p>
        </w:tc>
        <w:tc>
          <w:tcPr>
            <w:tcW w:w="2940" w:type="dxa"/>
            <w:vMerge w:val="restart"/>
            <w:vAlign w:val="center"/>
          </w:tcPr>
          <w:p>
            <w:pPr>
              <w:jc w:val="center"/>
              <w:rPr>
                <w:rFonts w:ascii="Arial" w:hAnsi="Arial" w:cs="Arial"/>
              </w:rPr>
            </w:pPr>
            <w:r>
              <w:rPr>
                <w:rFonts w:ascii="Arial" w:hAnsi="宋体" w:cs="Arial"/>
              </w:rPr>
              <w:t>冷却水系统定期加药及药剂</w:t>
            </w:r>
          </w:p>
        </w:tc>
        <w:tc>
          <w:tcPr>
            <w:tcW w:w="2526" w:type="dxa"/>
            <w:vAlign w:val="center"/>
          </w:tcPr>
          <w:p>
            <w:pPr>
              <w:jc w:val="center"/>
              <w:rPr>
                <w:rFonts w:ascii="Arial" w:hAnsi="Arial" w:cs="Arial"/>
              </w:rPr>
            </w:pPr>
            <w:r>
              <w:rPr>
                <w:rFonts w:ascii="Arial" w:hAnsi="宋体" w:cs="Arial"/>
              </w:rPr>
              <w:t>清洗剂及预膜剂加药</w:t>
            </w:r>
          </w:p>
        </w:tc>
        <w:tc>
          <w:tcPr>
            <w:tcW w:w="1149" w:type="dxa"/>
            <w:vAlign w:val="center"/>
          </w:tcPr>
          <w:p>
            <w:pPr>
              <w:widowControl/>
              <w:ind w:firstLine="405" w:firstLineChars="193"/>
              <w:rPr>
                <w:rFonts w:ascii="Arial" w:hAnsi="Arial" w:cs="Arial"/>
              </w:rPr>
            </w:pPr>
            <w:r>
              <w:rPr>
                <w:rFonts w:ascii="Arial" w:hAnsi="Arial" w:cs="Arial"/>
              </w:rPr>
              <w:t>1</w:t>
            </w:r>
          </w:p>
        </w:tc>
        <w:tc>
          <w:tcPr>
            <w:tcW w:w="1365" w:type="dxa"/>
            <w:vAlign w:val="center"/>
          </w:tcPr>
          <w:p>
            <w:pPr>
              <w:ind w:firstLine="298" w:firstLineChars="142"/>
              <w:jc w:val="left"/>
              <w:rPr>
                <w:rFonts w:ascii="Arial" w:hAnsi="Arial" w:cs="Arial"/>
              </w:rPr>
            </w:pPr>
          </w:p>
        </w:tc>
        <w:tc>
          <w:tcPr>
            <w:tcW w:w="1785" w:type="dxa"/>
            <w:vAlign w:val="center"/>
          </w:tcPr>
          <w:p>
            <w:pPr>
              <w:ind w:firstLine="420"/>
              <w:jc w:val="left"/>
              <w:rPr>
                <w:rFonts w:ascii="Arial" w:hAnsi="Arial" w:cs="Arial"/>
              </w:rPr>
            </w:pPr>
          </w:p>
        </w:tc>
        <w:tc>
          <w:tcPr>
            <w:tcW w:w="2884" w:type="dxa"/>
            <w:vMerge w:val="restart"/>
            <w:vAlign w:val="center"/>
          </w:tcPr>
          <w:p>
            <w:pPr>
              <w:widowControl/>
              <w:ind w:firstLine="420"/>
              <w:jc w:val="center"/>
              <w:rPr>
                <w:rFonts w:ascii="Arial" w:hAnsi="Arial" w:cs="Arial"/>
              </w:rPr>
            </w:pPr>
            <w:r>
              <w:rPr>
                <w:rFonts w:ascii="Arial" w:hAnsi="宋体" w:cs="Arial"/>
              </w:rPr>
              <w:t>清洗剂、预膜剂：</w:t>
            </w:r>
            <w:r>
              <w:rPr>
                <w:rFonts w:ascii="Arial" w:hAnsi="Arial" w:cs="Arial"/>
              </w:rPr>
              <w:t>1</w:t>
            </w:r>
            <w:r>
              <w:rPr>
                <w:rFonts w:ascii="Arial" w:hAnsi="宋体" w:cs="Arial"/>
              </w:rPr>
              <w:t>次</w:t>
            </w:r>
            <w:r>
              <w:rPr>
                <w:rFonts w:ascii="Arial" w:hAnsi="Arial" w:cs="Arial"/>
              </w:rPr>
              <w:t>/</w:t>
            </w:r>
            <w:r>
              <w:rPr>
                <w:rFonts w:ascii="Arial" w:hAnsi="宋体" w:cs="Arial"/>
              </w:rPr>
              <w:t>年；杀菌剂、灭藻剂：</w:t>
            </w:r>
            <w:r>
              <w:rPr>
                <w:rFonts w:ascii="Arial" w:hAnsi="Arial" w:cs="Arial"/>
              </w:rPr>
              <w:t>1</w:t>
            </w:r>
            <w:r>
              <w:rPr>
                <w:rFonts w:ascii="Arial" w:hAnsi="宋体" w:cs="Arial"/>
              </w:rPr>
              <w:t>次</w:t>
            </w:r>
            <w:r>
              <w:rPr>
                <w:rFonts w:ascii="Arial" w:hAnsi="Arial" w:cs="Arial"/>
              </w:rPr>
              <w:t>/</w:t>
            </w:r>
            <w:r>
              <w:rPr>
                <w:rFonts w:ascii="Arial" w:hAnsi="宋体" w:cs="Arial"/>
              </w:rPr>
              <w:t>月；阻垢缓蚀剂：</w:t>
            </w:r>
            <w:r>
              <w:rPr>
                <w:rFonts w:ascii="Arial" w:hAnsi="Arial" w:cs="Arial"/>
              </w:rPr>
              <w:t>1</w:t>
            </w:r>
            <w:r>
              <w:rPr>
                <w:rFonts w:ascii="Arial" w:hAnsi="宋体" w:cs="Arial"/>
              </w:rPr>
              <w:t>次</w:t>
            </w:r>
            <w:r>
              <w:rPr>
                <w:rFonts w:ascii="Arial" w:hAnsi="Arial" w:cs="Arial"/>
              </w:rPr>
              <w:t>/</w:t>
            </w:r>
            <w:r>
              <w:rPr>
                <w:rFonts w:ascii="Arial" w:hAnsi="宋体" w:cs="Arial"/>
              </w:rPr>
              <w:t>周（阻垢缓蚀剂根据水质测试分析结果进行投放调整）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9" w:type="dxa"/>
            <w:vMerge w:val="continue"/>
            <w:vAlign w:val="center"/>
          </w:tcPr>
          <w:p>
            <w:pPr>
              <w:tabs>
                <w:tab w:val="left" w:pos="3780"/>
              </w:tabs>
              <w:ind w:right="84" w:firstLine="420"/>
              <w:jc w:val="center"/>
              <w:rPr>
                <w:rFonts w:ascii="Arial" w:hAnsi="Arial" w:cs="Arial"/>
              </w:rPr>
            </w:pPr>
          </w:p>
        </w:tc>
        <w:tc>
          <w:tcPr>
            <w:tcW w:w="2940" w:type="dxa"/>
            <w:vMerge w:val="continue"/>
            <w:vAlign w:val="center"/>
          </w:tcPr>
          <w:p>
            <w:pPr>
              <w:ind w:firstLine="420"/>
              <w:jc w:val="center"/>
              <w:rPr>
                <w:rFonts w:ascii="Arial" w:hAnsi="Arial" w:cs="Arial"/>
              </w:rPr>
            </w:pPr>
          </w:p>
        </w:tc>
        <w:tc>
          <w:tcPr>
            <w:tcW w:w="2526" w:type="dxa"/>
            <w:vAlign w:val="center"/>
          </w:tcPr>
          <w:p>
            <w:pPr>
              <w:jc w:val="center"/>
              <w:rPr>
                <w:rFonts w:ascii="Arial" w:hAnsi="Arial" w:cs="Arial"/>
              </w:rPr>
            </w:pPr>
            <w:r>
              <w:rPr>
                <w:rFonts w:ascii="Arial" w:hAnsi="宋体" w:cs="Arial"/>
              </w:rPr>
              <w:t>杀菌剂及灭藻剂加药</w:t>
            </w:r>
          </w:p>
        </w:tc>
        <w:tc>
          <w:tcPr>
            <w:tcW w:w="1149" w:type="dxa"/>
            <w:vAlign w:val="center"/>
          </w:tcPr>
          <w:p>
            <w:pPr>
              <w:widowControl/>
              <w:ind w:firstLine="302" w:firstLineChars="144"/>
              <w:rPr>
                <w:rFonts w:ascii="Arial" w:hAnsi="Arial" w:cs="Arial"/>
              </w:rPr>
            </w:pPr>
            <w:r>
              <w:rPr>
                <w:rFonts w:ascii="Arial" w:hAnsi="Arial" w:cs="Arial"/>
              </w:rPr>
              <w:t>12</w:t>
            </w:r>
          </w:p>
        </w:tc>
        <w:tc>
          <w:tcPr>
            <w:tcW w:w="1365" w:type="dxa"/>
            <w:vAlign w:val="center"/>
          </w:tcPr>
          <w:p>
            <w:pPr>
              <w:ind w:firstLine="298" w:firstLineChars="142"/>
              <w:jc w:val="left"/>
              <w:rPr>
                <w:rFonts w:ascii="Arial" w:hAnsi="Arial" w:cs="Arial"/>
              </w:rPr>
            </w:pPr>
          </w:p>
        </w:tc>
        <w:tc>
          <w:tcPr>
            <w:tcW w:w="1785" w:type="dxa"/>
            <w:vAlign w:val="center"/>
          </w:tcPr>
          <w:p>
            <w:pPr>
              <w:ind w:firstLine="420"/>
              <w:jc w:val="left"/>
              <w:rPr>
                <w:rFonts w:ascii="Arial" w:hAnsi="Arial" w:cs="Arial"/>
              </w:rPr>
            </w:pPr>
          </w:p>
        </w:tc>
        <w:tc>
          <w:tcPr>
            <w:tcW w:w="2884" w:type="dxa"/>
            <w:vMerge w:val="continue"/>
            <w:vAlign w:val="center"/>
          </w:tcPr>
          <w:p>
            <w:pPr>
              <w:widowControl/>
              <w:ind w:firstLine="420"/>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9" w:type="dxa"/>
            <w:vAlign w:val="center"/>
          </w:tcPr>
          <w:p>
            <w:pPr>
              <w:tabs>
                <w:tab w:val="left" w:pos="3780"/>
              </w:tabs>
              <w:ind w:right="84"/>
              <w:jc w:val="center"/>
              <w:rPr>
                <w:rFonts w:ascii="Arial" w:hAnsi="Arial" w:cs="Arial"/>
              </w:rPr>
            </w:pPr>
            <w:r>
              <w:rPr>
                <w:rFonts w:hint="eastAsia" w:ascii="Arial" w:hAnsi="Arial" w:cs="Arial"/>
              </w:rPr>
              <w:t>7</w:t>
            </w:r>
          </w:p>
        </w:tc>
        <w:tc>
          <w:tcPr>
            <w:tcW w:w="2940" w:type="dxa"/>
            <w:vAlign w:val="center"/>
          </w:tcPr>
          <w:p>
            <w:pPr>
              <w:jc w:val="center"/>
              <w:rPr>
                <w:rFonts w:ascii="Arial" w:hAnsi="Arial" w:cs="Arial"/>
              </w:rPr>
            </w:pPr>
            <w:r>
              <w:rPr>
                <w:rFonts w:ascii="Arial" w:hAnsi="宋体" w:cs="Arial"/>
              </w:rPr>
              <w:t>冷冻水系统定期加药及药剂</w:t>
            </w:r>
          </w:p>
        </w:tc>
        <w:tc>
          <w:tcPr>
            <w:tcW w:w="2526" w:type="dxa"/>
            <w:vAlign w:val="center"/>
          </w:tcPr>
          <w:p>
            <w:pPr>
              <w:jc w:val="center"/>
              <w:rPr>
                <w:rFonts w:ascii="Arial" w:hAnsi="Arial" w:cs="Arial"/>
              </w:rPr>
            </w:pPr>
            <w:r>
              <w:rPr>
                <w:rFonts w:ascii="Arial" w:hAnsi="宋体" w:cs="Arial"/>
              </w:rPr>
              <w:t>阻垢缓蚀剂加药</w:t>
            </w:r>
          </w:p>
        </w:tc>
        <w:tc>
          <w:tcPr>
            <w:tcW w:w="1149" w:type="dxa"/>
            <w:vAlign w:val="center"/>
          </w:tcPr>
          <w:p>
            <w:pPr>
              <w:widowControl/>
              <w:ind w:firstLine="298" w:firstLineChars="142"/>
              <w:rPr>
                <w:rFonts w:ascii="Arial" w:hAnsi="Arial" w:cs="Arial"/>
              </w:rPr>
            </w:pPr>
            <w:r>
              <w:rPr>
                <w:rFonts w:ascii="Arial" w:hAnsi="Arial" w:cs="Arial"/>
              </w:rPr>
              <w:t>52</w:t>
            </w:r>
          </w:p>
        </w:tc>
        <w:tc>
          <w:tcPr>
            <w:tcW w:w="1365" w:type="dxa"/>
            <w:vAlign w:val="center"/>
          </w:tcPr>
          <w:p>
            <w:pPr>
              <w:ind w:firstLine="401" w:firstLineChars="191"/>
              <w:jc w:val="left"/>
              <w:rPr>
                <w:rFonts w:ascii="Arial" w:hAnsi="Arial" w:cs="Arial"/>
              </w:rPr>
            </w:pPr>
          </w:p>
        </w:tc>
        <w:tc>
          <w:tcPr>
            <w:tcW w:w="1785" w:type="dxa"/>
            <w:vAlign w:val="center"/>
          </w:tcPr>
          <w:p>
            <w:pPr>
              <w:ind w:firstLine="405" w:firstLineChars="193"/>
              <w:jc w:val="left"/>
              <w:rPr>
                <w:rFonts w:ascii="Arial" w:hAnsi="Arial" w:cs="Arial"/>
              </w:rPr>
            </w:pPr>
          </w:p>
        </w:tc>
        <w:tc>
          <w:tcPr>
            <w:tcW w:w="2884" w:type="dxa"/>
            <w:vMerge w:val="continue"/>
            <w:vAlign w:val="center"/>
          </w:tcPr>
          <w:p>
            <w:pPr>
              <w:widowControl/>
              <w:ind w:firstLine="420"/>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9" w:type="dxa"/>
            <w:vAlign w:val="center"/>
          </w:tcPr>
          <w:p>
            <w:pPr>
              <w:tabs>
                <w:tab w:val="left" w:pos="3780"/>
              </w:tabs>
              <w:ind w:right="84"/>
              <w:jc w:val="center"/>
              <w:rPr>
                <w:rFonts w:ascii="Arial" w:hAnsi="Arial" w:cs="Arial"/>
              </w:rPr>
            </w:pPr>
            <w:r>
              <w:rPr>
                <w:rFonts w:hint="eastAsia" w:ascii="Arial" w:hAnsi="Arial" w:cs="Arial"/>
              </w:rPr>
              <w:t>8</w:t>
            </w:r>
          </w:p>
        </w:tc>
        <w:tc>
          <w:tcPr>
            <w:tcW w:w="5466" w:type="dxa"/>
            <w:gridSpan w:val="2"/>
            <w:vAlign w:val="center"/>
          </w:tcPr>
          <w:p>
            <w:pPr>
              <w:ind w:firstLine="420"/>
              <w:jc w:val="center"/>
              <w:rPr>
                <w:rFonts w:ascii="Arial" w:hAnsi="Arial" w:cs="Arial"/>
              </w:rPr>
            </w:pPr>
            <w:r>
              <w:rPr>
                <w:rFonts w:ascii="Arial" w:hAnsi="宋体" w:cs="Arial"/>
              </w:rPr>
              <w:t>屋顶</w:t>
            </w:r>
            <w:r>
              <w:rPr>
                <w:rFonts w:ascii="Arial" w:hAnsi="Arial" w:cs="Arial"/>
              </w:rPr>
              <w:t>50</w:t>
            </w:r>
            <w:r>
              <w:rPr>
                <w:rFonts w:ascii="Arial" w:hAnsi="宋体" w:cs="Arial"/>
              </w:rPr>
              <w:t>立方空调补水水箱清洗除垢</w:t>
            </w:r>
          </w:p>
        </w:tc>
        <w:tc>
          <w:tcPr>
            <w:tcW w:w="1149" w:type="dxa"/>
            <w:vAlign w:val="center"/>
          </w:tcPr>
          <w:p>
            <w:pPr>
              <w:widowControl/>
              <w:ind w:firstLine="405" w:firstLineChars="193"/>
              <w:rPr>
                <w:rFonts w:ascii="Arial" w:hAnsi="Arial" w:cs="Arial"/>
              </w:rPr>
            </w:pPr>
            <w:r>
              <w:rPr>
                <w:rFonts w:ascii="Arial" w:hAnsi="Arial" w:cs="Arial"/>
              </w:rPr>
              <w:t>1</w:t>
            </w:r>
          </w:p>
        </w:tc>
        <w:tc>
          <w:tcPr>
            <w:tcW w:w="1365" w:type="dxa"/>
            <w:vAlign w:val="center"/>
          </w:tcPr>
          <w:p>
            <w:pPr>
              <w:ind w:firstLine="420"/>
              <w:jc w:val="left"/>
              <w:rPr>
                <w:rFonts w:ascii="Arial" w:hAnsi="Arial" w:cs="Arial"/>
              </w:rPr>
            </w:pPr>
          </w:p>
        </w:tc>
        <w:tc>
          <w:tcPr>
            <w:tcW w:w="1785" w:type="dxa"/>
            <w:vAlign w:val="center"/>
          </w:tcPr>
          <w:p>
            <w:pPr>
              <w:ind w:firstLine="525" w:firstLineChars="250"/>
              <w:jc w:val="left"/>
              <w:rPr>
                <w:rFonts w:ascii="Arial" w:hAnsi="Arial" w:cs="Arial"/>
              </w:rPr>
            </w:pPr>
          </w:p>
        </w:tc>
        <w:tc>
          <w:tcPr>
            <w:tcW w:w="2884" w:type="dxa"/>
            <w:vAlign w:val="center"/>
          </w:tcPr>
          <w:p>
            <w:pPr>
              <w:widowControl/>
              <w:ind w:firstLine="840" w:firstLineChars="400"/>
              <w:rPr>
                <w:rFonts w:ascii="Arial" w:hAnsi="Arial" w:cs="Arial"/>
              </w:rPr>
            </w:pPr>
            <w:r>
              <w:rPr>
                <w:rFonts w:ascii="Arial" w:hAnsi="Arial" w:cs="Arial"/>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9" w:type="dxa"/>
            <w:vAlign w:val="center"/>
          </w:tcPr>
          <w:p>
            <w:pPr>
              <w:tabs>
                <w:tab w:val="left" w:pos="3780"/>
              </w:tabs>
              <w:ind w:right="84"/>
              <w:jc w:val="center"/>
              <w:rPr>
                <w:rFonts w:ascii="Arial" w:hAnsi="Arial" w:cs="Arial"/>
              </w:rPr>
            </w:pPr>
            <w:r>
              <w:rPr>
                <w:rFonts w:hint="eastAsia" w:ascii="Arial" w:hAnsi="Arial" w:cs="Arial"/>
              </w:rPr>
              <w:t>9</w:t>
            </w:r>
          </w:p>
        </w:tc>
        <w:tc>
          <w:tcPr>
            <w:tcW w:w="5466" w:type="dxa"/>
            <w:gridSpan w:val="2"/>
            <w:vAlign w:val="center"/>
          </w:tcPr>
          <w:p>
            <w:pPr>
              <w:ind w:firstLine="420"/>
              <w:jc w:val="center"/>
              <w:rPr>
                <w:rFonts w:ascii="Arial" w:hAnsi="Arial" w:cs="Arial"/>
              </w:rPr>
            </w:pPr>
            <w:r>
              <w:rPr>
                <w:rFonts w:ascii="Arial" w:hAnsi="宋体" w:cs="Arial"/>
              </w:rPr>
              <w:t>屋顶</w:t>
            </w:r>
            <w:r>
              <w:rPr>
                <w:rFonts w:ascii="Arial" w:hAnsi="Arial" w:cs="Arial"/>
              </w:rPr>
              <w:t>4</w:t>
            </w:r>
            <w:r>
              <w:rPr>
                <w:rFonts w:ascii="Arial" w:hAnsi="宋体" w:cs="Arial"/>
              </w:rPr>
              <w:t>台</w:t>
            </w:r>
            <w:r>
              <w:rPr>
                <w:rFonts w:ascii="Arial" w:hAnsi="Arial" w:cs="Arial"/>
              </w:rPr>
              <w:t>BAC</w:t>
            </w:r>
            <w:r>
              <w:rPr>
                <w:rFonts w:ascii="Arial" w:hAnsi="宋体" w:cs="Arial"/>
              </w:rPr>
              <w:t>冷却塔清洗除垢</w:t>
            </w:r>
          </w:p>
        </w:tc>
        <w:tc>
          <w:tcPr>
            <w:tcW w:w="1149" w:type="dxa"/>
            <w:vAlign w:val="center"/>
          </w:tcPr>
          <w:p>
            <w:pPr>
              <w:widowControl/>
              <w:ind w:firstLine="302" w:firstLineChars="144"/>
              <w:rPr>
                <w:rFonts w:ascii="Arial" w:hAnsi="Arial" w:cs="Arial"/>
              </w:rPr>
            </w:pPr>
            <w:r>
              <w:rPr>
                <w:rFonts w:ascii="Arial" w:hAnsi="Arial" w:cs="Arial"/>
              </w:rPr>
              <w:t>12</w:t>
            </w:r>
          </w:p>
        </w:tc>
        <w:tc>
          <w:tcPr>
            <w:tcW w:w="1365" w:type="dxa"/>
            <w:vAlign w:val="center"/>
          </w:tcPr>
          <w:p>
            <w:pPr>
              <w:ind w:firstLine="302" w:firstLineChars="144"/>
              <w:jc w:val="left"/>
              <w:rPr>
                <w:rFonts w:ascii="Arial" w:hAnsi="Arial" w:cs="Arial"/>
              </w:rPr>
            </w:pPr>
          </w:p>
        </w:tc>
        <w:tc>
          <w:tcPr>
            <w:tcW w:w="1785" w:type="dxa"/>
            <w:vAlign w:val="center"/>
          </w:tcPr>
          <w:p>
            <w:pPr>
              <w:ind w:firstLine="420"/>
              <w:jc w:val="left"/>
              <w:rPr>
                <w:rFonts w:ascii="Arial" w:hAnsi="Arial" w:cs="Arial"/>
              </w:rPr>
            </w:pPr>
          </w:p>
        </w:tc>
        <w:tc>
          <w:tcPr>
            <w:tcW w:w="2884" w:type="dxa"/>
            <w:vAlign w:val="center"/>
          </w:tcPr>
          <w:p>
            <w:pPr>
              <w:widowControl/>
              <w:ind w:firstLine="840" w:firstLineChars="400"/>
              <w:rPr>
                <w:rFonts w:ascii="Arial" w:hAnsi="Arial" w:cs="Arial"/>
              </w:rPr>
            </w:pPr>
            <w:r>
              <w:rPr>
                <w:rFonts w:ascii="Arial" w:hAnsi="Arial" w:cs="Arial"/>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9" w:type="dxa"/>
            <w:vAlign w:val="center"/>
          </w:tcPr>
          <w:p>
            <w:pPr>
              <w:tabs>
                <w:tab w:val="left" w:pos="3780"/>
              </w:tabs>
              <w:ind w:right="84"/>
              <w:jc w:val="center"/>
              <w:rPr>
                <w:rFonts w:ascii="Arial" w:hAnsi="Arial" w:cs="Arial"/>
              </w:rPr>
            </w:pPr>
            <w:r>
              <w:rPr>
                <w:rFonts w:ascii="Arial" w:hAnsi="Arial" w:cs="Arial"/>
              </w:rPr>
              <w:t>1</w:t>
            </w:r>
            <w:r>
              <w:rPr>
                <w:rFonts w:hint="eastAsia" w:ascii="Arial" w:hAnsi="Arial" w:cs="Arial"/>
              </w:rPr>
              <w:t>0</w:t>
            </w:r>
          </w:p>
        </w:tc>
        <w:tc>
          <w:tcPr>
            <w:tcW w:w="5466" w:type="dxa"/>
            <w:gridSpan w:val="2"/>
            <w:vAlign w:val="center"/>
          </w:tcPr>
          <w:p>
            <w:pPr>
              <w:ind w:firstLine="420"/>
              <w:jc w:val="center"/>
              <w:rPr>
                <w:rFonts w:ascii="Arial" w:hAnsi="Arial" w:cs="Arial"/>
              </w:rPr>
            </w:pPr>
            <w:r>
              <w:rPr>
                <w:rFonts w:ascii="Arial" w:hAnsi="Arial" w:cs="Arial"/>
              </w:rPr>
              <w:t>3</w:t>
            </w:r>
            <w:r>
              <w:rPr>
                <w:rFonts w:ascii="Arial" w:hAnsi="宋体" w:cs="Arial"/>
              </w:rPr>
              <w:t>台冷却塔水清器清洗除垢</w:t>
            </w:r>
          </w:p>
        </w:tc>
        <w:tc>
          <w:tcPr>
            <w:tcW w:w="1149" w:type="dxa"/>
            <w:vAlign w:val="center"/>
          </w:tcPr>
          <w:p>
            <w:pPr>
              <w:widowControl/>
              <w:ind w:firstLine="302" w:firstLineChars="144"/>
              <w:rPr>
                <w:rFonts w:ascii="Arial" w:hAnsi="Arial" w:cs="Arial"/>
              </w:rPr>
            </w:pPr>
            <w:r>
              <w:rPr>
                <w:rFonts w:ascii="Arial" w:hAnsi="Arial" w:cs="Arial"/>
              </w:rPr>
              <w:t>12</w:t>
            </w:r>
          </w:p>
        </w:tc>
        <w:tc>
          <w:tcPr>
            <w:tcW w:w="1365" w:type="dxa"/>
            <w:vAlign w:val="center"/>
          </w:tcPr>
          <w:p>
            <w:pPr>
              <w:ind w:firstLine="401" w:firstLineChars="191"/>
              <w:rPr>
                <w:rFonts w:ascii="Arial" w:hAnsi="Arial" w:cs="Arial"/>
              </w:rPr>
            </w:pPr>
          </w:p>
        </w:tc>
        <w:tc>
          <w:tcPr>
            <w:tcW w:w="1785" w:type="dxa"/>
            <w:vAlign w:val="center"/>
          </w:tcPr>
          <w:p>
            <w:pPr>
              <w:ind w:firstLine="405" w:firstLineChars="193"/>
              <w:rPr>
                <w:rFonts w:ascii="Arial" w:hAnsi="Arial" w:cs="Arial"/>
              </w:rPr>
            </w:pPr>
          </w:p>
        </w:tc>
        <w:tc>
          <w:tcPr>
            <w:tcW w:w="2884" w:type="dxa"/>
            <w:vAlign w:val="center"/>
          </w:tcPr>
          <w:p>
            <w:pPr>
              <w:widowControl/>
              <w:ind w:firstLine="840" w:firstLineChars="400"/>
              <w:rPr>
                <w:rFonts w:ascii="Arial" w:hAnsi="Arial" w:cs="Arial"/>
              </w:rPr>
            </w:pPr>
            <w:r>
              <w:rPr>
                <w:rFonts w:ascii="Arial" w:hAnsi="Arial" w:cs="Arial"/>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9" w:type="dxa"/>
            <w:vAlign w:val="center"/>
          </w:tcPr>
          <w:p>
            <w:pPr>
              <w:tabs>
                <w:tab w:val="left" w:pos="3780"/>
              </w:tabs>
              <w:ind w:right="84"/>
              <w:jc w:val="center"/>
              <w:rPr>
                <w:rFonts w:ascii="Arial" w:hAnsi="Arial" w:cs="Arial"/>
              </w:rPr>
            </w:pPr>
            <w:r>
              <w:rPr>
                <w:rFonts w:ascii="Arial" w:hAnsi="Arial" w:cs="Arial"/>
              </w:rPr>
              <w:t>1</w:t>
            </w:r>
            <w:r>
              <w:rPr>
                <w:rFonts w:hint="eastAsia" w:ascii="Arial" w:hAnsi="Arial" w:cs="Arial"/>
              </w:rPr>
              <w:t>1</w:t>
            </w:r>
          </w:p>
        </w:tc>
        <w:tc>
          <w:tcPr>
            <w:tcW w:w="5466" w:type="dxa"/>
            <w:gridSpan w:val="2"/>
            <w:vAlign w:val="center"/>
          </w:tcPr>
          <w:p>
            <w:pPr>
              <w:ind w:firstLine="420"/>
              <w:jc w:val="center"/>
              <w:rPr>
                <w:rFonts w:ascii="Arial" w:hAnsi="Arial" w:cs="Arial"/>
              </w:rPr>
            </w:pPr>
            <w:r>
              <w:rPr>
                <w:rFonts w:ascii="Arial" w:hAnsi="宋体" w:cs="Arial"/>
              </w:rPr>
              <w:t>屋顶软化水装置定期清洗检测</w:t>
            </w:r>
          </w:p>
        </w:tc>
        <w:tc>
          <w:tcPr>
            <w:tcW w:w="1149" w:type="dxa"/>
            <w:vAlign w:val="center"/>
          </w:tcPr>
          <w:p>
            <w:pPr>
              <w:widowControl/>
              <w:ind w:firstLine="405" w:firstLineChars="193"/>
              <w:rPr>
                <w:rFonts w:ascii="Arial" w:hAnsi="Arial" w:cs="Arial"/>
              </w:rPr>
            </w:pPr>
            <w:r>
              <w:rPr>
                <w:rFonts w:ascii="Arial" w:hAnsi="Arial" w:cs="Arial"/>
              </w:rPr>
              <w:t>1</w:t>
            </w:r>
          </w:p>
        </w:tc>
        <w:tc>
          <w:tcPr>
            <w:tcW w:w="1365" w:type="dxa"/>
            <w:vAlign w:val="center"/>
          </w:tcPr>
          <w:p>
            <w:pPr>
              <w:ind w:firstLine="302" w:firstLineChars="144"/>
              <w:rPr>
                <w:rFonts w:ascii="Arial" w:hAnsi="Arial" w:cs="Arial"/>
              </w:rPr>
            </w:pPr>
          </w:p>
        </w:tc>
        <w:tc>
          <w:tcPr>
            <w:tcW w:w="1785" w:type="dxa"/>
            <w:vAlign w:val="center"/>
          </w:tcPr>
          <w:p>
            <w:pPr>
              <w:ind w:firstLine="405" w:firstLineChars="193"/>
              <w:rPr>
                <w:rFonts w:ascii="Arial" w:hAnsi="Arial" w:cs="Arial"/>
              </w:rPr>
            </w:pPr>
          </w:p>
        </w:tc>
        <w:tc>
          <w:tcPr>
            <w:tcW w:w="2884" w:type="dxa"/>
            <w:vAlign w:val="center"/>
          </w:tcPr>
          <w:p>
            <w:pPr>
              <w:widowControl/>
              <w:ind w:firstLine="840" w:firstLineChars="400"/>
              <w:rPr>
                <w:rFonts w:ascii="Arial" w:hAnsi="Arial" w:cs="Arial"/>
              </w:rPr>
            </w:pPr>
            <w:r>
              <w:rPr>
                <w:rFonts w:ascii="Arial" w:hAnsi="Arial" w:cs="Arial"/>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9" w:type="dxa"/>
            <w:vAlign w:val="center"/>
          </w:tcPr>
          <w:p>
            <w:pPr>
              <w:tabs>
                <w:tab w:val="left" w:pos="3780"/>
              </w:tabs>
              <w:ind w:right="84"/>
              <w:jc w:val="center"/>
              <w:rPr>
                <w:rFonts w:ascii="Arial" w:hAnsi="Arial" w:cs="Arial"/>
              </w:rPr>
            </w:pPr>
            <w:r>
              <w:rPr>
                <w:rFonts w:ascii="Arial" w:hAnsi="Arial" w:cs="Arial"/>
              </w:rPr>
              <w:t>1</w:t>
            </w:r>
            <w:r>
              <w:rPr>
                <w:rFonts w:hint="eastAsia" w:ascii="Arial" w:hAnsi="Arial" w:cs="Arial"/>
              </w:rPr>
              <w:t>2</w:t>
            </w:r>
          </w:p>
        </w:tc>
        <w:tc>
          <w:tcPr>
            <w:tcW w:w="5466" w:type="dxa"/>
            <w:gridSpan w:val="2"/>
            <w:vAlign w:val="center"/>
          </w:tcPr>
          <w:p>
            <w:pPr>
              <w:rPr>
                <w:rFonts w:ascii="Arial" w:hAnsi="Arial" w:cs="Arial"/>
              </w:rPr>
            </w:pPr>
            <w:r>
              <w:rPr>
                <w:rFonts w:ascii="Arial" w:hAnsi="Arial" w:cs="Arial"/>
              </w:rPr>
              <w:t>34</w:t>
            </w:r>
            <w:r>
              <w:rPr>
                <w:rFonts w:ascii="Arial" w:hAnsi="宋体" w:cs="Arial"/>
              </w:rPr>
              <w:t>台末端机房空调</w:t>
            </w:r>
            <w:r>
              <w:rPr>
                <w:rFonts w:ascii="Arial" w:hAnsi="Arial" w:cs="Arial"/>
              </w:rPr>
              <w:t>Y</w:t>
            </w:r>
            <w:r>
              <w:rPr>
                <w:rFonts w:ascii="Arial" w:hAnsi="宋体" w:cs="Arial"/>
              </w:rPr>
              <w:t>型过滤器清洗、密封及螺丝更换</w:t>
            </w:r>
          </w:p>
        </w:tc>
        <w:tc>
          <w:tcPr>
            <w:tcW w:w="1149" w:type="dxa"/>
            <w:vAlign w:val="center"/>
          </w:tcPr>
          <w:p>
            <w:pPr>
              <w:widowControl/>
              <w:ind w:firstLine="405" w:firstLineChars="193"/>
              <w:rPr>
                <w:rFonts w:ascii="Arial" w:hAnsi="Arial" w:cs="Arial"/>
              </w:rPr>
            </w:pPr>
            <w:r>
              <w:rPr>
                <w:rFonts w:ascii="Arial" w:hAnsi="Arial" w:cs="Arial"/>
              </w:rPr>
              <w:t>1</w:t>
            </w:r>
          </w:p>
        </w:tc>
        <w:tc>
          <w:tcPr>
            <w:tcW w:w="1365" w:type="dxa"/>
            <w:vAlign w:val="center"/>
          </w:tcPr>
          <w:p>
            <w:pPr>
              <w:ind w:firstLine="298" w:firstLineChars="142"/>
              <w:rPr>
                <w:rFonts w:ascii="Arial" w:hAnsi="Arial" w:cs="Arial"/>
              </w:rPr>
            </w:pPr>
          </w:p>
        </w:tc>
        <w:tc>
          <w:tcPr>
            <w:tcW w:w="1785" w:type="dxa"/>
            <w:vAlign w:val="center"/>
          </w:tcPr>
          <w:p>
            <w:pPr>
              <w:ind w:firstLine="420"/>
              <w:rPr>
                <w:rFonts w:ascii="Arial" w:hAnsi="Arial" w:cs="Arial"/>
              </w:rPr>
            </w:pPr>
          </w:p>
        </w:tc>
        <w:tc>
          <w:tcPr>
            <w:tcW w:w="2884" w:type="dxa"/>
            <w:vAlign w:val="center"/>
          </w:tcPr>
          <w:p>
            <w:pPr>
              <w:widowControl/>
              <w:ind w:firstLine="840" w:firstLineChars="400"/>
              <w:rPr>
                <w:rFonts w:ascii="Arial" w:hAnsi="Arial" w:cs="Arial"/>
              </w:rPr>
            </w:pPr>
            <w:r>
              <w:rPr>
                <w:rFonts w:ascii="Arial" w:hAnsi="Arial" w:cs="Arial"/>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9" w:type="dxa"/>
            <w:vAlign w:val="center"/>
          </w:tcPr>
          <w:p>
            <w:pPr>
              <w:tabs>
                <w:tab w:val="left" w:pos="3780"/>
              </w:tabs>
              <w:ind w:right="84"/>
              <w:jc w:val="center"/>
              <w:rPr>
                <w:rFonts w:ascii="Arial" w:hAnsi="Arial" w:cs="Arial"/>
              </w:rPr>
            </w:pPr>
            <w:r>
              <w:rPr>
                <w:rFonts w:hint="eastAsia" w:ascii="Arial" w:hAnsi="Arial" w:cs="Arial"/>
              </w:rPr>
              <w:t>13</w:t>
            </w:r>
          </w:p>
        </w:tc>
        <w:tc>
          <w:tcPr>
            <w:tcW w:w="5466" w:type="dxa"/>
            <w:gridSpan w:val="2"/>
            <w:vAlign w:val="center"/>
          </w:tcPr>
          <w:p>
            <w:pPr>
              <w:ind w:firstLine="420"/>
              <w:jc w:val="center"/>
              <w:rPr>
                <w:rFonts w:ascii="Arial" w:hAnsi="Arial" w:cs="Arial"/>
              </w:rPr>
            </w:pPr>
            <w:r>
              <w:rPr>
                <w:rFonts w:ascii="Arial" w:hAnsi="宋体" w:cs="Arial"/>
              </w:rPr>
              <w:t>全系统水质测试分析</w:t>
            </w:r>
          </w:p>
        </w:tc>
        <w:tc>
          <w:tcPr>
            <w:tcW w:w="1149" w:type="dxa"/>
            <w:vAlign w:val="center"/>
          </w:tcPr>
          <w:p>
            <w:pPr>
              <w:widowControl/>
              <w:ind w:firstLine="298" w:firstLineChars="142"/>
              <w:rPr>
                <w:rFonts w:ascii="Arial" w:hAnsi="Arial" w:cs="Arial"/>
              </w:rPr>
            </w:pPr>
            <w:r>
              <w:rPr>
                <w:rFonts w:ascii="Arial" w:hAnsi="Arial" w:cs="Arial"/>
              </w:rPr>
              <w:t>12</w:t>
            </w:r>
          </w:p>
        </w:tc>
        <w:tc>
          <w:tcPr>
            <w:tcW w:w="1365" w:type="dxa"/>
            <w:vAlign w:val="center"/>
          </w:tcPr>
          <w:p>
            <w:pPr>
              <w:ind w:firstLine="405" w:firstLineChars="193"/>
              <w:rPr>
                <w:rFonts w:ascii="Arial" w:hAnsi="Arial" w:cs="Arial"/>
              </w:rPr>
            </w:pPr>
          </w:p>
        </w:tc>
        <w:tc>
          <w:tcPr>
            <w:tcW w:w="1785" w:type="dxa"/>
            <w:vAlign w:val="center"/>
          </w:tcPr>
          <w:p>
            <w:pPr>
              <w:ind w:firstLine="508" w:firstLineChars="242"/>
              <w:rPr>
                <w:rFonts w:ascii="Arial" w:hAnsi="Arial" w:cs="Arial"/>
              </w:rPr>
            </w:pPr>
          </w:p>
        </w:tc>
        <w:tc>
          <w:tcPr>
            <w:tcW w:w="2884" w:type="dxa"/>
            <w:vAlign w:val="center"/>
          </w:tcPr>
          <w:p>
            <w:pPr>
              <w:widowControl/>
              <w:ind w:firstLine="840" w:firstLineChars="400"/>
              <w:rPr>
                <w:rFonts w:ascii="Arial" w:hAnsi="Arial" w:cs="Arial"/>
              </w:rPr>
            </w:pPr>
            <w:r>
              <w:rPr>
                <w:rFonts w:ascii="Arial" w:hAnsi="Arial" w:cs="Arial"/>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699" w:type="dxa"/>
            <w:gridSpan w:val="5"/>
            <w:vAlign w:val="center"/>
          </w:tcPr>
          <w:p>
            <w:pPr>
              <w:tabs>
                <w:tab w:val="left" w:pos="3780"/>
              </w:tabs>
              <w:ind w:right="84" w:firstLine="420"/>
              <w:jc w:val="center"/>
              <w:rPr>
                <w:rFonts w:ascii="Arial" w:hAnsi="Arial" w:cs="Arial"/>
              </w:rPr>
            </w:pPr>
            <w:r>
              <w:rPr>
                <w:rFonts w:ascii="Arial" w:hAnsi="宋体" w:cs="Arial"/>
              </w:rPr>
              <w:t>总计价（元）</w:t>
            </w:r>
          </w:p>
        </w:tc>
        <w:tc>
          <w:tcPr>
            <w:tcW w:w="1785" w:type="dxa"/>
            <w:vAlign w:val="center"/>
          </w:tcPr>
          <w:p>
            <w:pPr>
              <w:ind w:firstLine="420"/>
              <w:rPr>
                <w:rFonts w:ascii="Arial" w:hAnsi="Arial" w:cs="Arial"/>
              </w:rPr>
            </w:pPr>
          </w:p>
        </w:tc>
        <w:tc>
          <w:tcPr>
            <w:tcW w:w="2884" w:type="dxa"/>
            <w:vAlign w:val="center"/>
          </w:tcPr>
          <w:p>
            <w:pPr>
              <w:tabs>
                <w:tab w:val="left" w:pos="3780"/>
              </w:tabs>
              <w:ind w:right="84" w:firstLine="525" w:firstLineChars="250"/>
              <w:rPr>
                <w:rFonts w:ascii="Arial" w:hAnsi="Arial" w:cs="Arial"/>
              </w:rPr>
            </w:pPr>
            <w:r>
              <w:rPr>
                <w:rFonts w:ascii="Arial" w:hAnsi="宋体" w:cs="Arial"/>
              </w:rPr>
              <w:t>含</w:t>
            </w:r>
            <w:r>
              <w:rPr>
                <w:rFonts w:ascii="Arial" w:hAnsi="Arial" w:cs="Arial"/>
              </w:rPr>
              <w:t>6%</w:t>
            </w:r>
            <w:r>
              <w:rPr>
                <w:rFonts w:hint="eastAsia" w:ascii="Arial" w:hAnsi="Arial" w:cs="Arial"/>
              </w:rPr>
              <w:t xml:space="preserve"> </w:t>
            </w:r>
            <w:r>
              <w:rPr>
                <w:rFonts w:ascii="Arial" w:hAnsi="宋体" w:cs="Arial"/>
              </w:rPr>
              <w:t>增值税</w:t>
            </w:r>
          </w:p>
        </w:tc>
      </w:tr>
    </w:tbl>
    <w:p>
      <w:pPr>
        <w:ind w:firstLine="174" w:firstLineChars="83"/>
        <w:rPr>
          <w:rFonts w:ascii="宋体" w:hAnsi="宋体" w:cs="Arial"/>
        </w:rPr>
      </w:pPr>
    </w:p>
    <w:p>
      <w:pPr>
        <w:ind w:firstLine="174" w:firstLineChars="83"/>
        <w:rPr>
          <w:rFonts w:ascii="宋体" w:hAnsi="宋体" w:cs="Arial"/>
        </w:rPr>
      </w:pPr>
    </w:p>
    <w:p>
      <w:pPr>
        <w:ind w:firstLine="174" w:firstLineChars="83"/>
        <w:rPr>
          <w:rFonts w:ascii="宋体" w:hAnsi="宋体" w:cs="Arial"/>
        </w:rPr>
      </w:pPr>
    </w:p>
    <w:p>
      <w:pPr>
        <w:ind w:firstLine="174" w:firstLineChars="83"/>
        <w:rPr>
          <w:rFonts w:ascii="宋体" w:hAnsi="宋体" w:cs="Arial"/>
        </w:rPr>
      </w:pPr>
    </w:p>
    <w:p>
      <w:pPr>
        <w:ind w:firstLine="174" w:firstLineChars="83"/>
        <w:rPr>
          <w:rFonts w:ascii="宋体" w:hAnsi="宋体" w:cs="Arial"/>
        </w:rPr>
      </w:pPr>
    </w:p>
    <w:p>
      <w:pPr>
        <w:ind w:firstLine="174" w:firstLineChars="83"/>
        <w:rPr>
          <w:rFonts w:ascii="宋体" w:hAnsi="宋体" w:cs="Arial"/>
        </w:rPr>
      </w:pPr>
    </w:p>
    <w:p>
      <w:pPr>
        <w:rPr>
          <w:rFonts w:ascii="宋体" w:hAnsi="宋体" w:cs="Arial"/>
        </w:rPr>
        <w:sectPr>
          <w:pgSz w:w="16838" w:h="11906" w:orient="landscape"/>
          <w:pgMar w:top="1418" w:right="907" w:bottom="1418" w:left="851" w:header="851" w:footer="992" w:gutter="170"/>
          <w:pgNumType w:start="0"/>
          <w:cols w:space="720" w:num="1"/>
          <w:titlePg/>
          <w:docGrid w:type="linesAndChars" w:linePitch="436" w:charSpace="0"/>
        </w:sectPr>
      </w:pPr>
    </w:p>
    <w:p>
      <w:pPr>
        <w:jc w:val="center"/>
        <w:rPr>
          <w:rFonts w:ascii="宋体" w:hAnsi="宋体" w:cs="宋体"/>
          <w:b/>
          <w:sz w:val="32"/>
          <w:szCs w:val="32"/>
        </w:rPr>
      </w:pPr>
      <w:bookmarkStart w:id="254" w:name="_Toc37751622"/>
      <w:r>
        <w:rPr>
          <w:rFonts w:hint="eastAsia" w:ascii="宋体" w:hAnsi="宋体" w:cs="宋体"/>
          <w:b/>
          <w:sz w:val="32"/>
          <w:szCs w:val="32"/>
        </w:rPr>
        <w:t>附件二、中央空调循环水系统水质处理技术要求方案</w:t>
      </w:r>
      <w:bookmarkEnd w:id="254"/>
    </w:p>
    <w:p>
      <w:pPr>
        <w:spacing w:line="360" w:lineRule="auto"/>
        <w:ind w:firstLine="641"/>
        <w:jc w:val="center"/>
        <w:rPr>
          <w:rFonts w:ascii="宋体" w:hAnsi="宋体" w:cs="宋体"/>
          <w:b/>
          <w:sz w:val="32"/>
          <w:szCs w:val="32"/>
        </w:rPr>
      </w:pPr>
    </w:p>
    <w:p>
      <w:pPr>
        <w:rPr>
          <w:rFonts w:ascii="宋体" w:hAnsi="宋体"/>
          <w:b/>
          <w:sz w:val="24"/>
        </w:rPr>
      </w:pPr>
      <w:r>
        <w:rPr>
          <w:rFonts w:hint="eastAsia" w:ascii="宋体" w:hAnsi="宋体"/>
          <w:b/>
          <w:sz w:val="24"/>
        </w:rPr>
        <w:t>（一）、项目设备清单：</w:t>
      </w:r>
    </w:p>
    <w:p>
      <w:pPr>
        <w:autoSpaceDE w:val="0"/>
        <w:autoSpaceDN w:val="0"/>
        <w:adjustRightInd w:val="0"/>
        <w:spacing w:line="460" w:lineRule="exact"/>
        <w:ind w:firstLine="510" w:firstLineChars="243"/>
        <w:rPr>
          <w:rFonts w:ascii="Arial" w:hAnsi="Arial" w:cs="Arial"/>
          <w:bCs/>
          <w:kern w:val="0"/>
        </w:rPr>
      </w:pPr>
      <w:bookmarkStart w:id="255" w:name="_Toc98637513"/>
      <w:r>
        <w:rPr>
          <w:rFonts w:ascii="Arial" w:hAnsi="宋体" w:cs="Arial"/>
          <w:bCs/>
          <w:kern w:val="0"/>
        </w:rPr>
        <w:t>冷水机组</w:t>
      </w:r>
      <w:r>
        <w:rPr>
          <w:rFonts w:ascii="Arial" w:hAnsi="Arial" w:cs="Arial"/>
          <w:bCs/>
          <w:kern w:val="0"/>
        </w:rPr>
        <w:t xml:space="preserve"> 1300</w:t>
      </w:r>
      <w:r>
        <w:rPr>
          <w:rFonts w:hint="eastAsia" w:ascii="Arial" w:hAnsi="Arial" w:cs="Arial"/>
          <w:bCs/>
          <w:kern w:val="0"/>
        </w:rPr>
        <w:t xml:space="preserve"> </w:t>
      </w:r>
      <w:r>
        <w:rPr>
          <w:rFonts w:ascii="Arial" w:hAnsi="Arial" w:cs="Arial"/>
          <w:bCs/>
          <w:kern w:val="0"/>
        </w:rPr>
        <w:t>RT</w:t>
      </w:r>
      <w:r>
        <w:rPr>
          <w:rFonts w:ascii="宋体" w:hAnsi="宋体" w:cs="Arial"/>
          <w:bCs/>
          <w:kern w:val="0"/>
        </w:rPr>
        <w:t>/</w:t>
      </w:r>
      <w:r>
        <w:rPr>
          <w:rFonts w:ascii="Arial" w:hAnsi="宋体" w:cs="Arial"/>
          <w:bCs/>
          <w:kern w:val="0"/>
        </w:rPr>
        <w:t>台</w:t>
      </w:r>
      <w:r>
        <w:rPr>
          <w:rFonts w:ascii="宋体" w:hAnsi="宋体" w:cs="Arial"/>
          <w:bCs/>
          <w:kern w:val="0"/>
        </w:rPr>
        <w:t>×</w:t>
      </w:r>
      <w:r>
        <w:rPr>
          <w:rFonts w:ascii="Arial" w:hAnsi="Arial" w:cs="Arial"/>
          <w:bCs/>
          <w:kern w:val="0"/>
        </w:rPr>
        <w:t>1</w:t>
      </w:r>
      <w:r>
        <w:rPr>
          <w:rFonts w:ascii="Arial" w:hAnsi="宋体" w:cs="Arial"/>
          <w:bCs/>
          <w:kern w:val="0"/>
        </w:rPr>
        <w:t>台，</w:t>
      </w:r>
      <w:r>
        <w:rPr>
          <w:rFonts w:hint="eastAsia" w:ascii="Arial" w:hAnsi="宋体" w:cs="Arial"/>
          <w:bCs/>
          <w:kern w:val="0"/>
        </w:rPr>
        <w:t xml:space="preserve"> </w:t>
      </w:r>
      <w:r>
        <w:rPr>
          <w:rFonts w:ascii="Arial" w:hAnsi="宋体" w:cs="Arial"/>
          <w:bCs/>
          <w:kern w:val="0"/>
        </w:rPr>
        <w:t>冷水机组</w:t>
      </w:r>
      <w:r>
        <w:rPr>
          <w:rFonts w:ascii="Arial" w:hAnsi="Arial" w:cs="Arial"/>
          <w:bCs/>
          <w:kern w:val="0"/>
        </w:rPr>
        <w:t xml:space="preserve"> 650</w:t>
      </w:r>
      <w:r>
        <w:rPr>
          <w:rFonts w:hint="eastAsia" w:ascii="Arial" w:hAnsi="Arial" w:cs="Arial"/>
          <w:bCs/>
          <w:kern w:val="0"/>
        </w:rPr>
        <w:t xml:space="preserve"> </w:t>
      </w:r>
      <w:r>
        <w:rPr>
          <w:rFonts w:ascii="Arial" w:hAnsi="Arial" w:cs="Arial"/>
          <w:bCs/>
          <w:kern w:val="0"/>
        </w:rPr>
        <w:t>RT</w:t>
      </w:r>
      <w:r>
        <w:rPr>
          <w:rFonts w:ascii="宋体" w:hAnsi="宋体" w:cs="Arial"/>
          <w:bCs/>
          <w:kern w:val="0"/>
        </w:rPr>
        <w:t>/</w:t>
      </w:r>
      <w:r>
        <w:rPr>
          <w:rFonts w:ascii="Arial" w:hAnsi="宋体" w:cs="Arial"/>
          <w:bCs/>
          <w:kern w:val="0"/>
        </w:rPr>
        <w:t>台</w:t>
      </w:r>
      <w:r>
        <w:rPr>
          <w:rFonts w:ascii="宋体" w:hAnsi="宋体" w:cs="Arial"/>
          <w:bCs/>
          <w:kern w:val="0"/>
        </w:rPr>
        <w:t>×</w:t>
      </w:r>
      <w:r>
        <w:rPr>
          <w:rFonts w:ascii="Arial" w:hAnsi="Arial" w:cs="Arial"/>
          <w:bCs/>
          <w:kern w:val="0"/>
        </w:rPr>
        <w:t>2</w:t>
      </w:r>
      <w:r>
        <w:rPr>
          <w:rFonts w:ascii="Arial" w:hAnsi="宋体" w:cs="Arial"/>
          <w:bCs/>
          <w:kern w:val="0"/>
        </w:rPr>
        <w:t>台；</w:t>
      </w:r>
      <w:r>
        <w:rPr>
          <w:rFonts w:hint="eastAsia" w:ascii="Arial" w:hAnsi="宋体" w:cs="Arial"/>
          <w:bCs/>
          <w:kern w:val="0"/>
        </w:rPr>
        <w:t xml:space="preserve"> </w:t>
      </w:r>
      <w:r>
        <w:rPr>
          <w:rFonts w:ascii="Arial" w:hAnsi="宋体" w:cs="Arial"/>
        </w:rPr>
        <w:t>板换设备</w:t>
      </w:r>
      <w:r>
        <w:rPr>
          <w:rFonts w:ascii="Arial" w:hAnsi="Arial" w:cs="Arial"/>
        </w:rPr>
        <w:t xml:space="preserve"> 4571</w:t>
      </w:r>
      <w:r>
        <w:rPr>
          <w:rFonts w:hint="eastAsia" w:ascii="Arial" w:hAnsi="Arial" w:cs="Arial"/>
        </w:rPr>
        <w:t xml:space="preserve"> </w:t>
      </w:r>
      <w:r>
        <w:rPr>
          <w:rFonts w:ascii="Arial" w:hAnsi="Arial" w:cs="Arial"/>
        </w:rPr>
        <w:t>kw</w:t>
      </w:r>
      <w:r>
        <w:rPr>
          <w:rFonts w:ascii="宋体" w:hAnsi="宋体" w:cs="Arial"/>
          <w:bCs/>
          <w:kern w:val="0"/>
        </w:rPr>
        <w:t>/</w:t>
      </w:r>
      <w:r>
        <w:rPr>
          <w:rFonts w:ascii="Arial" w:hAnsi="宋体" w:cs="Arial"/>
          <w:bCs/>
          <w:kern w:val="0"/>
        </w:rPr>
        <w:t>台</w:t>
      </w:r>
      <w:r>
        <w:rPr>
          <w:rFonts w:ascii="宋体" w:hAnsi="宋体" w:cs="Arial"/>
          <w:bCs/>
          <w:kern w:val="0"/>
        </w:rPr>
        <w:t>×</w:t>
      </w:r>
      <w:r>
        <w:rPr>
          <w:rFonts w:ascii="Arial" w:hAnsi="Arial" w:cs="Arial"/>
          <w:bCs/>
          <w:kern w:val="0"/>
        </w:rPr>
        <w:t>2</w:t>
      </w:r>
      <w:r>
        <w:rPr>
          <w:rFonts w:ascii="Arial" w:hAnsi="宋体" w:cs="Arial"/>
          <w:bCs/>
          <w:kern w:val="0"/>
        </w:rPr>
        <w:t>台；</w:t>
      </w:r>
    </w:p>
    <w:p>
      <w:pPr>
        <w:autoSpaceDE w:val="0"/>
        <w:autoSpaceDN w:val="0"/>
        <w:adjustRightInd w:val="0"/>
        <w:spacing w:line="460" w:lineRule="exact"/>
        <w:ind w:left="1575" w:leftChars="250" w:hanging="1050" w:hangingChars="500"/>
        <w:rPr>
          <w:rFonts w:ascii="Arial" w:hAnsi="Arial" w:cs="Arial"/>
          <w:bCs/>
          <w:kern w:val="0"/>
        </w:rPr>
      </w:pPr>
      <w:r>
        <w:rPr>
          <w:rFonts w:ascii="Arial" w:hAnsi="宋体" w:cs="Arial"/>
          <w:bCs/>
          <w:kern w:val="0"/>
        </w:rPr>
        <w:t>冷凝器在线清洗装置</w:t>
      </w:r>
      <w:r>
        <w:rPr>
          <w:rFonts w:ascii="Arial" w:hAnsi="Arial" w:cs="Arial"/>
          <w:bCs/>
          <w:kern w:val="0"/>
        </w:rPr>
        <w:t xml:space="preserve"> </w:t>
      </w:r>
      <w:r>
        <w:rPr>
          <w:rFonts w:ascii="宋体" w:hAnsi="宋体" w:cs="Arial"/>
          <w:bCs/>
          <w:kern w:val="0"/>
        </w:rPr>
        <w:t>×</w:t>
      </w:r>
      <w:r>
        <w:rPr>
          <w:rFonts w:ascii="Arial" w:hAnsi="Arial" w:cs="Arial"/>
          <w:bCs/>
          <w:kern w:val="0"/>
        </w:rPr>
        <w:t>3</w:t>
      </w:r>
      <w:r>
        <w:rPr>
          <w:rFonts w:ascii="Arial" w:hAnsi="宋体" w:cs="Arial"/>
          <w:bCs/>
          <w:kern w:val="0"/>
        </w:rPr>
        <w:t>台；</w:t>
      </w:r>
      <w:r>
        <w:rPr>
          <w:rFonts w:hint="eastAsia" w:ascii="Arial" w:hAnsi="宋体" w:cs="Arial"/>
          <w:bCs/>
          <w:kern w:val="0"/>
        </w:rPr>
        <w:t xml:space="preserve"> </w:t>
      </w:r>
      <w:r>
        <w:rPr>
          <w:rFonts w:ascii="Arial" w:hAnsi="宋体" w:cs="Arial"/>
          <w:bCs/>
          <w:kern w:val="0"/>
        </w:rPr>
        <w:t>冷却塔水清器</w:t>
      </w:r>
      <w:r>
        <w:rPr>
          <w:rFonts w:ascii="Arial" w:hAnsi="Arial" w:cs="Arial"/>
          <w:bCs/>
          <w:kern w:val="0"/>
        </w:rPr>
        <w:t xml:space="preserve"> </w:t>
      </w:r>
      <w:r>
        <w:rPr>
          <w:rFonts w:ascii="宋体" w:hAnsi="宋体" w:cs="Arial"/>
          <w:bCs/>
          <w:kern w:val="0"/>
        </w:rPr>
        <w:t>×</w:t>
      </w:r>
      <w:r>
        <w:rPr>
          <w:rFonts w:ascii="Arial" w:hAnsi="Arial" w:cs="Arial"/>
          <w:bCs/>
          <w:kern w:val="0"/>
        </w:rPr>
        <w:t>3</w:t>
      </w:r>
      <w:r>
        <w:rPr>
          <w:rFonts w:ascii="Arial" w:hAnsi="宋体" w:cs="Arial"/>
          <w:bCs/>
          <w:kern w:val="0"/>
        </w:rPr>
        <w:t>台；</w:t>
      </w:r>
    </w:p>
    <w:p>
      <w:pPr>
        <w:autoSpaceDE w:val="0"/>
        <w:autoSpaceDN w:val="0"/>
        <w:adjustRightInd w:val="0"/>
        <w:spacing w:line="460" w:lineRule="exact"/>
        <w:ind w:left="1575" w:leftChars="250" w:hanging="1050" w:hangingChars="500"/>
        <w:rPr>
          <w:rFonts w:ascii="Arial" w:hAnsi="Arial" w:cs="Arial"/>
          <w:bCs/>
          <w:kern w:val="0"/>
        </w:rPr>
      </w:pPr>
      <w:r>
        <w:rPr>
          <w:rFonts w:ascii="Arial" w:hAnsi="宋体" w:cs="Arial"/>
          <w:bCs/>
          <w:kern w:val="0"/>
        </w:rPr>
        <w:t>水泵</w:t>
      </w:r>
      <w:r>
        <w:rPr>
          <w:rFonts w:ascii="Arial" w:hAnsi="Arial" w:cs="Arial"/>
          <w:bCs/>
          <w:kern w:val="0"/>
        </w:rPr>
        <w:t>Y</w:t>
      </w:r>
      <w:r>
        <w:rPr>
          <w:rFonts w:ascii="Arial" w:hAnsi="宋体" w:cs="Arial"/>
          <w:bCs/>
          <w:kern w:val="0"/>
        </w:rPr>
        <w:t>型过滤器</w:t>
      </w:r>
      <w:r>
        <w:rPr>
          <w:rFonts w:ascii="Arial" w:hAnsi="Arial" w:cs="Arial"/>
          <w:bCs/>
          <w:kern w:val="0"/>
        </w:rPr>
        <w:t xml:space="preserve"> </w:t>
      </w:r>
      <w:r>
        <w:rPr>
          <w:rFonts w:ascii="宋体" w:hAnsi="宋体" w:cs="Arial"/>
          <w:bCs/>
          <w:kern w:val="0"/>
        </w:rPr>
        <w:t>×</w:t>
      </w:r>
      <w:r>
        <w:rPr>
          <w:rFonts w:ascii="Arial" w:hAnsi="Arial" w:cs="Arial"/>
          <w:bCs/>
          <w:kern w:val="0"/>
        </w:rPr>
        <w:t>10</w:t>
      </w:r>
      <w:r>
        <w:rPr>
          <w:rFonts w:ascii="Arial" w:hAnsi="宋体" w:cs="Arial"/>
          <w:bCs/>
          <w:kern w:val="0"/>
        </w:rPr>
        <w:t>台；</w:t>
      </w:r>
      <w:r>
        <w:rPr>
          <w:rFonts w:hint="eastAsia" w:ascii="Arial" w:hAnsi="宋体" w:cs="Arial"/>
          <w:bCs/>
          <w:kern w:val="0"/>
        </w:rPr>
        <w:t xml:space="preserve"> </w:t>
      </w:r>
      <w:r>
        <w:rPr>
          <w:rFonts w:ascii="Arial" w:hAnsi="宋体" w:cs="Arial"/>
          <w:bCs/>
          <w:kern w:val="0"/>
        </w:rPr>
        <w:t>末端机房空调</w:t>
      </w:r>
      <w:r>
        <w:rPr>
          <w:rFonts w:ascii="Arial" w:hAnsi="Arial" w:cs="Arial"/>
          <w:bCs/>
          <w:kern w:val="0"/>
        </w:rPr>
        <w:t>Y</w:t>
      </w:r>
      <w:r>
        <w:rPr>
          <w:rFonts w:ascii="Arial" w:hAnsi="宋体" w:cs="Arial"/>
          <w:bCs/>
          <w:kern w:val="0"/>
        </w:rPr>
        <w:t>型过滤器</w:t>
      </w:r>
      <w:r>
        <w:rPr>
          <w:rFonts w:ascii="Arial" w:hAnsi="Arial" w:cs="Arial"/>
          <w:bCs/>
          <w:kern w:val="0"/>
        </w:rPr>
        <w:t xml:space="preserve"> </w:t>
      </w:r>
      <w:r>
        <w:rPr>
          <w:rFonts w:ascii="宋体" w:hAnsi="宋体" w:cs="Arial"/>
          <w:bCs/>
          <w:kern w:val="0"/>
        </w:rPr>
        <w:t>×</w:t>
      </w:r>
      <w:r>
        <w:rPr>
          <w:rFonts w:ascii="Arial" w:hAnsi="Arial" w:cs="Arial"/>
          <w:bCs/>
          <w:kern w:val="0"/>
        </w:rPr>
        <w:t>34</w:t>
      </w:r>
      <w:r>
        <w:rPr>
          <w:rFonts w:ascii="Arial" w:hAnsi="宋体" w:cs="Arial"/>
          <w:bCs/>
          <w:kern w:val="0"/>
        </w:rPr>
        <w:t>台；</w:t>
      </w:r>
    </w:p>
    <w:p>
      <w:pPr>
        <w:autoSpaceDE w:val="0"/>
        <w:autoSpaceDN w:val="0"/>
        <w:adjustRightInd w:val="0"/>
        <w:spacing w:line="460" w:lineRule="exact"/>
        <w:ind w:left="1575" w:leftChars="250" w:hanging="1050" w:hangingChars="500"/>
        <w:rPr>
          <w:rFonts w:ascii="Arial" w:hAnsi="Arial" w:cs="Arial"/>
          <w:bCs/>
          <w:kern w:val="0"/>
        </w:rPr>
      </w:pPr>
      <w:r>
        <w:rPr>
          <w:rFonts w:hint="eastAsia" w:ascii="Arial" w:hAnsi="宋体" w:cs="Arial"/>
          <w:bCs/>
          <w:kern w:val="0"/>
        </w:rPr>
        <w:t>生活用</w:t>
      </w:r>
      <w:r>
        <w:rPr>
          <w:rFonts w:ascii="Arial" w:hAnsi="宋体" w:cs="Arial"/>
          <w:bCs/>
          <w:kern w:val="0"/>
        </w:rPr>
        <w:t>水池</w:t>
      </w:r>
      <w:r>
        <w:rPr>
          <w:rFonts w:ascii="Arial" w:hAnsi="Arial" w:cs="Arial"/>
          <w:bCs/>
          <w:kern w:val="0"/>
        </w:rPr>
        <w:t xml:space="preserve"> 50m³</w:t>
      </w:r>
      <w:r>
        <w:rPr>
          <w:rFonts w:ascii="宋体" w:hAnsi="宋体" w:cs="Arial"/>
          <w:bCs/>
          <w:kern w:val="0"/>
        </w:rPr>
        <w:t>/</w:t>
      </w:r>
      <w:r>
        <w:rPr>
          <w:rFonts w:ascii="Arial" w:hAnsi="宋体" w:cs="Arial"/>
          <w:bCs/>
          <w:kern w:val="0"/>
        </w:rPr>
        <w:t>个</w:t>
      </w:r>
      <w:r>
        <w:rPr>
          <w:rFonts w:ascii="宋体" w:hAnsi="宋体" w:cs="Arial"/>
          <w:bCs/>
          <w:kern w:val="0"/>
        </w:rPr>
        <w:t>×</w:t>
      </w:r>
      <w:r>
        <w:rPr>
          <w:rFonts w:hint="eastAsia" w:ascii="宋体" w:hAnsi="宋体" w:cs="Arial"/>
          <w:bCs/>
          <w:kern w:val="0"/>
        </w:rPr>
        <w:t>1</w:t>
      </w:r>
      <w:r>
        <w:rPr>
          <w:rFonts w:ascii="Arial" w:hAnsi="宋体" w:cs="Arial"/>
          <w:bCs/>
          <w:kern w:val="0"/>
        </w:rPr>
        <w:t>个；</w:t>
      </w:r>
      <w:r>
        <w:rPr>
          <w:rFonts w:hint="eastAsia" w:ascii="Arial" w:hAnsi="宋体" w:cs="Arial"/>
          <w:bCs/>
          <w:kern w:val="0"/>
        </w:rPr>
        <w:t xml:space="preserve"> </w:t>
      </w:r>
      <w:r>
        <w:rPr>
          <w:rFonts w:ascii="Arial" w:hAnsi="宋体" w:cs="Arial"/>
          <w:bCs/>
          <w:kern w:val="0"/>
        </w:rPr>
        <w:t>屋顶</w:t>
      </w:r>
      <w:r>
        <w:rPr>
          <w:rFonts w:ascii="Arial" w:hAnsi="Arial" w:cs="Arial"/>
          <w:bCs/>
          <w:kern w:val="0"/>
        </w:rPr>
        <w:t>BAC</w:t>
      </w:r>
      <w:r>
        <w:rPr>
          <w:rFonts w:ascii="Arial" w:hAnsi="宋体" w:cs="Arial"/>
          <w:bCs/>
          <w:kern w:val="0"/>
        </w:rPr>
        <w:t>冷却塔：</w:t>
      </w:r>
      <w:r>
        <w:rPr>
          <w:rFonts w:ascii="Arial" w:hAnsi="Arial" w:cs="Arial"/>
          <w:bCs/>
          <w:kern w:val="0"/>
        </w:rPr>
        <w:t>650m³</w:t>
      </w:r>
      <w:r>
        <w:rPr>
          <w:rFonts w:ascii="宋体" w:hAnsi="宋体" w:cs="Arial"/>
          <w:bCs/>
          <w:kern w:val="0"/>
        </w:rPr>
        <w:t>/</w:t>
      </w:r>
      <w:r>
        <w:rPr>
          <w:rFonts w:ascii="Arial" w:hAnsi="Arial" w:cs="Arial"/>
          <w:bCs/>
          <w:kern w:val="0"/>
        </w:rPr>
        <w:t>h/</w:t>
      </w:r>
      <w:r>
        <w:rPr>
          <w:rFonts w:ascii="Arial" w:hAnsi="宋体" w:cs="Arial"/>
          <w:bCs/>
          <w:kern w:val="0"/>
        </w:rPr>
        <w:t>台</w:t>
      </w:r>
      <w:r>
        <w:rPr>
          <w:rFonts w:ascii="宋体" w:hAnsi="宋体" w:cs="Arial"/>
          <w:bCs/>
          <w:kern w:val="0"/>
        </w:rPr>
        <w:t>×</w:t>
      </w:r>
      <w:r>
        <w:rPr>
          <w:rFonts w:ascii="Arial" w:hAnsi="Arial" w:cs="Arial"/>
          <w:bCs/>
          <w:kern w:val="0"/>
        </w:rPr>
        <w:t>4</w:t>
      </w:r>
      <w:r>
        <w:rPr>
          <w:rFonts w:ascii="Arial" w:hAnsi="宋体" w:cs="Arial"/>
          <w:bCs/>
          <w:kern w:val="0"/>
        </w:rPr>
        <w:t>台，</w:t>
      </w:r>
    </w:p>
    <w:p>
      <w:pPr>
        <w:autoSpaceDE w:val="0"/>
        <w:autoSpaceDN w:val="0"/>
        <w:adjustRightInd w:val="0"/>
        <w:spacing w:line="460" w:lineRule="exact"/>
        <w:ind w:left="1575" w:leftChars="250" w:hanging="1050" w:hangingChars="500"/>
        <w:rPr>
          <w:rFonts w:ascii="Arial" w:hAnsi="Arial" w:cs="Arial"/>
          <w:bCs/>
          <w:kern w:val="0"/>
        </w:rPr>
      </w:pPr>
      <w:r>
        <w:rPr>
          <w:rFonts w:ascii="Arial" w:hAnsi="宋体" w:cs="Arial"/>
          <w:bCs/>
          <w:kern w:val="0"/>
        </w:rPr>
        <w:t>屋顶空调补水水箱</w:t>
      </w:r>
      <w:r>
        <w:rPr>
          <w:rFonts w:ascii="Arial" w:hAnsi="Arial" w:cs="Arial"/>
          <w:bCs/>
          <w:kern w:val="0"/>
        </w:rPr>
        <w:t xml:space="preserve"> 50m³</w:t>
      </w:r>
      <w:r>
        <w:rPr>
          <w:rFonts w:ascii="宋体" w:hAnsi="宋体" w:cs="Arial"/>
          <w:bCs/>
          <w:kern w:val="0"/>
        </w:rPr>
        <w:t>/</w:t>
      </w:r>
      <w:r>
        <w:rPr>
          <w:rFonts w:ascii="Arial" w:hAnsi="宋体" w:cs="Arial"/>
          <w:bCs/>
          <w:kern w:val="0"/>
        </w:rPr>
        <w:t>个</w:t>
      </w:r>
      <w:r>
        <w:rPr>
          <w:rFonts w:ascii="宋体" w:hAnsi="宋体" w:cs="Arial"/>
          <w:bCs/>
          <w:kern w:val="0"/>
        </w:rPr>
        <w:t>×</w:t>
      </w:r>
      <w:r>
        <w:rPr>
          <w:rFonts w:ascii="Arial" w:hAnsi="Arial" w:cs="Arial"/>
          <w:bCs/>
          <w:kern w:val="0"/>
        </w:rPr>
        <w:t>1</w:t>
      </w:r>
      <w:r>
        <w:rPr>
          <w:rFonts w:ascii="Arial" w:hAnsi="宋体" w:cs="Arial"/>
          <w:bCs/>
          <w:kern w:val="0"/>
        </w:rPr>
        <w:t>个，</w:t>
      </w:r>
      <w:r>
        <w:rPr>
          <w:rFonts w:ascii="Arial" w:hAnsi="Arial" w:cs="Arial"/>
          <w:bCs/>
          <w:kern w:val="0"/>
        </w:rPr>
        <w:t xml:space="preserve"> </w:t>
      </w:r>
      <w:r>
        <w:rPr>
          <w:rFonts w:ascii="Arial" w:hAnsi="宋体" w:cs="Arial"/>
          <w:bCs/>
          <w:kern w:val="0"/>
        </w:rPr>
        <w:t>软化水箱：</w:t>
      </w:r>
      <w:r>
        <w:rPr>
          <w:rFonts w:ascii="Arial" w:hAnsi="Arial" w:cs="Arial"/>
          <w:bCs/>
          <w:kern w:val="0"/>
        </w:rPr>
        <w:t>1</w:t>
      </w:r>
      <w:r>
        <w:rPr>
          <w:rFonts w:ascii="Arial" w:hAnsi="宋体" w:cs="Arial"/>
          <w:bCs/>
          <w:kern w:val="0"/>
        </w:rPr>
        <w:t>个。</w:t>
      </w:r>
      <w:r>
        <w:rPr>
          <w:rFonts w:ascii="Arial" w:hAnsi="Arial" w:cs="Arial"/>
          <w:bCs/>
          <w:kern w:val="0"/>
        </w:rPr>
        <w:t xml:space="preserve"> </w:t>
      </w:r>
    </w:p>
    <w:p>
      <w:pPr>
        <w:spacing w:line="520" w:lineRule="exact"/>
        <w:rPr>
          <w:rFonts w:ascii="宋体" w:hAnsi="宋体"/>
          <w:b/>
          <w:sz w:val="24"/>
        </w:rPr>
      </w:pPr>
      <w:r>
        <w:rPr>
          <w:rFonts w:hint="eastAsia" w:ascii="宋体" w:hAnsi="宋体"/>
          <w:b/>
          <w:sz w:val="24"/>
        </w:rPr>
        <w:t>（二）、冷却系统水处理方案</w:t>
      </w:r>
    </w:p>
    <w:p>
      <w:pPr>
        <w:spacing w:line="520" w:lineRule="exact"/>
        <w:rPr>
          <w:rFonts w:ascii="宋体" w:hAnsi="宋体"/>
          <w:b/>
          <w:sz w:val="24"/>
        </w:rPr>
      </w:pPr>
      <w:r>
        <w:rPr>
          <w:rFonts w:hint="eastAsia" w:ascii="宋体" w:hAnsi="宋体"/>
          <w:b/>
          <w:sz w:val="24"/>
        </w:rPr>
        <w:t>1</w:t>
      </w:r>
      <w:r>
        <w:rPr>
          <w:rFonts w:ascii="宋体" w:hAnsi="宋体"/>
          <w:b/>
          <w:sz w:val="24"/>
        </w:rPr>
        <w:t>、冷却循环水系统处理技术指标</w:t>
      </w:r>
      <w:bookmarkEnd w:id="255"/>
    </w:p>
    <w:p>
      <w:pPr>
        <w:spacing w:line="520" w:lineRule="exact"/>
        <w:ind w:firstLine="420"/>
        <w:rPr>
          <w:rFonts w:ascii="宋体" w:hAnsi="宋体"/>
          <w:bCs/>
          <w:kern w:val="0"/>
        </w:rPr>
      </w:pPr>
      <w:r>
        <w:rPr>
          <w:rFonts w:ascii="宋体" w:hAnsi="宋体"/>
          <w:bCs/>
          <w:kern w:val="0"/>
        </w:rPr>
        <w:t>水处理技术执行国家工业循环冷却水处理设计规范（中华人民共和国国家标准GB50050-</w:t>
      </w:r>
      <w:r>
        <w:rPr>
          <w:rFonts w:hint="eastAsia" w:ascii="宋体" w:hAnsi="宋体"/>
          <w:bCs/>
          <w:kern w:val="0"/>
        </w:rPr>
        <w:t>2007</w:t>
      </w:r>
      <w:r>
        <w:rPr>
          <w:rFonts w:ascii="宋体" w:hAnsi="宋体"/>
          <w:bCs/>
          <w:kern w:val="0"/>
        </w:rPr>
        <w:t>）</w:t>
      </w:r>
    </w:p>
    <w:tbl>
      <w:tblPr>
        <w:tblStyle w:val="17"/>
        <w:tblpPr w:leftFromText="180" w:rightFromText="180" w:vertAnchor="text" w:horzAnchor="margin" w:tblpXSpec="center" w:tblpY="292"/>
        <w:tblW w:w="423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319"/>
        <w:gridCol w:w="3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986" w:type="pct"/>
            <w:vAlign w:val="center"/>
          </w:tcPr>
          <w:p>
            <w:pPr>
              <w:pStyle w:val="34"/>
              <w:spacing w:before="120" w:after="120"/>
              <w:rPr>
                <w:rFonts w:ascii="Arial" w:hAnsi="Arial" w:cs="Arial"/>
              </w:rPr>
            </w:pPr>
            <w:bookmarkStart w:id="256" w:name="_Toc98637514"/>
            <w:r>
              <w:rPr>
                <w:rFonts w:ascii="Arial" w:hAnsi="宋体" w:cs="Arial"/>
              </w:rPr>
              <w:t>检验项目</w:t>
            </w:r>
          </w:p>
        </w:tc>
        <w:tc>
          <w:tcPr>
            <w:tcW w:w="2014" w:type="pct"/>
            <w:vAlign w:val="center"/>
          </w:tcPr>
          <w:p>
            <w:pPr>
              <w:pStyle w:val="34"/>
              <w:spacing w:before="120" w:after="120"/>
              <w:rPr>
                <w:rFonts w:ascii="Arial" w:hAnsi="Arial" w:cs="Arial"/>
              </w:rPr>
            </w:pPr>
            <w:r>
              <w:rPr>
                <w:rFonts w:ascii="Arial" w:hAnsi="宋体" w:cs="Arial"/>
              </w:rPr>
              <w:t>检测项目指标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986" w:type="pct"/>
            <w:vAlign w:val="center"/>
          </w:tcPr>
          <w:p>
            <w:pPr>
              <w:pStyle w:val="34"/>
              <w:spacing w:before="120" w:after="120"/>
              <w:rPr>
                <w:rFonts w:ascii="Arial" w:hAnsi="Arial" w:cs="Arial"/>
              </w:rPr>
            </w:pPr>
            <w:r>
              <w:rPr>
                <w:rFonts w:ascii="Arial" w:hAnsi="Arial" w:cs="Arial"/>
              </w:rPr>
              <w:t>pH</w:t>
            </w:r>
            <w:r>
              <w:rPr>
                <w:rFonts w:ascii="Arial" w:hAnsi="宋体" w:cs="Arial"/>
              </w:rPr>
              <w:t>值（不加酸碱，</w:t>
            </w:r>
            <w:r>
              <w:rPr>
                <w:rFonts w:ascii="Arial" w:hAnsi="Arial" w:cs="Arial"/>
              </w:rPr>
              <w:t>p H</w:t>
            </w:r>
            <w:r>
              <w:rPr>
                <w:rFonts w:ascii="Arial" w:hAnsi="宋体" w:cs="Arial"/>
              </w:rPr>
              <w:t>自然平衡）</w:t>
            </w:r>
          </w:p>
        </w:tc>
        <w:tc>
          <w:tcPr>
            <w:tcW w:w="2014" w:type="pct"/>
            <w:vAlign w:val="center"/>
          </w:tcPr>
          <w:p>
            <w:pPr>
              <w:pStyle w:val="34"/>
              <w:spacing w:before="120" w:after="120"/>
              <w:rPr>
                <w:rFonts w:ascii="Arial" w:hAnsi="Arial" w:cs="Arial"/>
              </w:rPr>
            </w:pPr>
            <w:r>
              <w:rPr>
                <w:rFonts w:ascii="Arial" w:hAnsi="Arial" w:cs="Arial"/>
              </w:rPr>
              <w:t>6.8</w:t>
            </w:r>
            <w:r>
              <w:rPr>
                <w:rFonts w:ascii="Arial" w:hAnsi="宋体" w:cs="Arial"/>
              </w:rPr>
              <w:t>～</w:t>
            </w:r>
            <w:r>
              <w:rPr>
                <w:rFonts w:ascii="Arial" w:hAnsi="Arial" w:cs="Arial"/>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986" w:type="pct"/>
            <w:vAlign w:val="center"/>
          </w:tcPr>
          <w:p>
            <w:pPr>
              <w:pStyle w:val="34"/>
              <w:spacing w:before="120" w:after="120"/>
              <w:rPr>
                <w:rFonts w:ascii="Arial" w:hAnsi="Arial" w:cs="Arial"/>
              </w:rPr>
            </w:pPr>
            <w:r>
              <w:rPr>
                <w:rFonts w:ascii="Arial" w:hAnsi="宋体" w:cs="Arial"/>
              </w:rPr>
              <w:t>电导率（</w:t>
            </w:r>
            <w:r>
              <w:rPr>
                <w:rFonts w:ascii="Arial" w:hAnsi="Arial" w:cs="Arial"/>
              </w:rPr>
              <w:t>μs/cm</w:t>
            </w:r>
            <w:r>
              <w:rPr>
                <w:rFonts w:ascii="Arial" w:hAnsi="宋体" w:cs="Arial"/>
              </w:rPr>
              <w:t>）</w:t>
            </w:r>
            <w:r>
              <w:rPr>
                <w:rFonts w:ascii="Arial" w:hAnsi="Arial" w:cs="Arial"/>
              </w:rPr>
              <w:t>25</w:t>
            </w:r>
            <w:r>
              <w:rPr>
                <w:rFonts w:ascii="Arial" w:hAnsi="宋体" w:cs="Arial"/>
              </w:rPr>
              <w:t>℃</w:t>
            </w:r>
          </w:p>
        </w:tc>
        <w:tc>
          <w:tcPr>
            <w:tcW w:w="2014" w:type="pct"/>
            <w:vAlign w:val="center"/>
          </w:tcPr>
          <w:p>
            <w:pPr>
              <w:pStyle w:val="34"/>
              <w:spacing w:before="120" w:after="120"/>
              <w:rPr>
                <w:rFonts w:ascii="Arial" w:hAnsi="Arial" w:cs="Arial"/>
              </w:rPr>
            </w:pPr>
            <w:r>
              <w:rPr>
                <w:rFonts w:ascii="Arial" w:hAnsi="Arial" w:cs="Arial"/>
              </w:rPr>
              <w:t>≤2500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986" w:type="pct"/>
            <w:vAlign w:val="center"/>
          </w:tcPr>
          <w:p>
            <w:pPr>
              <w:pStyle w:val="34"/>
              <w:spacing w:before="120" w:after="120"/>
              <w:rPr>
                <w:rFonts w:ascii="Arial" w:hAnsi="Arial" w:cs="Arial"/>
              </w:rPr>
            </w:pPr>
            <w:r>
              <w:rPr>
                <w:rFonts w:ascii="Arial" w:hAnsi="宋体" w:cs="Arial"/>
              </w:rPr>
              <w:t>浊度</w:t>
            </w:r>
            <w:r>
              <w:rPr>
                <w:rFonts w:ascii="Arial" w:hAnsi="Arial" w:cs="Arial"/>
                <w:kern w:val="0"/>
              </w:rPr>
              <w:t xml:space="preserve"> mg/L</w:t>
            </w:r>
          </w:p>
        </w:tc>
        <w:tc>
          <w:tcPr>
            <w:tcW w:w="2014" w:type="pct"/>
            <w:vAlign w:val="center"/>
          </w:tcPr>
          <w:p>
            <w:pPr>
              <w:pStyle w:val="34"/>
              <w:spacing w:before="120" w:after="120"/>
              <w:rPr>
                <w:rFonts w:ascii="Arial" w:hAnsi="Arial" w:cs="Arial"/>
              </w:rPr>
            </w:pPr>
            <w:r>
              <w:rPr>
                <w:rFonts w:ascii="Arial" w:hAnsi="Arial" w:cs="Arial"/>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986" w:type="pct"/>
            <w:vAlign w:val="center"/>
          </w:tcPr>
          <w:p>
            <w:pPr>
              <w:pStyle w:val="34"/>
              <w:spacing w:before="120" w:after="120"/>
              <w:rPr>
                <w:rFonts w:ascii="Arial" w:hAnsi="Arial" w:cs="Arial"/>
              </w:rPr>
            </w:pPr>
            <w:r>
              <w:rPr>
                <w:rFonts w:ascii="Arial" w:hAnsi="宋体" w:cs="Arial"/>
              </w:rPr>
              <w:t>总碱度</w:t>
            </w:r>
            <w:r>
              <w:rPr>
                <w:rFonts w:ascii="Arial" w:hAnsi="Arial" w:cs="Arial"/>
                <w:kern w:val="0"/>
              </w:rPr>
              <w:t xml:space="preserve"> mg/L(</w:t>
            </w:r>
            <w:r>
              <w:rPr>
                <w:rFonts w:ascii="Arial" w:hAnsi="宋体" w:cs="Arial"/>
                <w:kern w:val="0"/>
              </w:rPr>
              <w:t>以</w:t>
            </w:r>
            <w:r>
              <w:rPr>
                <w:rFonts w:ascii="Arial" w:hAnsi="Arial" w:cs="Arial"/>
                <w:kern w:val="0"/>
              </w:rPr>
              <w:t>CaCO3)</w:t>
            </w:r>
          </w:p>
        </w:tc>
        <w:tc>
          <w:tcPr>
            <w:tcW w:w="2014" w:type="pct"/>
            <w:vAlign w:val="center"/>
          </w:tcPr>
          <w:p>
            <w:pPr>
              <w:pStyle w:val="34"/>
              <w:spacing w:before="120" w:after="120"/>
              <w:rPr>
                <w:rFonts w:ascii="Arial" w:hAnsi="Arial" w:cs="Arial"/>
              </w:rPr>
            </w:pPr>
            <w:r>
              <w:rPr>
                <w:rFonts w:ascii="Arial" w:hAnsi="Arial" w:cs="Arial"/>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986" w:type="pct"/>
            <w:vAlign w:val="center"/>
          </w:tcPr>
          <w:p>
            <w:pPr>
              <w:pStyle w:val="34"/>
              <w:spacing w:before="120" w:after="120"/>
              <w:rPr>
                <w:rFonts w:ascii="Arial" w:hAnsi="Arial" w:cs="Arial"/>
              </w:rPr>
            </w:pPr>
            <w:r>
              <w:rPr>
                <w:rFonts w:ascii="Arial" w:hAnsi="宋体" w:cs="Arial"/>
              </w:rPr>
              <w:t>总硬度</w:t>
            </w:r>
            <w:r>
              <w:rPr>
                <w:rFonts w:ascii="Arial" w:hAnsi="Arial" w:cs="Arial"/>
                <w:kern w:val="0"/>
              </w:rPr>
              <w:t xml:space="preserve"> mg/L(</w:t>
            </w:r>
            <w:r>
              <w:rPr>
                <w:rFonts w:ascii="Arial" w:hAnsi="宋体" w:cs="Arial"/>
                <w:kern w:val="0"/>
              </w:rPr>
              <w:t>以</w:t>
            </w:r>
            <w:r>
              <w:rPr>
                <w:rFonts w:ascii="Arial" w:hAnsi="Arial" w:cs="Arial"/>
                <w:kern w:val="0"/>
              </w:rPr>
              <w:t>CaCO3)</w:t>
            </w:r>
          </w:p>
        </w:tc>
        <w:tc>
          <w:tcPr>
            <w:tcW w:w="2014" w:type="pct"/>
            <w:vAlign w:val="center"/>
          </w:tcPr>
          <w:p>
            <w:pPr>
              <w:pStyle w:val="34"/>
              <w:spacing w:before="120" w:after="120"/>
              <w:rPr>
                <w:rFonts w:ascii="Arial" w:hAnsi="Arial" w:cs="Arial"/>
              </w:rPr>
            </w:pPr>
            <w:r>
              <w:rPr>
                <w:rFonts w:ascii="Arial" w:hAnsi="Arial" w:cs="Arial"/>
              </w:rPr>
              <w:t>≤600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986" w:type="pct"/>
            <w:vAlign w:val="center"/>
          </w:tcPr>
          <w:p>
            <w:pPr>
              <w:pStyle w:val="34"/>
              <w:spacing w:before="120" w:after="120"/>
              <w:rPr>
                <w:rFonts w:ascii="Arial" w:hAnsi="Arial" w:cs="Arial"/>
              </w:rPr>
            </w:pPr>
            <w:r>
              <w:rPr>
                <w:rFonts w:ascii="Arial" w:hAnsi="宋体" w:cs="Arial"/>
              </w:rPr>
              <w:t>氯根（</w:t>
            </w:r>
            <w:r>
              <w:rPr>
                <w:rFonts w:ascii="Arial" w:hAnsi="Arial" w:cs="Arial"/>
              </w:rPr>
              <w:t>mg/L</w:t>
            </w:r>
            <w:r>
              <w:rPr>
                <w:rFonts w:ascii="Arial" w:hAnsi="宋体" w:cs="Arial"/>
              </w:rPr>
              <w:t>）</w:t>
            </w:r>
          </w:p>
        </w:tc>
        <w:tc>
          <w:tcPr>
            <w:tcW w:w="2014" w:type="pct"/>
            <w:vAlign w:val="center"/>
          </w:tcPr>
          <w:p>
            <w:pPr>
              <w:pStyle w:val="34"/>
              <w:spacing w:before="120" w:after="120"/>
              <w:rPr>
                <w:rFonts w:ascii="Arial" w:hAnsi="Arial" w:cs="Arial"/>
              </w:rPr>
            </w:pPr>
            <w:r>
              <w:rPr>
                <w:rFonts w:ascii="Arial" w:hAnsi="Arial" w:cs="Arial"/>
              </w:rPr>
              <w:t>≤1000</w:t>
            </w:r>
            <w:r>
              <w:rPr>
                <w:rFonts w:ascii="Arial" w:hAnsi="宋体" w:cs="Arial"/>
              </w:rPr>
              <w:t>（碳钢）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986" w:type="pct"/>
            <w:vAlign w:val="center"/>
          </w:tcPr>
          <w:p>
            <w:pPr>
              <w:pStyle w:val="34"/>
              <w:spacing w:before="120" w:after="120"/>
              <w:rPr>
                <w:rFonts w:ascii="Arial" w:hAnsi="Arial" w:cs="Arial"/>
              </w:rPr>
            </w:pPr>
            <w:r>
              <w:rPr>
                <w:rFonts w:ascii="Arial" w:hAnsi="宋体" w:cs="Arial"/>
              </w:rPr>
              <w:t>总铁（</w:t>
            </w:r>
            <w:r>
              <w:rPr>
                <w:rFonts w:ascii="Arial" w:hAnsi="Arial" w:cs="Arial"/>
              </w:rPr>
              <w:t>mg/L</w:t>
            </w:r>
            <w:r>
              <w:rPr>
                <w:rFonts w:ascii="Arial" w:hAnsi="宋体" w:cs="Arial"/>
              </w:rPr>
              <w:t>）</w:t>
            </w:r>
          </w:p>
        </w:tc>
        <w:tc>
          <w:tcPr>
            <w:tcW w:w="2014" w:type="pct"/>
            <w:vAlign w:val="center"/>
          </w:tcPr>
          <w:p>
            <w:pPr>
              <w:pStyle w:val="34"/>
              <w:spacing w:before="120" w:after="120"/>
              <w:rPr>
                <w:rFonts w:ascii="Arial" w:hAnsi="Arial" w:cs="Arial"/>
              </w:rPr>
            </w:pPr>
            <w:r>
              <w:rPr>
                <w:rFonts w:ascii="Arial" w:hAnsi="Arial" w:cs="Aria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986" w:type="pct"/>
            <w:vAlign w:val="center"/>
          </w:tcPr>
          <w:p>
            <w:pPr>
              <w:pStyle w:val="34"/>
              <w:spacing w:before="120" w:after="120"/>
              <w:rPr>
                <w:rFonts w:ascii="Arial" w:hAnsi="Arial" w:cs="Arial"/>
              </w:rPr>
            </w:pPr>
            <w:r>
              <w:rPr>
                <w:rFonts w:ascii="Arial" w:hAnsi="宋体" w:cs="Arial"/>
              </w:rPr>
              <w:t>总铜（</w:t>
            </w:r>
            <w:r>
              <w:rPr>
                <w:rFonts w:ascii="Arial" w:hAnsi="Arial" w:cs="Arial"/>
              </w:rPr>
              <w:t>mg/L</w:t>
            </w:r>
            <w:r>
              <w:rPr>
                <w:rFonts w:ascii="Arial" w:hAnsi="宋体" w:cs="Arial"/>
              </w:rPr>
              <w:t>）</w:t>
            </w:r>
          </w:p>
        </w:tc>
        <w:tc>
          <w:tcPr>
            <w:tcW w:w="2014" w:type="pct"/>
            <w:vAlign w:val="center"/>
          </w:tcPr>
          <w:p>
            <w:pPr>
              <w:pStyle w:val="34"/>
              <w:spacing w:before="120" w:after="120"/>
              <w:rPr>
                <w:rFonts w:ascii="Arial" w:hAnsi="Arial" w:cs="Arial"/>
              </w:rPr>
            </w:pPr>
            <w:r>
              <w:rPr>
                <w:rFonts w:ascii="Arial" w:hAnsi="Arial" w:cs="Arial"/>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986" w:type="pct"/>
            <w:vAlign w:val="center"/>
          </w:tcPr>
          <w:p>
            <w:pPr>
              <w:pStyle w:val="34"/>
              <w:spacing w:before="120" w:after="120"/>
              <w:rPr>
                <w:rFonts w:ascii="Arial" w:hAnsi="Arial" w:cs="Arial"/>
              </w:rPr>
            </w:pPr>
            <w:r>
              <w:rPr>
                <w:rFonts w:ascii="Arial" w:hAnsi="宋体" w:cs="Arial"/>
              </w:rPr>
              <w:t>细菌总数（个</w:t>
            </w:r>
            <w:r>
              <w:rPr>
                <w:rFonts w:ascii="Arial" w:hAnsi="Arial" w:cs="Arial"/>
              </w:rPr>
              <w:t>/mL</w:t>
            </w:r>
            <w:r>
              <w:rPr>
                <w:rFonts w:ascii="Arial" w:hAnsi="宋体" w:cs="Arial"/>
              </w:rPr>
              <w:t>）</w:t>
            </w:r>
          </w:p>
        </w:tc>
        <w:tc>
          <w:tcPr>
            <w:tcW w:w="2014" w:type="pct"/>
            <w:vAlign w:val="center"/>
          </w:tcPr>
          <w:p>
            <w:pPr>
              <w:pStyle w:val="34"/>
              <w:spacing w:before="120" w:after="120"/>
              <w:rPr>
                <w:rFonts w:ascii="Arial" w:hAnsi="Arial" w:cs="Arial"/>
              </w:rPr>
            </w:pPr>
            <w:r>
              <w:rPr>
                <w:rFonts w:ascii="Arial" w:hAnsi="Arial" w:cs="Arial"/>
              </w:rPr>
              <w:t>≤10</w:t>
            </w:r>
            <w:r>
              <w:rPr>
                <w:rFonts w:ascii="Arial" w:hAnsi="Arial" w:cs="Arial"/>
                <w:vertAlign w:val="superscript"/>
              </w:rPr>
              <w:t>5</w:t>
            </w:r>
          </w:p>
        </w:tc>
      </w:tr>
    </w:tbl>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rPr>
          <w:rFonts w:ascii="宋体" w:hAnsi="宋体"/>
          <w:b/>
          <w:sz w:val="24"/>
        </w:rPr>
      </w:pPr>
    </w:p>
    <w:p>
      <w:pPr>
        <w:rPr>
          <w:rFonts w:ascii="宋体" w:hAnsi="宋体"/>
          <w:b/>
          <w:sz w:val="24"/>
        </w:rPr>
      </w:pPr>
    </w:p>
    <w:p>
      <w:pPr>
        <w:spacing w:line="460" w:lineRule="exact"/>
        <w:rPr>
          <w:rFonts w:ascii="宋体" w:hAnsi="宋体"/>
          <w:b/>
          <w:sz w:val="24"/>
        </w:rPr>
      </w:pPr>
      <w:r>
        <w:rPr>
          <w:rFonts w:hint="eastAsia" w:ascii="宋体" w:hAnsi="宋体"/>
          <w:b/>
          <w:sz w:val="24"/>
        </w:rPr>
        <w:t>2</w:t>
      </w:r>
      <w:r>
        <w:rPr>
          <w:rFonts w:ascii="宋体" w:hAnsi="宋体"/>
          <w:b/>
          <w:sz w:val="24"/>
        </w:rPr>
        <w:t>、冷却循环水主要障害及水处理技术</w:t>
      </w:r>
      <w:bookmarkEnd w:id="256"/>
    </w:p>
    <w:p>
      <w:pPr>
        <w:spacing w:line="460" w:lineRule="exact"/>
        <w:jc w:val="left"/>
        <w:rPr>
          <w:rFonts w:ascii="宋体" w:hAnsi="宋体" w:cs="Arial"/>
          <w:b/>
          <w:kern w:val="0"/>
          <w:sz w:val="24"/>
        </w:rPr>
      </w:pPr>
      <w:bookmarkStart w:id="257" w:name="_Toc98637515"/>
      <w:r>
        <w:rPr>
          <w:rFonts w:hint="eastAsia" w:ascii="宋体" w:hAnsi="宋体" w:cs="Arial"/>
          <w:b/>
          <w:kern w:val="0"/>
          <w:sz w:val="24"/>
        </w:rPr>
        <w:t>2</w:t>
      </w:r>
      <w:r>
        <w:rPr>
          <w:rFonts w:ascii="宋体" w:hAnsi="宋体" w:cs="Arial"/>
          <w:b/>
          <w:kern w:val="0"/>
          <w:sz w:val="24"/>
        </w:rPr>
        <w:t>.1、冷却循环水主要障害及药剂的选择</w:t>
      </w:r>
      <w:bookmarkEnd w:id="257"/>
    </w:p>
    <w:p>
      <w:pPr>
        <w:spacing w:line="460" w:lineRule="exact"/>
        <w:ind w:firstLine="420"/>
        <w:rPr>
          <w:rFonts w:ascii="宋体" w:hAnsi="宋体" w:cs="Arial"/>
        </w:rPr>
      </w:pPr>
      <w:r>
        <w:rPr>
          <w:rFonts w:ascii="宋体" w:hAnsi="宋体" w:cs="Arial"/>
        </w:rPr>
        <w:t>敞开式循环冷却水系统主要是依靠冷却塔风机带动空气流动以及蒸发水份来产生降温，与此同时循环水被浓缩（盐份浓度增高），空气中有害物进入冷却水中因而敞开式循环冷却水存在着十分严重的腐蚀、结垢、微生物及粘泥的危害</w:t>
      </w:r>
      <w:r>
        <w:rPr>
          <w:rFonts w:hint="eastAsia" w:ascii="宋体" w:hAnsi="宋体" w:cs="Arial"/>
        </w:rPr>
        <w:t>。</w:t>
      </w:r>
      <w:r>
        <w:rPr>
          <w:rFonts w:ascii="宋体" w:hAnsi="宋体" w:cs="Arial"/>
        </w:rPr>
        <w:t>对于冷却水的水处理技术主要采取投加缓蚀剂、阻垢剂、杀菌剂，同时控制循环水浓缩倍数，防止环境对循环水的污染等措施。</w:t>
      </w:r>
    </w:p>
    <w:p>
      <w:pPr>
        <w:spacing w:line="460" w:lineRule="exact"/>
        <w:jc w:val="left"/>
        <w:rPr>
          <w:rFonts w:ascii="宋体" w:hAnsi="宋体" w:cs="Arial"/>
          <w:b/>
          <w:kern w:val="0"/>
          <w:sz w:val="24"/>
        </w:rPr>
      </w:pPr>
      <w:r>
        <w:rPr>
          <w:rFonts w:hint="eastAsia" w:ascii="宋体" w:hAnsi="宋体" w:cs="Arial"/>
          <w:b/>
          <w:kern w:val="0"/>
          <w:sz w:val="24"/>
        </w:rPr>
        <w:t>2.1.</w:t>
      </w:r>
      <w:r>
        <w:rPr>
          <w:rFonts w:ascii="宋体" w:hAnsi="宋体" w:cs="Arial"/>
          <w:b/>
          <w:kern w:val="0"/>
          <w:sz w:val="24"/>
        </w:rPr>
        <w:t>1．结垢问题</w:t>
      </w:r>
    </w:p>
    <w:p>
      <w:pPr>
        <w:spacing w:line="460" w:lineRule="exact"/>
        <w:ind w:firstLine="420"/>
        <w:rPr>
          <w:rFonts w:ascii="宋体" w:hAnsi="宋体" w:cs="Arial"/>
        </w:rPr>
      </w:pPr>
      <w:r>
        <w:rPr>
          <w:rFonts w:ascii="宋体" w:hAnsi="宋体" w:cs="Arial"/>
        </w:rPr>
        <w:t>从冷却水水质特点来看，由于冷却塔的蒸发浓缩及受季节变化的影响：夏季气温高，蒸发量大，很多冷却水的浓缩倍数达到8～9倍，有的甚至高达十倍以上，目前的自来水硬度较高，如不投加阻垢分散剂则硬度应控制在200mg/L以下，循环水浓缩倍数＞3倍时就要排污了，这将耗费大量的自来水。所以应选择阻垢分散性能较好的药剂，可使浓缩倍数提高到5～6。夏季采用以阻垢分散为主，并对碳钢、铜及铜合金具有良好的缓蚀性能的阻垢缓蚀剂，加上配以合理的排污，才能有效防止碳酸硬垢在热交换器铜管内沉积，节约电能损耗，避免高压跳机。秋冬季气温低，主机热交换负荷降低，蒸发量大大减少，此季节浓缩倍数不高，转为腐蚀型水，改用以缓蚀为主、阻垢分散为辅的缓蚀阻垢剂。</w:t>
      </w:r>
    </w:p>
    <w:p>
      <w:pPr>
        <w:spacing w:line="460" w:lineRule="exact"/>
        <w:ind w:firstLine="420"/>
        <w:rPr>
          <w:rFonts w:ascii="宋体" w:hAnsi="宋体" w:cs="Arial"/>
        </w:rPr>
      </w:pPr>
      <w:r>
        <w:rPr>
          <w:rFonts w:ascii="宋体" w:hAnsi="宋体" w:cs="Arial"/>
        </w:rPr>
        <w:t>水处理方案要点之一是：在配方中加入阻垢分散性能良好的有机三元共聚物，循环水的总硬度在</w:t>
      </w:r>
      <w:r>
        <w:rPr>
          <w:rFonts w:hint="eastAsia" w:ascii="宋体" w:hAnsi="宋体" w:cs="Arial"/>
        </w:rPr>
        <w:t>6</w:t>
      </w:r>
      <w:r>
        <w:rPr>
          <w:rFonts w:ascii="宋体" w:hAnsi="宋体" w:cs="Arial"/>
        </w:rPr>
        <w:t>00mg/L以下其阻垢率都可达到95%以上，从而确保冷凝器管壁基本不沉积化学硬垢。</w:t>
      </w:r>
    </w:p>
    <w:p>
      <w:pPr>
        <w:spacing w:line="460" w:lineRule="exact"/>
        <w:jc w:val="left"/>
        <w:rPr>
          <w:rFonts w:ascii="宋体" w:hAnsi="宋体" w:cs="Arial"/>
          <w:kern w:val="0"/>
          <w:sz w:val="24"/>
        </w:rPr>
      </w:pPr>
      <w:r>
        <w:rPr>
          <w:rFonts w:hint="eastAsia" w:ascii="宋体" w:hAnsi="宋体" w:cs="Arial"/>
          <w:kern w:val="0"/>
          <w:sz w:val="24"/>
        </w:rPr>
        <w:t>2.1.</w:t>
      </w:r>
      <w:r>
        <w:rPr>
          <w:rFonts w:ascii="宋体" w:hAnsi="宋体" w:cs="Arial"/>
          <w:kern w:val="0"/>
          <w:sz w:val="24"/>
        </w:rPr>
        <w:t>2．腐蚀问题</w:t>
      </w:r>
    </w:p>
    <w:p>
      <w:pPr>
        <w:spacing w:line="460" w:lineRule="exact"/>
        <w:ind w:firstLine="420"/>
        <w:rPr>
          <w:rFonts w:ascii="宋体" w:hAnsi="宋体" w:cs="Arial"/>
        </w:rPr>
      </w:pPr>
      <w:r>
        <w:rPr>
          <w:rFonts w:ascii="宋体" w:hAnsi="宋体" w:cs="Arial"/>
        </w:rPr>
        <w:t>冷却水系统的另一特点是存在着较严重的溶解氧等各种腐蚀问题。针对</w:t>
      </w:r>
      <w:r>
        <w:rPr>
          <w:rFonts w:hint="eastAsia" w:ascii="宋体" w:hAnsi="宋体" w:cs="Arial"/>
          <w:color w:val="000000"/>
        </w:rPr>
        <w:t>目前冷却水pH值酸性漂移</w:t>
      </w:r>
      <w:r>
        <w:rPr>
          <w:rFonts w:ascii="宋体" w:hAnsi="宋体" w:cs="Arial"/>
          <w:color w:val="000000"/>
        </w:rPr>
        <w:t>这一情况，水处理方案要点之二：①选用钢腐蚀率（0.023mm/a）达到国家优秀级的缓蚀阻垢剂；②严格控制药剂浓度</w:t>
      </w:r>
      <w:r>
        <w:rPr>
          <w:rFonts w:ascii="宋体" w:hAnsi="宋体" w:cs="Arial"/>
        </w:rPr>
        <w:t>。</w:t>
      </w:r>
    </w:p>
    <w:p>
      <w:pPr>
        <w:spacing w:line="460" w:lineRule="exact"/>
        <w:jc w:val="left"/>
        <w:rPr>
          <w:rFonts w:ascii="宋体" w:hAnsi="宋体" w:cs="Arial"/>
          <w:kern w:val="0"/>
          <w:sz w:val="24"/>
        </w:rPr>
      </w:pPr>
      <w:r>
        <w:rPr>
          <w:rFonts w:hint="eastAsia" w:ascii="宋体" w:hAnsi="宋体" w:cs="Arial"/>
          <w:kern w:val="0"/>
          <w:sz w:val="24"/>
        </w:rPr>
        <w:t>2.1.</w:t>
      </w:r>
      <w:r>
        <w:rPr>
          <w:rFonts w:ascii="宋体" w:hAnsi="宋体" w:cs="Arial"/>
          <w:kern w:val="0"/>
          <w:sz w:val="24"/>
        </w:rPr>
        <w:t>3、微生物及菌藻问题</w:t>
      </w:r>
    </w:p>
    <w:p>
      <w:pPr>
        <w:pStyle w:val="11"/>
        <w:spacing w:line="460" w:lineRule="exact"/>
        <w:ind w:left="0" w:leftChars="0" w:firstLine="420"/>
        <w:rPr>
          <w:rFonts w:ascii="宋体" w:hAnsi="宋体" w:cs="Arial"/>
        </w:rPr>
      </w:pPr>
      <w:r>
        <w:rPr>
          <w:rFonts w:ascii="宋体" w:hAnsi="宋体" w:cs="Arial"/>
        </w:rPr>
        <w:t>因冷却系统是敞开式的，冷却塔运行时因能得到充足的阳光及吸进空气中的营养物，使藻类繁殖迅速，冷却水中的微生物也因温度、光照等条件适宜而大量滋生，如不进行有效控制，由此产生大量的生物粘泥，进入主机冷凝器会影响热交换，增加耗电量，冷却塔填料粘附生物粘泥和藻类会严重影响冷却塔的散热，增加主机负荷。</w:t>
      </w:r>
    </w:p>
    <w:p>
      <w:pPr>
        <w:spacing w:line="460" w:lineRule="exact"/>
        <w:ind w:firstLine="420"/>
        <w:rPr>
          <w:rFonts w:ascii="宋体" w:hAnsi="宋体" w:cs="Arial"/>
        </w:rPr>
      </w:pPr>
      <w:r>
        <w:rPr>
          <w:rFonts w:ascii="宋体" w:hAnsi="宋体" w:cs="Arial"/>
        </w:rPr>
        <w:t>针对菌藻的危害性，水处理方案要点之三：①投加杀菌灭藻剂；②采用环保型低磷配方；③每</w:t>
      </w:r>
      <w:r>
        <w:rPr>
          <w:rFonts w:hint="eastAsia" w:ascii="宋体" w:hAnsi="宋体" w:cs="Arial"/>
        </w:rPr>
        <w:t>月</w:t>
      </w:r>
      <w:r>
        <w:rPr>
          <w:rFonts w:ascii="宋体" w:hAnsi="宋体" w:cs="Arial"/>
        </w:rPr>
        <w:t>清洗一次冷却塔，使细菌总数</w:t>
      </w:r>
      <w:r>
        <w:rPr>
          <w:rFonts w:hint="eastAsia" w:ascii="宋体" w:hAnsi="宋体" w:cs="Arial"/>
        </w:rPr>
        <w:t>＜</w:t>
      </w:r>
      <w:r>
        <w:rPr>
          <w:rFonts w:ascii="宋体" w:hAnsi="宋体" w:cs="Arial"/>
        </w:rPr>
        <w:t>10</w:t>
      </w:r>
      <w:r>
        <w:rPr>
          <w:rFonts w:hint="eastAsia" w:ascii="宋体" w:hAnsi="宋体" w:cs="Arial"/>
          <w:vertAlign w:val="superscript"/>
        </w:rPr>
        <w:t>5</w:t>
      </w:r>
      <w:r>
        <w:rPr>
          <w:rFonts w:ascii="宋体" w:hAnsi="宋体" w:cs="Arial"/>
        </w:rPr>
        <w:t>个/mL。</w:t>
      </w:r>
      <w:bookmarkStart w:id="258" w:name="_Toc98637516"/>
    </w:p>
    <w:p>
      <w:pPr>
        <w:spacing w:line="460" w:lineRule="exact"/>
        <w:jc w:val="left"/>
        <w:rPr>
          <w:rFonts w:ascii="宋体" w:hAnsi="宋体" w:cs="Arial"/>
          <w:b/>
          <w:kern w:val="0"/>
          <w:sz w:val="24"/>
        </w:rPr>
      </w:pPr>
      <w:r>
        <w:rPr>
          <w:rFonts w:hint="eastAsia" w:ascii="宋体" w:hAnsi="宋体" w:cs="Arial"/>
          <w:b/>
          <w:kern w:val="0"/>
          <w:sz w:val="24"/>
        </w:rPr>
        <w:t>3</w:t>
      </w:r>
      <w:r>
        <w:rPr>
          <w:rFonts w:ascii="宋体" w:hAnsi="宋体" w:cs="Arial"/>
          <w:b/>
          <w:kern w:val="0"/>
          <w:sz w:val="24"/>
        </w:rPr>
        <w:t>、浓缩倍数的确定</w:t>
      </w:r>
      <w:bookmarkEnd w:id="258"/>
    </w:p>
    <w:p>
      <w:pPr>
        <w:spacing w:line="460" w:lineRule="exact"/>
        <w:ind w:firstLine="420"/>
        <w:rPr>
          <w:rFonts w:ascii="宋体" w:hAnsi="宋体" w:cs="Arial"/>
        </w:rPr>
      </w:pPr>
      <w:r>
        <w:rPr>
          <w:rFonts w:ascii="宋体" w:hAnsi="宋体" w:cs="Arial"/>
        </w:rPr>
        <w:t>通常，在有效地控制循环水的腐蚀、结垢及生物粘泥等危害的前提下，应尽可能在较高浓缩倍数下运行，从而获得最大限度的节约用水和最佳的水处理经济效益。目前冷却循环水的补充水源是自来水，东莞地区的自来水水质属于中等硬度、低碱度水质，有一定结垢倾向和较强腐蚀性。在水的循环过程中，冷却水蒸发引起浓缩。当浓缩倍数增大至7以内，排污水量和补充水量迅速下降，节水效果明显，但浓缩倍数提高，水的结垢倾向增强，因此需采用阻垢剂防止结垢。根据东莞自来水的硬度，也为了节约水资源，冷却循环水的运行浓缩倍数宜选择5～6。</w:t>
      </w:r>
    </w:p>
    <w:p>
      <w:pPr>
        <w:spacing w:line="460" w:lineRule="exact"/>
        <w:ind w:firstLine="420"/>
        <w:rPr>
          <w:rFonts w:ascii="宋体" w:hAnsi="宋体"/>
        </w:rPr>
      </w:pPr>
      <w:r>
        <w:rPr>
          <w:rFonts w:ascii="宋体" w:hAnsi="宋体" w:cs="Arial"/>
        </w:rPr>
        <w:t>此外，冷却塔风扇抽风带进的尘埃及补水中的悬浮物等固体杂质随着循环水浓缩而含量上升，会逐渐粘结并沉积在热交换器换热管壁等处形成污垢，降低冷却传热效率；冷却水的浓缩倍数过大时，水中的钙、镁离子与溶于水中的二氧化碳形成碳酸盐垢，沉积在主机热交换器铜管壁上，同样也影响换热效率。因此，硬度过高或浊度偏高时，应进行科学合理的排污，把成垢物质和粉尘等固体杂质排放一部分。</w:t>
      </w:r>
      <w:bookmarkStart w:id="259" w:name="_Toc98637519"/>
    </w:p>
    <w:p>
      <w:pPr>
        <w:spacing w:line="300" w:lineRule="exact"/>
        <w:ind w:firstLine="420"/>
        <w:rPr>
          <w:rFonts w:ascii="宋体" w:hAnsi="宋体"/>
        </w:rPr>
      </w:pPr>
    </w:p>
    <w:bookmarkEnd w:id="259"/>
    <w:p>
      <w:pPr>
        <w:spacing w:line="460" w:lineRule="exact"/>
        <w:rPr>
          <w:rFonts w:ascii="宋体" w:hAnsi="宋体" w:cs="Arial"/>
          <w:b/>
        </w:rPr>
      </w:pPr>
      <w:bookmarkStart w:id="260" w:name="_Toc272417827"/>
      <w:r>
        <w:rPr>
          <w:rFonts w:hint="eastAsia" w:ascii="宋体" w:hAnsi="宋体"/>
          <w:b/>
          <w:sz w:val="24"/>
        </w:rPr>
        <w:t>(三)</w:t>
      </w:r>
      <w:r>
        <w:rPr>
          <w:rFonts w:ascii="宋体" w:hAnsi="宋体"/>
          <w:b/>
          <w:sz w:val="24"/>
        </w:rPr>
        <w:t>、冷却系统水处理</w:t>
      </w:r>
      <w:bookmarkEnd w:id="260"/>
      <w:r>
        <w:rPr>
          <w:rFonts w:hint="eastAsia" w:ascii="宋体" w:hAnsi="宋体"/>
          <w:b/>
          <w:sz w:val="24"/>
        </w:rPr>
        <w:t>工作方案</w:t>
      </w:r>
    </w:p>
    <w:p>
      <w:pPr>
        <w:spacing w:line="460" w:lineRule="exact"/>
        <w:jc w:val="left"/>
        <w:rPr>
          <w:rFonts w:ascii="宋体" w:hAnsi="宋体" w:cs="Arial"/>
          <w:b/>
          <w:kern w:val="0"/>
          <w:sz w:val="24"/>
        </w:rPr>
      </w:pPr>
      <w:r>
        <w:rPr>
          <w:rFonts w:ascii="宋体" w:hAnsi="宋体" w:cs="Arial"/>
          <w:b/>
          <w:kern w:val="0"/>
          <w:sz w:val="24"/>
        </w:rPr>
        <w:t>1、冷却水处理实施方法步骤流程图</w:t>
      </w:r>
    </w:p>
    <w:p>
      <w:pPr>
        <w:spacing w:after="120" w:afterLines="50" w:line="460" w:lineRule="exact"/>
        <w:ind w:firstLine="480"/>
        <w:rPr>
          <w:rFonts w:ascii="宋体" w:hAnsi="宋体" w:cs="Arial"/>
          <w:sz w:val="24"/>
        </w:rPr>
      </w:pPr>
      <w:r>
        <w:rPr>
          <w:rFonts w:ascii="宋体" w:hAnsi="宋体" w:cs="Arial"/>
          <w:sz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289560</wp:posOffset>
                </wp:positionV>
                <wp:extent cx="1600200" cy="858520"/>
                <wp:effectExtent l="5080" t="4445" r="4445" b="13335"/>
                <wp:wrapNone/>
                <wp:docPr id="10" name="流程图: 可选过程 10"/>
                <wp:cNvGraphicFramePr/>
                <a:graphic xmlns:a="http://schemas.openxmlformats.org/drawingml/2006/main">
                  <a:graphicData uri="http://schemas.microsoft.com/office/word/2010/wordprocessingShape">
                    <wps:wsp>
                      <wps:cNvSpPr/>
                      <wps:spPr>
                        <a:xfrm>
                          <a:off x="0" y="0"/>
                          <a:ext cx="1600200" cy="8585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34"/>
                              <w:spacing w:before="120" w:after="120"/>
                              <w:jc w:val="both"/>
                            </w:pPr>
                            <w:r>
                              <w:rPr>
                                <w:rFonts w:hint="eastAsia"/>
                              </w:rPr>
                              <w:t>查看现场，根据现场实际情况和特殊要求制定施工方案</w:t>
                            </w:r>
                          </w:p>
                        </w:txbxContent>
                      </wps:txbx>
                      <wps:bodyPr upright="1"/>
                    </wps:wsp>
                  </a:graphicData>
                </a:graphic>
              </wp:anchor>
            </w:drawing>
          </mc:Choice>
          <mc:Fallback>
            <w:pict>
              <v:shape id="_x0000_s1026" o:spid="_x0000_s1026" o:spt="176" type="#_x0000_t176" style="position:absolute;left:0pt;margin-left:9pt;margin-top:22.8pt;height:67.6pt;width:126pt;z-index:251659264;mso-width-relative:page;mso-height-relative:page;" fillcolor="#FFFFFF" filled="t" stroked="t" coordsize="21600,21600" o:gfxdata="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sMXAXVAAAACQEAAA8AAAAAAAAAAQAgAAAA&#10;IgAAAGRycy9kb3ducmV2LnhtbFBLAQIUABQAAAAIAIdO4kALvwCdDgIAAAMEAAAOAAAAAAAAAAEA&#10;IAAAACQBAABkcnMvZTJvRG9jLnhtbFBLBQYAAAAABgAGAFkBAACkBQAAAAA=&#10;">
                <v:fill on="t" focussize="0,0"/>
                <v:stroke color="#000000" joinstyle="miter"/>
                <v:imagedata o:title=""/>
                <o:lock v:ext="edit" aspectratio="f"/>
                <v:textbox>
                  <w:txbxContent>
                    <w:p>
                      <w:pPr>
                        <w:pStyle w:val="34"/>
                        <w:spacing w:before="120" w:after="120"/>
                        <w:jc w:val="both"/>
                      </w:pPr>
                      <w:r>
                        <w:rPr>
                          <w:rFonts w:hint="eastAsia"/>
                        </w:rPr>
                        <w:t>查看现场，根据现场实际情况和特殊要求制定施工方案</w:t>
                      </w:r>
                    </w:p>
                  </w:txbxContent>
                </v:textbox>
              </v:shape>
            </w:pict>
          </mc:Fallback>
        </mc:AlternateContent>
      </w:r>
      <w:r>
        <w:rPr>
          <w:rFonts w:ascii="宋体" w:hAnsi="宋体" w:cs="Arial"/>
          <w:sz w:val="24"/>
        </w:rPr>
        <w:t xml:space="preserve">       ①                         ②                      ③</w:t>
      </w:r>
    </w:p>
    <w:p>
      <w:pPr>
        <w:spacing w:line="460" w:lineRule="exact"/>
        <w:ind w:firstLine="480"/>
        <w:rPr>
          <w:rFonts w:ascii="宋体" w:hAnsi="宋体" w:cs="Arial"/>
          <w:sz w:val="24"/>
        </w:rPr>
      </w:pPr>
      <w:r>
        <w:rPr>
          <w:rFonts w:ascii="宋体" w:hAnsi="宋体" w:cs="Arial"/>
          <w:sz w:val="24"/>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22860</wp:posOffset>
                </wp:positionV>
                <wp:extent cx="1143000" cy="685800"/>
                <wp:effectExtent l="4445" t="4445" r="5080" b="5080"/>
                <wp:wrapNone/>
                <wp:docPr id="14" name="流程图: 可选过程 14"/>
                <wp:cNvGraphicFramePr/>
                <a:graphic xmlns:a="http://schemas.openxmlformats.org/drawingml/2006/main">
                  <a:graphicData uri="http://schemas.microsoft.com/office/word/2010/wordprocessingShape">
                    <wps:wsp>
                      <wps:cNvSpPr/>
                      <wps:spPr>
                        <a:xfrm>
                          <a:off x="0" y="0"/>
                          <a:ext cx="1143000" cy="6858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34"/>
                              <w:spacing w:before="120" w:after="120"/>
                              <w:jc w:val="both"/>
                            </w:pPr>
                            <w:r>
                              <w:rPr>
                                <w:rFonts w:hint="eastAsia"/>
                              </w:rPr>
                              <w:t>全系统化学清洗处理</w:t>
                            </w:r>
                          </w:p>
                        </w:txbxContent>
                      </wps:txbx>
                      <wps:bodyPr upright="1"/>
                    </wps:wsp>
                  </a:graphicData>
                </a:graphic>
              </wp:anchor>
            </w:drawing>
          </mc:Choice>
          <mc:Fallback>
            <w:pict>
              <v:shape id="_x0000_s1026" o:spid="_x0000_s1026" o:spt="176" type="#_x0000_t176" style="position:absolute;left:0pt;margin-left:189pt;margin-top:1.8pt;height:54pt;width:90pt;z-index:251663360;mso-width-relative:page;mso-height-relative:page;" fillcolor="#FFFFFF" filled="t" stroked="t" coordsize="21600,21600" o:gfxdata="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rtzk1gAAAAkBAAAPAAAAAAAAAAEA&#10;IAAAACIAAABkcnMvZG93bnJldi54bWxQSwECFAAUAAAACACHTuJAokHAoRECAAADBAAADgAAAAAA&#10;AAABACAAAAAlAQAAZHJzL2Uyb0RvYy54bWxQSwUGAAAAAAYABgBZAQAAqAUAAAAA&#10;">
                <v:fill on="t" focussize="0,0"/>
                <v:stroke color="#000000" joinstyle="miter"/>
                <v:imagedata o:title=""/>
                <o:lock v:ext="edit" aspectratio="f"/>
                <v:textbox>
                  <w:txbxContent>
                    <w:p>
                      <w:pPr>
                        <w:pStyle w:val="34"/>
                        <w:spacing w:before="120" w:after="120"/>
                        <w:jc w:val="both"/>
                      </w:pPr>
                      <w:r>
                        <w:rPr>
                          <w:rFonts w:hint="eastAsia"/>
                        </w:rPr>
                        <w:t>全系统化学清洗处理</w:t>
                      </w:r>
                    </w:p>
                  </w:txbxContent>
                </v:textbox>
              </v:shape>
            </w:pict>
          </mc:Fallback>
        </mc:AlternateContent>
      </w:r>
      <w:r>
        <w:rPr>
          <w:rFonts w:ascii="宋体" w:hAnsi="宋体" w:cs="Arial"/>
          <w:sz w:val="24"/>
        </w:rPr>
        <mc:AlternateContent>
          <mc:Choice Requires="wps">
            <w:drawing>
              <wp:anchor distT="0" distB="0" distL="114300" distR="114300" simplePos="0" relativeHeight="251661312" behindDoc="0" locked="0" layoutInCell="1" allowOverlap="1">
                <wp:simplePos x="0" y="0"/>
                <wp:positionH relativeFrom="column">
                  <wp:posOffset>4000500</wp:posOffset>
                </wp:positionH>
                <wp:positionV relativeFrom="paragraph">
                  <wp:posOffset>15240</wp:posOffset>
                </wp:positionV>
                <wp:extent cx="1600200" cy="594360"/>
                <wp:effectExtent l="4445" t="4445" r="5080" b="10795"/>
                <wp:wrapNone/>
                <wp:docPr id="3" name="流程图: 可选过程 3"/>
                <wp:cNvGraphicFramePr/>
                <a:graphic xmlns:a="http://schemas.openxmlformats.org/drawingml/2006/main">
                  <a:graphicData uri="http://schemas.microsoft.com/office/word/2010/wordprocessingShape">
                    <wps:wsp>
                      <wps:cNvSpPr/>
                      <wps:spPr>
                        <a:xfrm>
                          <a:off x="0" y="0"/>
                          <a:ext cx="1600200" cy="594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34"/>
                              <w:spacing w:before="120"/>
                            </w:pPr>
                            <w:r>
                              <w:rPr>
                                <w:rFonts w:hint="eastAsia"/>
                              </w:rPr>
                              <w:t>全系统预膜处理</w:t>
                            </w:r>
                          </w:p>
                        </w:txbxContent>
                      </wps:txbx>
                      <wps:bodyPr upright="1"/>
                    </wps:wsp>
                  </a:graphicData>
                </a:graphic>
              </wp:anchor>
            </w:drawing>
          </mc:Choice>
          <mc:Fallback>
            <w:pict>
              <v:shape id="_x0000_s1026" o:spid="_x0000_s1026" o:spt="176" type="#_x0000_t176" style="position:absolute;left:0pt;margin-left:315pt;margin-top:1.2pt;height:46.8pt;width:126pt;z-index:251661312;mso-width-relative:page;mso-height-relative:page;" fillcolor="#FFFFFF" filled="t" stroked="t" coordsize="21600,21600" o:gfxdata="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HRR0F1gAAAAgBAAAPAAAAAAAAAAEAIAAA&#10;ACIAAABkcnMvZG93bnJldi54bWxQSwECFAAUAAAACACHTuJA7aym8g4CAAABBAAADgAAAAAAAAAB&#10;ACAAAAAlAQAAZHJzL2Uyb0RvYy54bWxQSwUGAAAAAAYABgBZAQAApQUAAAAA&#10;">
                <v:fill on="t" focussize="0,0"/>
                <v:stroke color="#000000" joinstyle="miter"/>
                <v:imagedata o:title=""/>
                <o:lock v:ext="edit" aspectratio="f"/>
                <v:textbox>
                  <w:txbxContent>
                    <w:p>
                      <w:pPr>
                        <w:pStyle w:val="34"/>
                        <w:spacing w:before="120"/>
                      </w:pPr>
                      <w:r>
                        <w:rPr>
                          <w:rFonts w:hint="eastAsia"/>
                        </w:rPr>
                        <w:t>全系统预膜处理</w:t>
                      </w:r>
                    </w:p>
                  </w:txbxContent>
                </v:textbox>
              </v:shape>
            </w:pict>
          </mc:Fallback>
        </mc:AlternateContent>
      </w:r>
    </w:p>
    <w:p>
      <w:pPr>
        <w:spacing w:line="460" w:lineRule="exact"/>
        <w:ind w:firstLine="480"/>
        <w:rPr>
          <w:rFonts w:ascii="宋体" w:hAnsi="宋体" w:cs="Arial"/>
          <w:sz w:val="24"/>
        </w:rPr>
      </w:pPr>
      <w:r>
        <w:rPr>
          <w:rFonts w:ascii="宋体" w:hAnsi="宋体" w:cs="Arial"/>
          <w:sz w:val="24"/>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152400</wp:posOffset>
                </wp:positionV>
                <wp:extent cx="571500" cy="0"/>
                <wp:effectExtent l="0" t="38100" r="0" b="38100"/>
                <wp:wrapNone/>
                <wp:docPr id="9" name="直接连接符 9"/>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70pt;margin-top:12pt;height:0pt;width:45pt;z-index:251662336;mso-width-relative:page;mso-height-relative:page;" filled="f" stroked="t" coordsize="21600,21600" o:gfxdata="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2nOijZAAAACQEAAA8AAAAAAAAA&#10;AQAgAAAAIgAAAGRycy9kb3ducmV2LnhtbFBLAQIUABQAAAAIAIdO4kDuDyQv1wEAAI0DAAAOAAAA&#10;AAAAAAEAIAAAACgBAABkcnMvZTJvRG9jLnhtbFBLBQYAAAAABgAGAFkBAABxBQAAAAA=&#10;">
                <v:fill on="f" focussize="0,0"/>
                <v:stroke color="#000000" joinstyle="round" endarrow="block"/>
                <v:imagedata o:title=""/>
                <o:lock v:ext="edit" aspectratio="f"/>
              </v:line>
            </w:pict>
          </mc:Fallback>
        </mc:AlternateContent>
      </w:r>
      <w:r>
        <w:rPr>
          <w:rFonts w:ascii="宋体" w:hAnsi="宋体" w:cs="Arial"/>
          <w:sz w:val="24"/>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152400</wp:posOffset>
                </wp:positionV>
                <wp:extent cx="685800" cy="0"/>
                <wp:effectExtent l="0" t="38100" r="0" b="38100"/>
                <wp:wrapNone/>
                <wp:docPr id="1" name="直接连接符 1"/>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35pt;margin-top:12pt;height:0pt;width:54pt;z-index:251660288;mso-width-relative:page;mso-height-relative:page;" filled="f" stroked="t" coordsize="21600,21600" o:gfxdata="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9hc+tYAAAAJAQAADwAAAAAAAAABACAA&#10;AAAiAAAAZHJzL2Rvd25yZXYueG1sUEsBAhQAFAAAAAgAh07iQBW5clPWAQAAjQMAAA4AAAAAAAAA&#10;AQAgAAAAJQEAAGRycy9lMm9Eb2MueG1sUEsFBgAAAAAGAAYAWQEAAG0FAAAAAA==&#10;">
                <v:fill on="f" focussize="0,0"/>
                <v:stroke color="#000000" joinstyle="round" endarrow="block"/>
                <v:imagedata o:title=""/>
                <o:lock v:ext="edit" aspectratio="f"/>
              </v:line>
            </w:pict>
          </mc:Fallback>
        </mc:AlternateContent>
      </w:r>
      <w:r>
        <w:rPr>
          <w:rFonts w:ascii="宋体" w:hAnsi="宋体" w:cs="Arial"/>
          <w:sz w:val="24"/>
        </w:rPr>
        <w:t xml:space="preserve">         </w:t>
      </w:r>
    </w:p>
    <w:p>
      <w:pPr>
        <w:spacing w:line="160" w:lineRule="exact"/>
        <w:ind w:firstLine="1276" w:firstLineChars="532"/>
        <w:rPr>
          <w:rFonts w:ascii="宋体" w:hAnsi="宋体" w:cs="Arial"/>
          <w:sz w:val="24"/>
        </w:rPr>
      </w:pPr>
    </w:p>
    <w:p>
      <w:pPr>
        <w:spacing w:line="460" w:lineRule="exact"/>
        <w:ind w:firstLine="1276" w:firstLineChars="532"/>
        <w:rPr>
          <w:rFonts w:ascii="宋体" w:hAnsi="宋体" w:cs="Arial"/>
          <w:sz w:val="24"/>
        </w:rPr>
      </w:pPr>
      <w:r>
        <w:rPr>
          <w:rFonts w:ascii="宋体" w:hAnsi="宋体" w:cs="Arial"/>
          <w:sz w:val="24"/>
        </w:rPr>
        <w:t>④                         ⑤                       ⑥</w:t>
      </w:r>
    </w:p>
    <w:p>
      <w:pPr>
        <w:spacing w:line="460" w:lineRule="exact"/>
        <w:ind w:firstLine="199" w:firstLineChars="83"/>
        <w:rPr>
          <w:rFonts w:ascii="宋体" w:hAnsi="宋体" w:cs="Arial"/>
          <w:sz w:val="24"/>
        </w:rPr>
      </w:pPr>
      <w:r>
        <w:rPr>
          <w:rFonts w:ascii="宋体" w:hAnsi="宋体" w:cs="Arial"/>
          <w:sz w:val="24"/>
        </w:rPr>
        <mc:AlternateContent>
          <mc:Choice Requires="wps">
            <w:drawing>
              <wp:anchor distT="0" distB="0" distL="114300" distR="114300" simplePos="0" relativeHeight="251666432" behindDoc="0" locked="0" layoutInCell="1" allowOverlap="1">
                <wp:simplePos x="0" y="0"/>
                <wp:positionH relativeFrom="column">
                  <wp:posOffset>4000500</wp:posOffset>
                </wp:positionH>
                <wp:positionV relativeFrom="paragraph">
                  <wp:posOffset>32385</wp:posOffset>
                </wp:positionV>
                <wp:extent cx="1600200" cy="693420"/>
                <wp:effectExtent l="4445" t="4445" r="5080" b="6985"/>
                <wp:wrapNone/>
                <wp:docPr id="11" name="流程图: 可选过程 11"/>
                <wp:cNvGraphicFramePr/>
                <a:graphic xmlns:a="http://schemas.openxmlformats.org/drawingml/2006/main">
                  <a:graphicData uri="http://schemas.microsoft.com/office/word/2010/wordprocessingShape">
                    <wps:wsp>
                      <wps:cNvSpPr/>
                      <wps:spPr>
                        <a:xfrm>
                          <a:off x="0" y="0"/>
                          <a:ext cx="1600200" cy="6934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34"/>
                              <w:spacing w:before="120" w:after="120"/>
                              <w:jc w:val="both"/>
                            </w:pPr>
                            <w:r>
                              <w:rPr>
                                <w:rFonts w:hint="eastAsia"/>
                              </w:rPr>
                              <w:t>根据季节、水质的变化调整药物的配方和浓度</w:t>
                            </w:r>
                          </w:p>
                        </w:txbxContent>
                      </wps:txbx>
                      <wps:bodyPr upright="1"/>
                    </wps:wsp>
                  </a:graphicData>
                </a:graphic>
              </wp:anchor>
            </w:drawing>
          </mc:Choice>
          <mc:Fallback>
            <w:pict>
              <v:shape id="_x0000_s1026" o:spid="_x0000_s1026" o:spt="176" type="#_x0000_t176" style="position:absolute;left:0pt;margin-left:315pt;margin-top:2.55pt;height:54.6pt;width:126pt;z-index:251666432;mso-width-relative:page;mso-height-relative:page;" fillcolor="#FFFFFF" filled="t" stroked="t" coordsize="21600,21600" o:gfxdata="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IhirtYAAAAJAQAADwAAAAAAAAABACAA&#10;AAAiAAAAZHJzL2Rvd25yZXYueG1sUEsBAhQAFAAAAAgAh07iQCaCB8QPAgAAAwQAAA4AAAAAAAAA&#10;AQAgAAAAJQEAAGRycy9lMm9Eb2MueG1sUEsFBgAAAAAGAAYAWQEAAKYFAAAAAA==&#10;">
                <v:fill on="t" focussize="0,0"/>
                <v:stroke color="#000000" joinstyle="miter"/>
                <v:imagedata o:title=""/>
                <o:lock v:ext="edit" aspectratio="f"/>
                <v:textbox>
                  <w:txbxContent>
                    <w:p>
                      <w:pPr>
                        <w:pStyle w:val="34"/>
                        <w:spacing w:before="120" w:after="120"/>
                        <w:jc w:val="both"/>
                      </w:pPr>
                      <w:r>
                        <w:rPr>
                          <w:rFonts w:hint="eastAsia"/>
                        </w:rPr>
                        <w:t>根据季节、水质的变化调整药物的配方和浓度</w:t>
                      </w:r>
                    </w:p>
                  </w:txbxContent>
                </v:textbox>
              </v:shape>
            </w:pict>
          </mc:Fallback>
        </mc:AlternateContent>
      </w:r>
      <w:r>
        <w:rPr>
          <w:rFonts w:ascii="宋体" w:hAnsi="宋体" w:cs="Arial"/>
          <w:sz w:val="24"/>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32385</wp:posOffset>
                </wp:positionV>
                <wp:extent cx="1143000" cy="693420"/>
                <wp:effectExtent l="4445" t="4445" r="5080" b="6985"/>
                <wp:wrapNone/>
                <wp:docPr id="15" name="流程图: 可选过程 15"/>
                <wp:cNvGraphicFramePr/>
                <a:graphic xmlns:a="http://schemas.openxmlformats.org/drawingml/2006/main">
                  <a:graphicData uri="http://schemas.microsoft.com/office/word/2010/wordprocessingShape">
                    <wps:wsp>
                      <wps:cNvSpPr/>
                      <wps:spPr>
                        <a:xfrm>
                          <a:off x="0" y="0"/>
                          <a:ext cx="1143000" cy="6934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34"/>
                              <w:spacing w:before="120" w:after="120"/>
                              <w:jc w:val="both"/>
                            </w:pPr>
                            <w:r>
                              <w:rPr>
                                <w:rFonts w:hint="eastAsia"/>
                              </w:rPr>
                              <w:t>分析监测相关的数据指标</w:t>
                            </w:r>
                          </w:p>
                        </w:txbxContent>
                      </wps:txbx>
                      <wps:bodyPr upright="1"/>
                    </wps:wsp>
                  </a:graphicData>
                </a:graphic>
              </wp:anchor>
            </w:drawing>
          </mc:Choice>
          <mc:Fallback>
            <w:pict>
              <v:shape id="_x0000_s1026" o:spid="_x0000_s1026" o:spt="176" type="#_x0000_t176" style="position:absolute;left:0pt;margin-left:189pt;margin-top:2.55pt;height:54.6pt;width:90pt;z-index:251665408;mso-width-relative:page;mso-height-relative:page;" fillcolor="#FFFFFF" filled="t" stroked="t" coordsize="21600,21600" o:gfxdata="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Jo+XtYAAAAJAQAADwAAAAAAAAAB&#10;ACAAAAAiAAAAZHJzL2Rvd25yZXYueG1sUEsBAhQAFAAAAAgAh07iQOi8dekSAgAAAwQAAA4AAAAA&#10;AAAAAQAgAAAAJQEAAGRycy9lMm9Eb2MueG1sUEsFBgAAAAAGAAYAWQEAAKkFAAAAAA==&#10;">
                <v:fill on="t" focussize="0,0"/>
                <v:stroke color="#000000" joinstyle="miter"/>
                <v:imagedata o:title=""/>
                <o:lock v:ext="edit" aspectratio="f"/>
                <v:textbox>
                  <w:txbxContent>
                    <w:p>
                      <w:pPr>
                        <w:pStyle w:val="34"/>
                        <w:spacing w:before="120" w:after="120"/>
                        <w:jc w:val="both"/>
                      </w:pPr>
                      <w:r>
                        <w:rPr>
                          <w:rFonts w:hint="eastAsia"/>
                        </w:rPr>
                        <w:t>分析监测相关的数据指标</w:t>
                      </w:r>
                    </w:p>
                  </w:txbxContent>
                </v:textbox>
              </v:shape>
            </w:pict>
          </mc:Fallback>
        </mc:AlternateContent>
      </w:r>
      <w:r>
        <w:rPr>
          <w:rFonts w:ascii="宋体" w:hAnsi="宋体" w:cs="Arial"/>
          <w:sz w:val="24"/>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106680</wp:posOffset>
                </wp:positionV>
                <wp:extent cx="1600200" cy="693420"/>
                <wp:effectExtent l="4445" t="4445" r="5080" b="6985"/>
                <wp:wrapNone/>
                <wp:docPr id="12" name="流程图: 可选过程 12"/>
                <wp:cNvGraphicFramePr/>
                <a:graphic xmlns:a="http://schemas.openxmlformats.org/drawingml/2006/main">
                  <a:graphicData uri="http://schemas.microsoft.com/office/word/2010/wordprocessingShape">
                    <wps:wsp>
                      <wps:cNvSpPr/>
                      <wps:spPr>
                        <a:xfrm>
                          <a:off x="0" y="0"/>
                          <a:ext cx="1600200" cy="6934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34"/>
                              <w:spacing w:before="120" w:after="120"/>
                            </w:pPr>
                            <w:r>
                              <w:rPr>
                                <w:rFonts w:hint="eastAsia"/>
                              </w:rPr>
                              <w:t>日常运行水处理操作</w:t>
                            </w:r>
                          </w:p>
                        </w:txbxContent>
                      </wps:txbx>
                      <wps:bodyPr upright="1"/>
                    </wps:wsp>
                  </a:graphicData>
                </a:graphic>
              </wp:anchor>
            </w:drawing>
          </mc:Choice>
          <mc:Fallback>
            <w:pict>
              <v:shape id="_x0000_s1026" o:spid="_x0000_s1026" o:spt="176" type="#_x0000_t176" style="position:absolute;left:0pt;margin-left:9pt;margin-top:8.4pt;height:54.6pt;width:126pt;z-index:251664384;mso-width-relative:page;mso-height-relative:page;" fillcolor="#FFFFFF" filled="t" stroked="t" coordsize="21600,21600" o:gfxdata="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V0uMPTAAAACQEAAA8AAAAAAAAAAQAgAAAA&#10;IgAAAGRycy9kb3ducmV2LnhtbFBLAQIUABQAAAAIAIdO4kBAPoXDEAIAAAMEAAAOAAAAAAAAAAEA&#10;IAAAACIBAABkcnMvZTJvRG9jLnhtbFBLBQYAAAAABgAGAFkBAACkBQAAAAA=&#10;">
                <v:fill on="t" focussize="0,0"/>
                <v:stroke color="#000000" joinstyle="miter"/>
                <v:imagedata o:title=""/>
                <o:lock v:ext="edit" aspectratio="f"/>
                <v:textbox>
                  <w:txbxContent>
                    <w:p>
                      <w:pPr>
                        <w:pStyle w:val="34"/>
                        <w:spacing w:before="120" w:after="120"/>
                      </w:pPr>
                      <w:r>
                        <w:rPr>
                          <w:rFonts w:hint="eastAsia"/>
                        </w:rPr>
                        <w:t>日常运行水处理操作</w:t>
                      </w:r>
                    </w:p>
                  </w:txbxContent>
                </v:textbox>
              </v:shape>
            </w:pict>
          </mc:Fallback>
        </mc:AlternateContent>
      </w:r>
    </w:p>
    <w:p>
      <w:pPr>
        <w:spacing w:line="460" w:lineRule="exact"/>
        <w:ind w:firstLine="199" w:firstLineChars="83"/>
        <w:rPr>
          <w:rFonts w:ascii="宋体" w:hAnsi="宋体" w:cs="Arial"/>
          <w:sz w:val="24"/>
        </w:rPr>
      </w:pPr>
      <w:r>
        <w:rPr>
          <w:rFonts w:ascii="宋体" w:hAnsi="宋体" w:cs="Arial"/>
          <w:sz w:val="24"/>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133985</wp:posOffset>
                </wp:positionV>
                <wp:extent cx="685800" cy="0"/>
                <wp:effectExtent l="0" t="38100" r="0" b="38100"/>
                <wp:wrapNone/>
                <wp:docPr id="2" name="直接连接符 2"/>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35pt;margin-top:10.55pt;height:0pt;width:54pt;z-index:251667456;mso-width-relative:page;mso-height-relative:page;" filled="f" stroked="t" coordsize="21600,21600" o:gfxdata="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R3nfdgAAAAJAQAADwAAAAAAAAAB&#10;ACAAAAAiAAAAZHJzL2Rvd25yZXYueG1sUEsBAhQAFAAAAAgAh07iQEQqfxTXAQAAjQMAAA4AAAAA&#10;AAAAAQAgAAAAJwEAAGRycy9lMm9Eb2MueG1sUEsFBgAAAAAGAAYAWQEAAHAFAAAAAA==&#10;">
                <v:fill on="f" focussize="0,0"/>
                <v:stroke color="#000000" joinstyle="round" endarrow="block"/>
                <v:imagedata o:title=""/>
                <o:lock v:ext="edit" aspectratio="f"/>
              </v:line>
            </w:pict>
          </mc:Fallback>
        </mc:AlternateContent>
      </w:r>
      <w:r>
        <w:rPr>
          <w:rFonts w:ascii="宋体" w:hAnsi="宋体" w:cs="Arial"/>
          <w:sz w:val="24"/>
        </w:rPr>
        <mc:AlternateContent>
          <mc:Choice Requires="wps">
            <w:drawing>
              <wp:anchor distT="0" distB="0" distL="114300" distR="114300" simplePos="0" relativeHeight="251668480" behindDoc="0" locked="0" layoutInCell="1" allowOverlap="1">
                <wp:simplePos x="0" y="0"/>
                <wp:positionH relativeFrom="column">
                  <wp:posOffset>3543300</wp:posOffset>
                </wp:positionH>
                <wp:positionV relativeFrom="paragraph">
                  <wp:posOffset>80645</wp:posOffset>
                </wp:positionV>
                <wp:extent cx="457200" cy="0"/>
                <wp:effectExtent l="0" t="38100" r="0" b="38100"/>
                <wp:wrapNone/>
                <wp:docPr id="13" name="直接连接符 13"/>
                <wp:cNvGraphicFramePr/>
                <a:graphic xmlns:a="http://schemas.openxmlformats.org/drawingml/2006/main">
                  <a:graphicData uri="http://schemas.microsoft.com/office/word/2010/wordprocessingShape">
                    <wps:wsp>
                      <wps:cNvCnPr/>
                      <wps:spPr>
                        <a:xfrm flipV="1">
                          <a:off x="0" y="0"/>
                          <a:ext cx="4572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279pt;margin-top:6.35pt;height:0pt;width:36pt;z-index:251668480;mso-width-relative:page;mso-height-relative:page;" filled="f" stroked="t" coordsize="21600,21600" o:gfxdata="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ahuVQ2AAAAAkBAAAP&#10;AAAAAAAAAAEAIAAAACIAAABkcnMvZG93bnJldi54bWxQSwECFAAUAAAACACHTuJAuMeMV98BAACZ&#10;AwAADgAAAAAAAAABACAAAAAnAQAAZHJzL2Uyb0RvYy54bWxQSwUGAAAAAAYABgBZAQAAeAUAAAAA&#10;">
                <v:fill on="f" focussize="0,0"/>
                <v:stroke color="#000000" joinstyle="round" endarrow="block"/>
                <v:imagedata o:title=""/>
                <o:lock v:ext="edit" aspectratio="f"/>
              </v:line>
            </w:pict>
          </mc:Fallback>
        </mc:AlternateContent>
      </w:r>
    </w:p>
    <w:p>
      <w:pPr>
        <w:jc w:val="left"/>
        <w:rPr>
          <w:rFonts w:ascii="宋体" w:hAnsi="宋体" w:cs="Arial"/>
          <w:b/>
          <w:kern w:val="0"/>
          <w:sz w:val="24"/>
        </w:rPr>
      </w:pPr>
      <w:bookmarkStart w:id="261" w:name="_Toc98637520"/>
    </w:p>
    <w:p>
      <w:pPr>
        <w:spacing w:line="200" w:lineRule="exact"/>
        <w:jc w:val="left"/>
        <w:rPr>
          <w:rFonts w:ascii="宋体" w:hAnsi="宋体" w:cs="Arial"/>
          <w:b/>
          <w:kern w:val="0"/>
          <w:sz w:val="24"/>
        </w:rPr>
      </w:pPr>
    </w:p>
    <w:p>
      <w:pPr>
        <w:spacing w:line="460" w:lineRule="exact"/>
        <w:jc w:val="left"/>
        <w:rPr>
          <w:rFonts w:ascii="宋体" w:hAnsi="宋体" w:cs="Arial"/>
          <w:b/>
          <w:kern w:val="0"/>
          <w:sz w:val="24"/>
        </w:rPr>
      </w:pPr>
    </w:p>
    <w:p>
      <w:pPr>
        <w:spacing w:line="460" w:lineRule="exact"/>
        <w:jc w:val="left"/>
        <w:rPr>
          <w:rFonts w:ascii="宋体" w:hAnsi="宋体" w:cs="Arial"/>
          <w:b/>
          <w:kern w:val="0"/>
          <w:sz w:val="24"/>
        </w:rPr>
      </w:pPr>
      <w:r>
        <w:rPr>
          <w:rFonts w:hint="eastAsia" w:ascii="宋体" w:hAnsi="宋体" w:cs="Arial"/>
          <w:b/>
          <w:kern w:val="0"/>
          <w:sz w:val="24"/>
        </w:rPr>
        <w:t>2、</w:t>
      </w:r>
      <w:r>
        <w:rPr>
          <w:rFonts w:ascii="宋体" w:hAnsi="宋体" w:cs="Arial"/>
          <w:b/>
          <w:kern w:val="0"/>
          <w:sz w:val="24"/>
        </w:rPr>
        <w:t>系统清洗</w:t>
      </w:r>
      <w:bookmarkEnd w:id="261"/>
    </w:p>
    <w:p>
      <w:pPr>
        <w:spacing w:line="460" w:lineRule="exact"/>
        <w:ind w:firstLine="420"/>
        <w:rPr>
          <w:rFonts w:ascii="宋体" w:hAnsi="宋体" w:cs="Arial"/>
        </w:rPr>
      </w:pPr>
      <w:r>
        <w:rPr>
          <w:rFonts w:ascii="宋体" w:hAnsi="宋体" w:cs="Arial"/>
        </w:rPr>
        <w:t>首先对各个系统进行清洗工艺，清洗工艺的目的是把管道内壁上的浮锈、淤泥或无机盐垢等吸附物渗透剥离，提高热交换器的热交换效率，并为下一步预膜工艺提供一个干净的表面。</w:t>
      </w:r>
    </w:p>
    <w:p>
      <w:pPr>
        <w:spacing w:line="460" w:lineRule="exact"/>
        <w:ind w:firstLine="420"/>
        <w:rPr>
          <w:rFonts w:ascii="宋体" w:hAnsi="宋体" w:cs="Arial"/>
        </w:rPr>
      </w:pPr>
      <w:r>
        <w:rPr>
          <w:rFonts w:hint="eastAsia" w:ascii="宋体" w:hAnsi="宋体" w:cs="Arial"/>
        </w:rPr>
        <w:t>进场</w:t>
      </w:r>
      <w:r>
        <w:rPr>
          <w:rFonts w:ascii="宋体" w:hAnsi="宋体" w:cs="Arial"/>
        </w:rPr>
        <w:t>工作步骤：</w:t>
      </w:r>
    </w:p>
    <w:p>
      <w:pPr>
        <w:spacing w:line="460" w:lineRule="exact"/>
        <w:ind w:firstLine="420"/>
        <w:rPr>
          <w:rFonts w:ascii="宋体" w:hAnsi="宋体" w:cs="Arial"/>
        </w:rPr>
      </w:pPr>
      <w:r>
        <w:rPr>
          <w:rFonts w:hint="eastAsia" w:ascii="宋体" w:hAnsi="宋体" w:cs="Arial"/>
        </w:rPr>
        <w:t>2.</w:t>
      </w:r>
      <w:r>
        <w:rPr>
          <w:rFonts w:ascii="宋体" w:hAnsi="宋体" w:cs="Arial"/>
        </w:rPr>
        <w:t>1．仔细查看管路走向，检查补水、排污及各阀门方向是否正常等，记录运行数据，做好清洗准备。</w:t>
      </w:r>
    </w:p>
    <w:p>
      <w:pPr>
        <w:spacing w:line="460" w:lineRule="exact"/>
        <w:ind w:firstLine="420"/>
        <w:rPr>
          <w:rFonts w:ascii="宋体" w:hAnsi="宋体" w:cs="Arial"/>
        </w:rPr>
      </w:pPr>
      <w:r>
        <w:rPr>
          <w:rFonts w:hint="eastAsia" w:ascii="宋体" w:hAnsi="宋体" w:cs="Arial"/>
        </w:rPr>
        <w:t>2.</w:t>
      </w:r>
      <w:r>
        <w:rPr>
          <w:rFonts w:ascii="宋体" w:hAnsi="宋体" w:cs="Arial"/>
        </w:rPr>
        <w:t>2．人工清洗冷却塔、除去水塔中的淤泥、粉尘、青苔等污杂物。</w:t>
      </w:r>
    </w:p>
    <w:p>
      <w:pPr>
        <w:spacing w:line="460" w:lineRule="exact"/>
        <w:ind w:firstLine="420"/>
        <w:rPr>
          <w:rFonts w:ascii="宋体" w:hAnsi="宋体" w:cs="Arial"/>
        </w:rPr>
      </w:pPr>
      <w:r>
        <w:rPr>
          <w:rFonts w:hint="eastAsia" w:ascii="宋体" w:hAnsi="宋体" w:cs="Arial"/>
        </w:rPr>
        <w:t>2.</w:t>
      </w:r>
      <w:r>
        <w:rPr>
          <w:rFonts w:ascii="宋体" w:hAnsi="宋体" w:cs="Arial"/>
        </w:rPr>
        <w:t>3．重新注水后投加杀菌灭藻剂，连续运行（即不排放运行）循环清洗10-20小时，作整个系统的杀菌灭藻处理。</w:t>
      </w:r>
    </w:p>
    <w:p>
      <w:pPr>
        <w:spacing w:line="460" w:lineRule="exact"/>
        <w:ind w:firstLine="420"/>
        <w:rPr>
          <w:rFonts w:ascii="宋体" w:hAnsi="宋体" w:cs="Arial"/>
        </w:rPr>
      </w:pPr>
      <w:r>
        <w:rPr>
          <w:rFonts w:hint="eastAsia" w:ascii="宋体" w:hAnsi="宋体" w:cs="Arial"/>
        </w:rPr>
        <w:t>2.</w:t>
      </w:r>
      <w:r>
        <w:rPr>
          <w:rFonts w:ascii="宋体" w:hAnsi="宋体" w:cs="Arial"/>
        </w:rPr>
        <w:t>4．投入的清洗剂开泵循环清洗10-20小时，以除去整个管路系统及冷却塔填料表层的浮锈、泥垢及油污等障碍。</w:t>
      </w:r>
    </w:p>
    <w:p>
      <w:pPr>
        <w:spacing w:line="460" w:lineRule="exact"/>
        <w:ind w:firstLine="420"/>
        <w:rPr>
          <w:rFonts w:ascii="宋体" w:hAnsi="宋体" w:cs="Arial"/>
        </w:rPr>
      </w:pPr>
      <w:r>
        <w:rPr>
          <w:rFonts w:hint="eastAsia" w:ascii="宋体" w:hAnsi="宋体" w:cs="Arial"/>
        </w:rPr>
        <w:t>2.</w:t>
      </w:r>
      <w:r>
        <w:rPr>
          <w:rFonts w:ascii="宋体" w:hAnsi="宋体" w:cs="Arial"/>
        </w:rPr>
        <w:t>5．当清洗液浊度、铁、铜浓度达到平衡值后，打开管道最低点排污阀，排去清洗液，并再次冲洗冷却塔。</w:t>
      </w:r>
    </w:p>
    <w:p>
      <w:pPr>
        <w:spacing w:line="460" w:lineRule="exact"/>
        <w:ind w:firstLine="420"/>
        <w:rPr>
          <w:rFonts w:ascii="宋体" w:hAnsi="宋体" w:cs="Arial"/>
        </w:rPr>
      </w:pPr>
      <w:r>
        <w:rPr>
          <w:rFonts w:hint="eastAsia" w:ascii="宋体" w:hAnsi="宋体" w:cs="Arial"/>
        </w:rPr>
        <w:t>2.</w:t>
      </w:r>
      <w:r>
        <w:rPr>
          <w:rFonts w:ascii="宋体" w:hAnsi="宋体" w:cs="Arial"/>
        </w:rPr>
        <w:t>6．打开Y型过滤器清除过滤网中的砂石、焊渣、锈渣、泥等固体杂物，清洗干净后安装复原。</w:t>
      </w:r>
    </w:p>
    <w:p>
      <w:pPr>
        <w:spacing w:line="460" w:lineRule="exact"/>
        <w:ind w:firstLine="420"/>
        <w:rPr>
          <w:rFonts w:ascii="宋体" w:hAnsi="宋体" w:cs="Arial"/>
        </w:rPr>
      </w:pPr>
      <w:r>
        <w:rPr>
          <w:rFonts w:hint="eastAsia" w:ascii="宋体" w:hAnsi="宋体" w:cs="Arial"/>
        </w:rPr>
        <w:t>2.</w:t>
      </w:r>
      <w:r>
        <w:rPr>
          <w:rFonts w:ascii="宋体" w:hAnsi="宋体" w:cs="Arial"/>
        </w:rPr>
        <w:t>7．反复置换冷却水，直至水体清澈，浊度达标。</w:t>
      </w:r>
    </w:p>
    <w:p>
      <w:pPr>
        <w:spacing w:line="460" w:lineRule="exact"/>
        <w:ind w:firstLine="420"/>
        <w:rPr>
          <w:rFonts w:ascii="宋体" w:hAnsi="宋体" w:cs="Arial"/>
        </w:rPr>
      </w:pPr>
      <w:r>
        <w:rPr>
          <w:rFonts w:hint="eastAsia" w:ascii="宋体" w:hAnsi="宋体" w:cs="Arial"/>
        </w:rPr>
        <w:t>2.</w:t>
      </w:r>
      <w:r>
        <w:rPr>
          <w:rFonts w:ascii="宋体" w:hAnsi="宋体" w:cs="Arial"/>
        </w:rPr>
        <w:t>8．通炮：主要针对列管式冷凝器。拆开冷凝器端盖，检查冷凝器内是否有安装后的遗留物（如焊渣、石块、淤泥等），如冷凝器铜管中杂物较多，则采用通炮刷逐根通刷清洗。</w:t>
      </w:r>
    </w:p>
    <w:p>
      <w:pPr>
        <w:spacing w:line="460" w:lineRule="exact"/>
        <w:jc w:val="left"/>
        <w:rPr>
          <w:rFonts w:ascii="宋体" w:hAnsi="宋体" w:cs="Arial"/>
          <w:b/>
          <w:kern w:val="0"/>
          <w:sz w:val="24"/>
        </w:rPr>
      </w:pPr>
      <w:bookmarkStart w:id="262" w:name="_Toc98637521"/>
      <w:r>
        <w:rPr>
          <w:rFonts w:hint="eastAsia" w:ascii="宋体" w:hAnsi="宋体" w:cs="Arial"/>
          <w:b/>
          <w:kern w:val="0"/>
          <w:sz w:val="24"/>
        </w:rPr>
        <w:t>3</w:t>
      </w:r>
      <w:r>
        <w:rPr>
          <w:rFonts w:ascii="宋体" w:hAnsi="宋体" w:cs="Arial"/>
          <w:b/>
          <w:kern w:val="0"/>
          <w:sz w:val="24"/>
        </w:rPr>
        <w:t>、系统预膜处理</w:t>
      </w:r>
      <w:bookmarkEnd w:id="262"/>
    </w:p>
    <w:p>
      <w:pPr>
        <w:spacing w:line="460" w:lineRule="exact"/>
        <w:ind w:firstLine="420"/>
        <w:rPr>
          <w:rFonts w:ascii="宋体" w:hAnsi="宋体" w:cs="Arial"/>
        </w:rPr>
      </w:pPr>
      <w:r>
        <w:rPr>
          <w:rFonts w:hint="eastAsia" w:ascii="宋体" w:hAnsi="宋体" w:cs="Arial"/>
        </w:rPr>
        <w:t>3.</w:t>
      </w:r>
      <w:r>
        <w:rPr>
          <w:rFonts w:ascii="宋体" w:hAnsi="宋体" w:cs="Arial"/>
        </w:rPr>
        <w:t>1．采用高浓度缓蚀剂在洁净金属表面迅速形成致密均匀的缓蚀保护膜，既控制住初始的高腐蚀速率，又为其后长期运行建立良好的缓蚀保护基础。预膜方法是向系统投加预膜剂，调pH值在5.5～6.</w:t>
      </w:r>
      <w:r>
        <w:rPr>
          <w:rFonts w:ascii="宋体" w:hAnsi="宋体" w:cs="Arial"/>
          <w:color w:val="000000"/>
        </w:rPr>
        <w:t>5</w:t>
      </w:r>
      <w:r>
        <w:rPr>
          <w:rFonts w:ascii="宋体" w:hAnsi="宋体" w:cs="Arial"/>
        </w:rPr>
        <w:t>范围，连续运行48-72小时后，即可完成预膜。全排预膜液，再注满自来水</w:t>
      </w:r>
      <w:r>
        <w:rPr>
          <w:rFonts w:hint="eastAsia" w:ascii="宋体" w:hAnsi="宋体" w:cs="Arial"/>
        </w:rPr>
        <w:t>（如条件不许可，可通过边排边补方式进行）</w:t>
      </w:r>
      <w:r>
        <w:rPr>
          <w:rFonts w:ascii="宋体" w:hAnsi="宋体" w:cs="Arial"/>
        </w:rPr>
        <w:t>。</w:t>
      </w:r>
    </w:p>
    <w:p>
      <w:pPr>
        <w:spacing w:line="460" w:lineRule="exact"/>
        <w:ind w:firstLine="420"/>
        <w:rPr>
          <w:rFonts w:ascii="宋体" w:hAnsi="宋体" w:cs="Arial"/>
        </w:rPr>
      </w:pPr>
      <w:r>
        <w:rPr>
          <w:rFonts w:hint="eastAsia" w:ascii="宋体" w:hAnsi="宋体" w:cs="Arial"/>
        </w:rPr>
        <w:t>3.</w:t>
      </w:r>
      <w:r>
        <w:rPr>
          <w:rFonts w:ascii="宋体" w:hAnsi="宋体" w:cs="Arial"/>
        </w:rPr>
        <w:t>2．按各个系统的保有水量投加基础阻垢缓蚀剂，转入日常运行水处理操作。</w:t>
      </w:r>
    </w:p>
    <w:p>
      <w:pPr>
        <w:spacing w:line="460" w:lineRule="exact"/>
        <w:jc w:val="left"/>
        <w:rPr>
          <w:rFonts w:ascii="宋体" w:hAnsi="宋体" w:cs="Arial"/>
          <w:b/>
          <w:kern w:val="0"/>
          <w:sz w:val="24"/>
        </w:rPr>
      </w:pPr>
      <w:bookmarkStart w:id="263" w:name="_Toc98637522"/>
      <w:r>
        <w:rPr>
          <w:rFonts w:hint="eastAsia" w:ascii="宋体" w:hAnsi="宋体" w:cs="Arial"/>
          <w:b/>
          <w:kern w:val="0"/>
          <w:sz w:val="24"/>
        </w:rPr>
        <w:t>4</w:t>
      </w:r>
      <w:r>
        <w:rPr>
          <w:rFonts w:ascii="宋体" w:hAnsi="宋体" w:cs="Arial"/>
          <w:b/>
          <w:kern w:val="0"/>
          <w:sz w:val="24"/>
        </w:rPr>
        <w:t>、日常运行水处理操作</w:t>
      </w:r>
      <w:bookmarkEnd w:id="263"/>
    </w:p>
    <w:p>
      <w:pPr>
        <w:pStyle w:val="11"/>
        <w:spacing w:line="460" w:lineRule="exact"/>
        <w:ind w:left="0" w:leftChars="0" w:firstLine="420"/>
        <w:rPr>
          <w:rFonts w:ascii="宋体" w:hAnsi="宋体" w:cs="Arial"/>
        </w:rPr>
      </w:pPr>
      <w:r>
        <w:rPr>
          <w:rFonts w:ascii="宋体" w:hAnsi="宋体" w:cs="Arial"/>
        </w:rPr>
        <w:t>由于冷却水系统存在着较为严重的腐蚀情况，同时还存在结垢倾向。因此，冷却水系统的日常管理应着重按以下几点进行处理：</w:t>
      </w:r>
    </w:p>
    <w:p>
      <w:pPr>
        <w:spacing w:line="460" w:lineRule="exact"/>
        <w:ind w:firstLine="420"/>
        <w:rPr>
          <w:rFonts w:ascii="宋体" w:hAnsi="宋体" w:cs="Arial"/>
        </w:rPr>
      </w:pPr>
      <w:r>
        <w:rPr>
          <w:rFonts w:hint="eastAsia" w:ascii="宋体" w:hAnsi="宋体" w:cs="Arial"/>
        </w:rPr>
        <w:t>4.</w:t>
      </w:r>
      <w:r>
        <w:rPr>
          <w:rFonts w:ascii="宋体" w:hAnsi="宋体" w:cs="Arial"/>
        </w:rPr>
        <w:t>1．缓蚀阻垢剂的补充投加：由于冷却塔上水分的飘散或者排污操作等原因，使循环水中的药剂浓度下降</w:t>
      </w:r>
      <w:r>
        <w:rPr>
          <w:rFonts w:hint="eastAsia" w:ascii="宋体" w:hAnsi="宋体" w:cs="Arial"/>
        </w:rPr>
        <w:t>，</w:t>
      </w:r>
      <w:r>
        <w:rPr>
          <w:rFonts w:ascii="宋体" w:hAnsi="宋体" w:cs="Arial"/>
        </w:rPr>
        <w:t>每</w:t>
      </w:r>
      <w:r>
        <w:rPr>
          <w:rFonts w:hint="eastAsia" w:ascii="宋体" w:hAnsi="宋体" w:cs="Arial"/>
        </w:rPr>
        <w:t>周自动</w:t>
      </w:r>
      <w:r>
        <w:rPr>
          <w:rFonts w:ascii="宋体" w:hAnsi="宋体" w:cs="Arial"/>
        </w:rPr>
        <w:t>补充药剂一次。</w:t>
      </w:r>
    </w:p>
    <w:p>
      <w:pPr>
        <w:spacing w:line="460" w:lineRule="exact"/>
        <w:ind w:firstLine="420"/>
        <w:rPr>
          <w:rFonts w:ascii="宋体" w:hAnsi="宋体" w:cs="Arial"/>
        </w:rPr>
      </w:pPr>
      <w:r>
        <w:rPr>
          <w:rFonts w:hint="eastAsia" w:ascii="宋体" w:hAnsi="宋体" w:cs="Arial"/>
        </w:rPr>
        <w:t>4.</w:t>
      </w:r>
      <w:r>
        <w:rPr>
          <w:rFonts w:ascii="宋体" w:hAnsi="宋体" w:cs="Arial"/>
        </w:rPr>
        <w:t>2．杀菌、灭藻、粘泥剥离处理：交替投加不同的杀菌灭藻粘泥剥离剂，冲击式杀灭水中异养菌和藻类或抑制其生长，减少粘泥污垢附着。</w:t>
      </w:r>
    </w:p>
    <w:p>
      <w:pPr>
        <w:spacing w:line="460" w:lineRule="exact"/>
        <w:ind w:firstLine="420"/>
        <w:rPr>
          <w:rFonts w:ascii="宋体" w:hAnsi="宋体" w:cs="Arial"/>
        </w:rPr>
      </w:pPr>
      <w:r>
        <w:rPr>
          <w:rFonts w:hint="eastAsia" w:ascii="宋体" w:hAnsi="宋体" w:cs="Arial"/>
        </w:rPr>
        <w:t>4.</w:t>
      </w:r>
      <w:r>
        <w:rPr>
          <w:rFonts w:ascii="宋体" w:hAnsi="宋体" w:cs="Arial"/>
        </w:rPr>
        <w:t>3．定期清洗冷却塔：每</w:t>
      </w:r>
      <w:r>
        <w:rPr>
          <w:rFonts w:hint="eastAsia" w:ascii="宋体" w:hAnsi="宋体" w:cs="Arial"/>
        </w:rPr>
        <w:t>月</w:t>
      </w:r>
      <w:r>
        <w:rPr>
          <w:rFonts w:ascii="宋体" w:hAnsi="宋体" w:cs="Arial"/>
        </w:rPr>
        <w:t>清洗冷却塔一次，以减少尘埃等固体杂质进入循环系统并保持冷却塔的清洁度。</w:t>
      </w:r>
    </w:p>
    <w:p>
      <w:pPr>
        <w:spacing w:line="460" w:lineRule="exact"/>
        <w:ind w:firstLine="420"/>
        <w:rPr>
          <w:rFonts w:ascii="宋体" w:hAnsi="宋体" w:cs="Arial"/>
        </w:rPr>
      </w:pPr>
      <w:r>
        <w:rPr>
          <w:rFonts w:hint="eastAsia" w:ascii="宋体" w:hAnsi="宋体" w:cs="Arial"/>
        </w:rPr>
        <w:t>4.</w:t>
      </w:r>
      <w:r>
        <w:rPr>
          <w:rFonts w:ascii="宋体" w:hAnsi="宋体" w:cs="Arial"/>
        </w:rPr>
        <w:t>4．分析监测：</w:t>
      </w:r>
      <w:r>
        <w:rPr>
          <w:rFonts w:hint="eastAsia" w:ascii="宋体" w:hAnsi="宋体" w:cs="Arial"/>
        </w:rPr>
        <w:t>每个</w:t>
      </w:r>
      <w:r>
        <w:rPr>
          <w:rFonts w:ascii="宋体" w:hAnsi="宋体" w:cs="Arial"/>
        </w:rPr>
        <w:t>月</w:t>
      </w:r>
      <w:r>
        <w:rPr>
          <w:rFonts w:hint="eastAsia" w:ascii="宋体" w:hAnsi="宋体" w:cs="Arial"/>
        </w:rPr>
        <w:t>抽取</w:t>
      </w:r>
      <w:r>
        <w:rPr>
          <w:rFonts w:ascii="宋体" w:hAnsi="宋体" w:cs="Arial"/>
        </w:rPr>
        <w:t>循环水等代表性水样，测定如下水质项目：pH值、</w:t>
      </w:r>
      <w:r>
        <w:rPr>
          <w:rFonts w:hint="eastAsia" w:ascii="宋体" w:hAnsi="宋体" w:cs="Arial"/>
        </w:rPr>
        <w:t>浊度</w:t>
      </w:r>
      <w:r>
        <w:rPr>
          <w:rFonts w:ascii="宋体" w:hAnsi="宋体" w:cs="Arial"/>
        </w:rPr>
        <w:t>、</w:t>
      </w:r>
      <w:r>
        <w:rPr>
          <w:rFonts w:hint="eastAsia" w:ascii="宋体" w:hAnsi="宋体" w:cs="Arial"/>
        </w:rPr>
        <w:t>总</w:t>
      </w:r>
      <w:r>
        <w:rPr>
          <w:rFonts w:ascii="宋体" w:hAnsi="宋体" w:cs="Arial"/>
        </w:rPr>
        <w:t>硬度、</w:t>
      </w:r>
      <w:r>
        <w:rPr>
          <w:rFonts w:hint="eastAsia" w:ascii="宋体" w:hAnsi="宋体" w:cs="Arial"/>
        </w:rPr>
        <w:t>总</w:t>
      </w:r>
      <w:r>
        <w:rPr>
          <w:rFonts w:ascii="宋体" w:hAnsi="宋体" w:cs="Arial"/>
        </w:rPr>
        <w:t>碱度、总铁、总铜、细菌数等项</w:t>
      </w:r>
      <w:r>
        <w:rPr>
          <w:rFonts w:hint="eastAsia" w:ascii="宋体" w:hAnsi="宋体" w:cs="Arial"/>
        </w:rPr>
        <w:t>目</w:t>
      </w:r>
      <w:r>
        <w:rPr>
          <w:rFonts w:ascii="宋体" w:hAnsi="宋体" w:cs="Arial"/>
        </w:rPr>
        <w:t>，掌握具体系统的运行规律，并使浓缩倍数和药剂浓度稳定在一定范围。日常的冷却水分析测试项目和频率如下表：</w:t>
      </w:r>
    </w:p>
    <w:tbl>
      <w:tblPr>
        <w:tblStyle w:val="17"/>
        <w:tblpPr w:leftFromText="180" w:rightFromText="180" w:vertAnchor="text" w:horzAnchor="margin" w:tblpXSpec="center" w:tblpY="292"/>
        <w:tblW w:w="426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1"/>
        <w:gridCol w:w="2521"/>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trPr>
        <w:tc>
          <w:tcPr>
            <w:tcW w:w="2467" w:type="pct"/>
            <w:vAlign w:val="center"/>
          </w:tcPr>
          <w:p>
            <w:pPr>
              <w:pStyle w:val="34"/>
              <w:rPr>
                <w:rFonts w:ascii="宋体" w:hAnsi="宋体"/>
              </w:rPr>
            </w:pPr>
            <w:r>
              <w:rPr>
                <w:rFonts w:hint="eastAsia" w:ascii="宋体" w:hAnsi="宋体"/>
              </w:rPr>
              <w:t>分析</w:t>
            </w:r>
            <w:r>
              <w:rPr>
                <w:rFonts w:ascii="宋体" w:hAnsi="宋体"/>
              </w:rPr>
              <w:t>项目</w:t>
            </w:r>
          </w:p>
        </w:tc>
        <w:tc>
          <w:tcPr>
            <w:tcW w:w="1407" w:type="pct"/>
            <w:vAlign w:val="center"/>
          </w:tcPr>
          <w:p>
            <w:pPr>
              <w:pStyle w:val="34"/>
              <w:rPr>
                <w:rFonts w:ascii="宋体" w:hAnsi="宋体"/>
              </w:rPr>
            </w:pPr>
            <w:r>
              <w:rPr>
                <w:rFonts w:hint="eastAsia" w:ascii="宋体" w:hAnsi="宋体"/>
              </w:rPr>
              <w:t>控制指标</w:t>
            </w:r>
          </w:p>
        </w:tc>
        <w:tc>
          <w:tcPr>
            <w:tcW w:w="1126" w:type="pct"/>
            <w:vAlign w:val="center"/>
          </w:tcPr>
          <w:p>
            <w:pPr>
              <w:pStyle w:val="34"/>
              <w:rPr>
                <w:rFonts w:ascii="宋体" w:hAnsi="宋体"/>
              </w:rPr>
            </w:pPr>
            <w:r>
              <w:rPr>
                <w:rFonts w:hint="eastAsia" w:ascii="宋体" w:hAnsi="宋体"/>
              </w:rPr>
              <w:t>分析频度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trPr>
        <w:tc>
          <w:tcPr>
            <w:tcW w:w="2467" w:type="pct"/>
            <w:vAlign w:val="center"/>
          </w:tcPr>
          <w:p>
            <w:pPr>
              <w:pStyle w:val="34"/>
              <w:spacing w:before="120" w:after="120"/>
              <w:rPr>
                <w:rFonts w:ascii="宋体" w:hAnsi="宋体"/>
              </w:rPr>
            </w:pPr>
            <w:r>
              <w:rPr>
                <w:rFonts w:ascii="宋体" w:hAnsi="宋体"/>
              </w:rPr>
              <w:t>pH值（不加酸碱，p H自然平衡）</w:t>
            </w:r>
          </w:p>
        </w:tc>
        <w:tc>
          <w:tcPr>
            <w:tcW w:w="1407" w:type="pct"/>
            <w:vAlign w:val="center"/>
          </w:tcPr>
          <w:p>
            <w:pPr>
              <w:pStyle w:val="34"/>
              <w:spacing w:before="120" w:after="120"/>
              <w:rPr>
                <w:rFonts w:ascii="宋体" w:hAnsi="宋体"/>
              </w:rPr>
            </w:pPr>
            <w:r>
              <w:rPr>
                <w:rFonts w:hint="eastAsia" w:ascii="宋体" w:hAnsi="宋体"/>
              </w:rPr>
              <w:t>6.8</w:t>
            </w:r>
            <w:r>
              <w:rPr>
                <w:rFonts w:ascii="宋体" w:hAnsi="宋体"/>
              </w:rPr>
              <w:t>～9.</w:t>
            </w:r>
            <w:r>
              <w:rPr>
                <w:rFonts w:hint="eastAsia" w:ascii="宋体" w:hAnsi="宋体"/>
              </w:rPr>
              <w:t>5</w:t>
            </w:r>
          </w:p>
        </w:tc>
        <w:tc>
          <w:tcPr>
            <w:tcW w:w="1126" w:type="pct"/>
            <w:vAlign w:val="center"/>
          </w:tcPr>
          <w:p>
            <w:pPr>
              <w:pStyle w:val="34"/>
              <w:rPr>
                <w:rFonts w:ascii="宋体" w:hAnsi="宋体"/>
              </w:rPr>
            </w:pPr>
            <w:r>
              <w:rPr>
                <w:rFonts w:ascii="宋体" w:hAnsi="宋体"/>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trPr>
        <w:tc>
          <w:tcPr>
            <w:tcW w:w="2467" w:type="pct"/>
            <w:vAlign w:val="center"/>
          </w:tcPr>
          <w:p>
            <w:pPr>
              <w:pStyle w:val="34"/>
              <w:spacing w:before="120" w:after="120"/>
              <w:rPr>
                <w:rFonts w:ascii="宋体" w:hAnsi="宋体"/>
              </w:rPr>
            </w:pPr>
            <w:r>
              <w:rPr>
                <w:rFonts w:ascii="宋体" w:hAnsi="宋体"/>
              </w:rPr>
              <w:t>电导率（μs/cm）</w:t>
            </w:r>
            <w:r>
              <w:rPr>
                <w:rFonts w:hint="eastAsia" w:ascii="宋体" w:hAnsi="宋体"/>
              </w:rPr>
              <w:t>25℃</w:t>
            </w:r>
          </w:p>
        </w:tc>
        <w:tc>
          <w:tcPr>
            <w:tcW w:w="1407" w:type="pct"/>
            <w:vAlign w:val="center"/>
          </w:tcPr>
          <w:p>
            <w:pPr>
              <w:pStyle w:val="34"/>
              <w:spacing w:before="120" w:after="120"/>
              <w:rPr>
                <w:rFonts w:ascii="宋体" w:hAnsi="宋体"/>
              </w:rPr>
            </w:pPr>
            <w:r>
              <w:rPr>
                <w:rFonts w:hint="eastAsia" w:ascii="宋体" w:hAnsi="宋体"/>
              </w:rPr>
              <w:t>≤</w:t>
            </w:r>
            <w:r>
              <w:rPr>
                <w:rFonts w:ascii="宋体" w:hAnsi="宋体"/>
              </w:rPr>
              <w:t>2500</w:t>
            </w:r>
          </w:p>
        </w:tc>
        <w:tc>
          <w:tcPr>
            <w:tcW w:w="1126" w:type="pct"/>
            <w:vAlign w:val="center"/>
          </w:tcPr>
          <w:p>
            <w:pPr>
              <w:pStyle w:val="34"/>
              <w:rPr>
                <w:rFonts w:ascii="宋体" w:hAnsi="宋体"/>
              </w:rPr>
            </w:pPr>
            <w:r>
              <w:rPr>
                <w:rFonts w:ascii="宋体" w:hAnsi="宋体"/>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trPr>
        <w:tc>
          <w:tcPr>
            <w:tcW w:w="2467" w:type="pct"/>
            <w:vAlign w:val="center"/>
          </w:tcPr>
          <w:p>
            <w:pPr>
              <w:pStyle w:val="34"/>
              <w:spacing w:before="120" w:after="120"/>
              <w:rPr>
                <w:rFonts w:ascii="宋体" w:hAnsi="宋体"/>
              </w:rPr>
            </w:pPr>
            <w:r>
              <w:rPr>
                <w:rFonts w:hint="eastAsia" w:ascii="宋体" w:hAnsi="宋体"/>
              </w:rPr>
              <w:t>浊度</w:t>
            </w:r>
            <w:r>
              <w:rPr>
                <w:rFonts w:ascii="宋体" w:hAnsi="宋体" w:cs="宋体"/>
                <w:kern w:val="0"/>
              </w:rPr>
              <w:t xml:space="preserve"> mg/L</w:t>
            </w:r>
          </w:p>
        </w:tc>
        <w:tc>
          <w:tcPr>
            <w:tcW w:w="1407" w:type="pct"/>
            <w:vAlign w:val="center"/>
          </w:tcPr>
          <w:p>
            <w:pPr>
              <w:pStyle w:val="34"/>
              <w:spacing w:before="120" w:after="120"/>
              <w:rPr>
                <w:rFonts w:ascii="宋体" w:hAnsi="宋体"/>
              </w:rPr>
            </w:pPr>
            <w:r>
              <w:rPr>
                <w:rFonts w:hint="eastAsia" w:ascii="宋体" w:hAnsi="宋体"/>
              </w:rPr>
              <w:t>≤20</w:t>
            </w:r>
          </w:p>
        </w:tc>
        <w:tc>
          <w:tcPr>
            <w:tcW w:w="1126" w:type="pct"/>
            <w:vAlign w:val="center"/>
          </w:tcPr>
          <w:p>
            <w:pPr>
              <w:pStyle w:val="34"/>
              <w:rPr>
                <w:rFonts w:ascii="宋体" w:hAnsi="宋体"/>
              </w:rPr>
            </w:pPr>
            <w:r>
              <w:rPr>
                <w:rFonts w:ascii="宋体" w:hAnsi="宋体"/>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trPr>
        <w:tc>
          <w:tcPr>
            <w:tcW w:w="2467" w:type="pct"/>
            <w:vAlign w:val="center"/>
          </w:tcPr>
          <w:p>
            <w:pPr>
              <w:pStyle w:val="34"/>
              <w:spacing w:before="120" w:after="120"/>
              <w:rPr>
                <w:rFonts w:ascii="宋体" w:hAnsi="宋体"/>
              </w:rPr>
            </w:pPr>
            <w:r>
              <w:rPr>
                <w:rFonts w:ascii="宋体" w:hAnsi="宋体"/>
              </w:rPr>
              <w:t>总碱度</w:t>
            </w:r>
            <w:r>
              <w:rPr>
                <w:rFonts w:ascii="宋体" w:hAnsi="宋体" w:cs="宋体"/>
                <w:kern w:val="0"/>
              </w:rPr>
              <w:t xml:space="preserve"> mg/L(以CaCO3)</w:t>
            </w:r>
          </w:p>
        </w:tc>
        <w:tc>
          <w:tcPr>
            <w:tcW w:w="1407" w:type="pct"/>
            <w:vAlign w:val="center"/>
          </w:tcPr>
          <w:p>
            <w:pPr>
              <w:pStyle w:val="34"/>
              <w:spacing w:before="120" w:after="120"/>
              <w:rPr>
                <w:rFonts w:ascii="宋体" w:hAnsi="宋体"/>
              </w:rPr>
            </w:pPr>
            <w:r>
              <w:rPr>
                <w:rFonts w:hint="eastAsia" w:ascii="宋体" w:hAnsi="宋体"/>
              </w:rPr>
              <w:t>≤</w:t>
            </w:r>
            <w:r>
              <w:rPr>
                <w:rFonts w:ascii="宋体" w:hAnsi="宋体"/>
              </w:rPr>
              <w:t>500</w:t>
            </w:r>
          </w:p>
        </w:tc>
        <w:tc>
          <w:tcPr>
            <w:tcW w:w="1126" w:type="pct"/>
            <w:vAlign w:val="center"/>
          </w:tcPr>
          <w:p>
            <w:pPr>
              <w:pStyle w:val="34"/>
              <w:rPr>
                <w:rFonts w:ascii="宋体" w:hAnsi="宋体"/>
              </w:rPr>
            </w:pPr>
            <w:r>
              <w:rPr>
                <w:rFonts w:ascii="宋体" w:hAnsi="宋体"/>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trPr>
        <w:tc>
          <w:tcPr>
            <w:tcW w:w="2467" w:type="pct"/>
            <w:vAlign w:val="center"/>
          </w:tcPr>
          <w:p>
            <w:pPr>
              <w:pStyle w:val="34"/>
              <w:spacing w:before="120" w:after="120"/>
              <w:rPr>
                <w:rFonts w:ascii="宋体" w:hAnsi="宋体"/>
              </w:rPr>
            </w:pPr>
            <w:r>
              <w:rPr>
                <w:rFonts w:ascii="宋体" w:hAnsi="宋体"/>
              </w:rPr>
              <w:t>总硬度</w:t>
            </w:r>
            <w:r>
              <w:rPr>
                <w:rFonts w:ascii="宋体" w:hAnsi="宋体" w:cs="宋体"/>
                <w:kern w:val="0"/>
              </w:rPr>
              <w:t xml:space="preserve"> mg/L(以CaCO3)</w:t>
            </w:r>
          </w:p>
        </w:tc>
        <w:tc>
          <w:tcPr>
            <w:tcW w:w="1407" w:type="pct"/>
            <w:vAlign w:val="center"/>
          </w:tcPr>
          <w:p>
            <w:pPr>
              <w:pStyle w:val="34"/>
              <w:spacing w:before="120" w:after="120"/>
              <w:rPr>
                <w:rFonts w:ascii="宋体" w:hAnsi="宋体"/>
              </w:rPr>
            </w:pPr>
            <w:r>
              <w:rPr>
                <w:rFonts w:hint="eastAsia" w:ascii="宋体" w:hAnsi="宋体"/>
              </w:rPr>
              <w:t>≤6</w:t>
            </w:r>
            <w:r>
              <w:rPr>
                <w:rFonts w:ascii="宋体" w:hAnsi="宋体"/>
              </w:rPr>
              <w:t>00</w:t>
            </w:r>
          </w:p>
        </w:tc>
        <w:tc>
          <w:tcPr>
            <w:tcW w:w="1126" w:type="pct"/>
            <w:vAlign w:val="center"/>
          </w:tcPr>
          <w:p>
            <w:pPr>
              <w:pStyle w:val="34"/>
              <w:rPr>
                <w:rFonts w:ascii="宋体" w:hAnsi="宋体"/>
              </w:rPr>
            </w:pPr>
            <w:r>
              <w:rPr>
                <w:rFonts w:ascii="宋体" w:hAnsi="宋体"/>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trPr>
        <w:tc>
          <w:tcPr>
            <w:tcW w:w="2467" w:type="pct"/>
            <w:vAlign w:val="center"/>
          </w:tcPr>
          <w:p>
            <w:pPr>
              <w:pStyle w:val="34"/>
              <w:spacing w:before="120" w:after="120"/>
              <w:rPr>
                <w:rFonts w:ascii="宋体" w:hAnsi="宋体"/>
              </w:rPr>
            </w:pPr>
            <w:r>
              <w:rPr>
                <w:rFonts w:ascii="宋体" w:hAnsi="宋体"/>
              </w:rPr>
              <w:t>氯</w:t>
            </w:r>
            <w:r>
              <w:rPr>
                <w:rFonts w:hint="eastAsia" w:ascii="宋体" w:hAnsi="宋体"/>
              </w:rPr>
              <w:t>根</w:t>
            </w:r>
            <w:r>
              <w:rPr>
                <w:rFonts w:ascii="宋体" w:hAnsi="宋体"/>
              </w:rPr>
              <w:t>（mg/L）</w:t>
            </w:r>
          </w:p>
        </w:tc>
        <w:tc>
          <w:tcPr>
            <w:tcW w:w="1407" w:type="pct"/>
            <w:vAlign w:val="center"/>
          </w:tcPr>
          <w:p>
            <w:pPr>
              <w:pStyle w:val="34"/>
              <w:spacing w:before="120" w:after="120"/>
              <w:rPr>
                <w:rFonts w:ascii="宋体" w:hAnsi="宋体"/>
              </w:rPr>
            </w:pPr>
            <w:r>
              <w:rPr>
                <w:rFonts w:hint="eastAsia" w:ascii="宋体" w:hAnsi="宋体"/>
              </w:rPr>
              <w:t>≤</w:t>
            </w:r>
            <w:r>
              <w:rPr>
                <w:rFonts w:ascii="宋体" w:hAnsi="宋体"/>
              </w:rPr>
              <w:t>1000（碳钢）</w:t>
            </w:r>
          </w:p>
        </w:tc>
        <w:tc>
          <w:tcPr>
            <w:tcW w:w="1126" w:type="pct"/>
            <w:vAlign w:val="center"/>
          </w:tcPr>
          <w:p>
            <w:pPr>
              <w:pStyle w:val="34"/>
              <w:rPr>
                <w:rFonts w:ascii="宋体" w:hAnsi="宋体"/>
              </w:rPr>
            </w:pPr>
            <w:r>
              <w:rPr>
                <w:rFonts w:ascii="宋体" w:hAnsi="宋体"/>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trPr>
        <w:tc>
          <w:tcPr>
            <w:tcW w:w="2467" w:type="pct"/>
            <w:vAlign w:val="center"/>
          </w:tcPr>
          <w:p>
            <w:pPr>
              <w:pStyle w:val="34"/>
              <w:spacing w:before="120" w:after="120"/>
              <w:rPr>
                <w:rFonts w:ascii="宋体" w:hAnsi="宋体"/>
              </w:rPr>
            </w:pPr>
            <w:r>
              <w:rPr>
                <w:rFonts w:ascii="宋体" w:hAnsi="宋体"/>
              </w:rPr>
              <w:t>总铁（mg/L）</w:t>
            </w:r>
          </w:p>
        </w:tc>
        <w:tc>
          <w:tcPr>
            <w:tcW w:w="1407" w:type="pct"/>
            <w:vAlign w:val="center"/>
          </w:tcPr>
          <w:p>
            <w:pPr>
              <w:pStyle w:val="34"/>
              <w:spacing w:before="120" w:after="120"/>
              <w:rPr>
                <w:rFonts w:ascii="宋体" w:hAnsi="宋体"/>
              </w:rPr>
            </w:pPr>
            <w:r>
              <w:rPr>
                <w:rFonts w:hint="eastAsia" w:ascii="宋体" w:hAnsi="宋体"/>
              </w:rPr>
              <w:t>≤1.0</w:t>
            </w:r>
          </w:p>
        </w:tc>
        <w:tc>
          <w:tcPr>
            <w:tcW w:w="1126" w:type="pct"/>
            <w:vAlign w:val="center"/>
          </w:tcPr>
          <w:p>
            <w:pPr>
              <w:pStyle w:val="34"/>
              <w:rPr>
                <w:rFonts w:ascii="宋体" w:hAnsi="宋体"/>
              </w:rPr>
            </w:pPr>
            <w:r>
              <w:rPr>
                <w:rFonts w:ascii="宋体" w:hAnsi="宋体"/>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trPr>
        <w:tc>
          <w:tcPr>
            <w:tcW w:w="2467" w:type="pct"/>
            <w:vAlign w:val="center"/>
          </w:tcPr>
          <w:p>
            <w:pPr>
              <w:pStyle w:val="34"/>
              <w:spacing w:before="120" w:after="120"/>
              <w:rPr>
                <w:rFonts w:ascii="宋体" w:hAnsi="宋体"/>
              </w:rPr>
            </w:pPr>
            <w:r>
              <w:rPr>
                <w:rFonts w:hint="eastAsia" w:ascii="宋体" w:hAnsi="宋体"/>
              </w:rPr>
              <w:t>总</w:t>
            </w:r>
            <w:r>
              <w:rPr>
                <w:rFonts w:ascii="宋体" w:hAnsi="宋体"/>
              </w:rPr>
              <w:t>铜（mg/L）</w:t>
            </w:r>
          </w:p>
        </w:tc>
        <w:tc>
          <w:tcPr>
            <w:tcW w:w="1407" w:type="pct"/>
            <w:vAlign w:val="center"/>
          </w:tcPr>
          <w:p>
            <w:pPr>
              <w:pStyle w:val="34"/>
              <w:spacing w:before="120" w:after="120"/>
              <w:rPr>
                <w:rFonts w:ascii="宋体" w:hAnsi="宋体"/>
              </w:rPr>
            </w:pPr>
            <w:r>
              <w:rPr>
                <w:rFonts w:hint="eastAsia" w:ascii="宋体" w:hAnsi="宋体"/>
              </w:rPr>
              <w:t>≤</w:t>
            </w:r>
            <w:r>
              <w:rPr>
                <w:rFonts w:ascii="宋体" w:hAnsi="宋体"/>
              </w:rPr>
              <w:t>0.</w:t>
            </w:r>
            <w:r>
              <w:rPr>
                <w:rFonts w:hint="eastAsia" w:ascii="宋体" w:hAnsi="宋体"/>
              </w:rPr>
              <w:t>1</w:t>
            </w:r>
          </w:p>
        </w:tc>
        <w:tc>
          <w:tcPr>
            <w:tcW w:w="1126" w:type="pct"/>
            <w:vAlign w:val="center"/>
          </w:tcPr>
          <w:p>
            <w:pPr>
              <w:pStyle w:val="34"/>
              <w:rPr>
                <w:rFonts w:ascii="宋体" w:hAnsi="宋体"/>
              </w:rPr>
            </w:pPr>
            <w:r>
              <w:rPr>
                <w:rFonts w:ascii="宋体" w:hAnsi="宋体"/>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trPr>
        <w:tc>
          <w:tcPr>
            <w:tcW w:w="2467" w:type="pct"/>
            <w:vAlign w:val="center"/>
          </w:tcPr>
          <w:p>
            <w:pPr>
              <w:pStyle w:val="34"/>
              <w:spacing w:before="120" w:after="120"/>
              <w:rPr>
                <w:rFonts w:ascii="宋体" w:hAnsi="宋体"/>
              </w:rPr>
            </w:pPr>
            <w:r>
              <w:rPr>
                <w:rFonts w:hint="eastAsia" w:ascii="宋体" w:hAnsi="宋体"/>
              </w:rPr>
              <w:t>细</w:t>
            </w:r>
            <w:r>
              <w:rPr>
                <w:rFonts w:ascii="宋体" w:hAnsi="宋体"/>
              </w:rPr>
              <w:t>菌总数（个/mL）</w:t>
            </w:r>
          </w:p>
        </w:tc>
        <w:tc>
          <w:tcPr>
            <w:tcW w:w="1407" w:type="pct"/>
            <w:vAlign w:val="center"/>
          </w:tcPr>
          <w:p>
            <w:pPr>
              <w:pStyle w:val="34"/>
              <w:spacing w:before="120" w:after="120"/>
              <w:rPr>
                <w:rFonts w:ascii="宋体" w:hAnsi="宋体"/>
              </w:rPr>
            </w:pPr>
            <w:r>
              <w:rPr>
                <w:rFonts w:hint="eastAsia" w:ascii="宋体" w:hAnsi="宋体"/>
              </w:rPr>
              <w:t>≤</w:t>
            </w:r>
            <w:r>
              <w:rPr>
                <w:rFonts w:ascii="宋体" w:hAnsi="宋体"/>
              </w:rPr>
              <w:t>10</w:t>
            </w:r>
            <w:r>
              <w:rPr>
                <w:rFonts w:ascii="宋体" w:hAnsi="宋体"/>
                <w:vertAlign w:val="superscript"/>
              </w:rPr>
              <w:t>5</w:t>
            </w:r>
          </w:p>
        </w:tc>
        <w:tc>
          <w:tcPr>
            <w:tcW w:w="1126" w:type="pct"/>
            <w:vAlign w:val="center"/>
          </w:tcPr>
          <w:p>
            <w:pPr>
              <w:pStyle w:val="34"/>
              <w:rPr>
                <w:rFonts w:ascii="宋体" w:hAnsi="宋体"/>
              </w:rPr>
            </w:pPr>
            <w:r>
              <w:rPr>
                <w:rFonts w:ascii="宋体" w:hAnsi="宋体"/>
              </w:rPr>
              <w:t>1次/月</w:t>
            </w:r>
          </w:p>
        </w:tc>
      </w:tr>
    </w:tbl>
    <w:p>
      <w:pPr>
        <w:spacing w:line="460" w:lineRule="exact"/>
        <w:ind w:firstLine="420"/>
        <w:rPr>
          <w:rFonts w:ascii="宋体" w:hAnsi="宋体" w:cs="Arial"/>
        </w:rPr>
      </w:pPr>
    </w:p>
    <w:p>
      <w:pPr>
        <w:spacing w:line="460" w:lineRule="exact"/>
        <w:ind w:firstLine="420"/>
        <w:rPr>
          <w:rFonts w:ascii="宋体" w:hAnsi="宋体" w:cs="Arial"/>
        </w:rPr>
      </w:pPr>
    </w:p>
    <w:p>
      <w:pPr>
        <w:spacing w:line="460" w:lineRule="exact"/>
        <w:ind w:firstLine="420"/>
        <w:rPr>
          <w:rFonts w:ascii="宋体" w:hAnsi="宋体" w:cs="Arial"/>
        </w:rPr>
      </w:pPr>
    </w:p>
    <w:p>
      <w:pPr>
        <w:spacing w:line="460" w:lineRule="exact"/>
        <w:ind w:firstLine="420"/>
        <w:rPr>
          <w:rFonts w:ascii="宋体" w:hAnsi="宋体" w:cs="Arial"/>
        </w:rPr>
      </w:pPr>
    </w:p>
    <w:p>
      <w:pPr>
        <w:spacing w:line="460" w:lineRule="exact"/>
        <w:ind w:firstLine="420"/>
        <w:rPr>
          <w:rFonts w:ascii="宋体" w:hAnsi="宋体" w:cs="Arial"/>
        </w:rPr>
      </w:pPr>
    </w:p>
    <w:p>
      <w:pPr>
        <w:spacing w:line="460" w:lineRule="exact"/>
        <w:ind w:firstLine="420"/>
        <w:rPr>
          <w:rFonts w:ascii="宋体" w:hAnsi="宋体" w:cs="Arial"/>
        </w:rPr>
      </w:pPr>
    </w:p>
    <w:p>
      <w:pPr>
        <w:spacing w:line="460" w:lineRule="exact"/>
        <w:ind w:firstLine="420"/>
        <w:rPr>
          <w:rFonts w:ascii="宋体" w:hAnsi="宋体" w:cs="Arial"/>
        </w:rPr>
      </w:pPr>
    </w:p>
    <w:p>
      <w:pPr>
        <w:spacing w:line="460" w:lineRule="exact"/>
        <w:ind w:firstLine="420"/>
        <w:rPr>
          <w:rFonts w:ascii="宋体" w:hAnsi="宋体" w:cs="Arial"/>
        </w:rPr>
      </w:pPr>
    </w:p>
    <w:p>
      <w:pPr>
        <w:spacing w:line="460" w:lineRule="exact"/>
        <w:ind w:firstLine="420"/>
        <w:rPr>
          <w:rFonts w:ascii="宋体" w:hAnsi="宋体" w:cs="Arial"/>
        </w:rPr>
      </w:pPr>
    </w:p>
    <w:p>
      <w:pPr>
        <w:spacing w:line="460" w:lineRule="exact"/>
        <w:ind w:firstLine="420"/>
        <w:rPr>
          <w:rFonts w:ascii="宋体" w:hAnsi="宋体" w:cs="Arial"/>
        </w:rPr>
      </w:pPr>
    </w:p>
    <w:p>
      <w:pPr>
        <w:spacing w:line="460" w:lineRule="exact"/>
        <w:ind w:firstLine="420"/>
        <w:rPr>
          <w:rFonts w:ascii="宋体" w:hAnsi="宋体" w:cs="Arial"/>
        </w:rPr>
      </w:pPr>
    </w:p>
    <w:p>
      <w:pPr>
        <w:spacing w:line="460" w:lineRule="exact"/>
        <w:ind w:firstLine="420"/>
        <w:rPr>
          <w:rFonts w:ascii="宋体" w:hAnsi="宋体" w:cs="Arial"/>
        </w:rPr>
      </w:pPr>
    </w:p>
    <w:p>
      <w:pPr>
        <w:spacing w:line="460" w:lineRule="exact"/>
        <w:ind w:firstLine="420"/>
        <w:rPr>
          <w:rFonts w:ascii="宋体" w:hAnsi="宋体" w:cs="Arial"/>
        </w:rPr>
      </w:pPr>
    </w:p>
    <w:p>
      <w:pPr>
        <w:ind w:firstLine="420"/>
        <w:rPr>
          <w:rFonts w:ascii="宋体" w:hAnsi="宋体" w:cs="Arial"/>
        </w:rPr>
      </w:pPr>
    </w:p>
    <w:p>
      <w:pPr>
        <w:spacing w:line="460" w:lineRule="exact"/>
        <w:ind w:firstLine="420"/>
        <w:rPr>
          <w:rFonts w:ascii="宋体" w:hAnsi="宋体" w:cs="Arial"/>
        </w:rPr>
      </w:pPr>
      <w:r>
        <w:rPr>
          <w:rFonts w:hint="eastAsia" w:ascii="宋体" w:hAnsi="宋体" w:cs="Arial"/>
        </w:rPr>
        <w:t>4.</w:t>
      </w:r>
      <w:r>
        <w:rPr>
          <w:rFonts w:ascii="宋体" w:hAnsi="宋体" w:cs="Arial"/>
        </w:rPr>
        <w:t>5．上述水质指标的分析检测，可了解水质处理运行操作状况，判断缓蚀阻垢效果，并为后继阶段的水处理运行操作提供依据。</w:t>
      </w:r>
    </w:p>
    <w:p>
      <w:pPr>
        <w:spacing w:line="460" w:lineRule="exact"/>
        <w:ind w:firstLine="420"/>
        <w:rPr>
          <w:rFonts w:ascii="宋体" w:hAnsi="宋体" w:cs="Arial"/>
        </w:rPr>
      </w:pPr>
      <w:r>
        <w:rPr>
          <w:rFonts w:ascii="宋体" w:hAnsi="宋体" w:cs="Arial"/>
        </w:rPr>
        <w:t>当浓缩倍数稳定在规定范围内时，总碱度、总硬度和pH值等应该稳定在一定范围。如这些值发生较大的变化，则可能是受到外界的干扰，或系统出现结垢趋势。应根据化验数据作出正确的判断，并采取相应的排污</w:t>
      </w:r>
      <w:r>
        <w:rPr>
          <w:rFonts w:hint="eastAsia" w:ascii="宋体" w:hAnsi="宋体" w:cs="Arial"/>
        </w:rPr>
        <w:t>、补加药剂等</w:t>
      </w:r>
      <w:r>
        <w:rPr>
          <w:rFonts w:ascii="宋体" w:hAnsi="宋体" w:cs="Arial"/>
        </w:rPr>
        <w:t>措施。</w:t>
      </w:r>
    </w:p>
    <w:p>
      <w:pPr>
        <w:spacing w:line="460" w:lineRule="exact"/>
        <w:ind w:firstLine="420"/>
        <w:rPr>
          <w:rFonts w:ascii="宋体" w:hAnsi="宋体" w:cs="Arial"/>
        </w:rPr>
      </w:pPr>
      <w:r>
        <w:rPr>
          <w:rFonts w:hint="eastAsia" w:ascii="宋体" w:hAnsi="宋体" w:cs="Arial"/>
        </w:rPr>
        <w:t>4.</w:t>
      </w:r>
      <w:r>
        <w:rPr>
          <w:rFonts w:ascii="宋体" w:hAnsi="宋体" w:cs="Arial"/>
        </w:rPr>
        <w:t>6．空调主机冷凝器清洗处理：</w:t>
      </w:r>
    </w:p>
    <w:p>
      <w:pPr>
        <w:spacing w:line="460" w:lineRule="exact"/>
        <w:ind w:firstLine="420"/>
        <w:rPr>
          <w:rFonts w:ascii="宋体" w:hAnsi="宋体" w:cs="Arial"/>
        </w:rPr>
      </w:pPr>
      <w:r>
        <w:rPr>
          <w:rFonts w:ascii="宋体" w:hAnsi="宋体" w:cs="Arial"/>
        </w:rPr>
        <w:t>系统运行了一段时间之后，空调主机冷凝器的铜管会积存一定的淤泥或软垢，故需对主机冷凝器进行一次单台清洗或机械通炮清洗，以保持良好的热交换效率，降低能耗（一般在冬季湿保时进行，拟不影响正常使用空调）。</w:t>
      </w:r>
    </w:p>
    <w:p>
      <w:pPr>
        <w:spacing w:line="460" w:lineRule="exact"/>
        <w:ind w:firstLine="420"/>
        <w:rPr>
          <w:rFonts w:ascii="宋体" w:hAnsi="宋体" w:cs="Arial"/>
        </w:rPr>
      </w:pPr>
      <w:r>
        <w:rPr>
          <w:rFonts w:ascii="宋体" w:hAnsi="宋体" w:cs="Arial"/>
        </w:rPr>
        <w:t>针对季节、系统或运行等不同特点选择用药，且严格控制药剂浓度和浓缩倍数，所以经处理后，可有效控制锈蚀、结垢倾向和微生物粘泥的形成，冷凝器换热效果良好，清洗周期可大大延长。但为了保险起见和将工作做在前面，故主机冷凝器的清洗周期定为每年一次。</w:t>
      </w:r>
    </w:p>
    <w:p>
      <w:pPr>
        <w:spacing w:line="460" w:lineRule="exact"/>
        <w:jc w:val="left"/>
        <w:rPr>
          <w:rFonts w:ascii="宋体" w:hAnsi="宋体" w:cs="Arial"/>
          <w:b/>
          <w:kern w:val="0"/>
          <w:sz w:val="24"/>
        </w:rPr>
      </w:pPr>
      <w:bookmarkStart w:id="264" w:name="_Toc98637523"/>
      <w:r>
        <w:rPr>
          <w:rFonts w:hint="eastAsia" w:ascii="宋体" w:hAnsi="宋体" w:cs="Arial"/>
          <w:b/>
          <w:kern w:val="0"/>
          <w:sz w:val="24"/>
        </w:rPr>
        <w:t>5</w:t>
      </w:r>
      <w:r>
        <w:rPr>
          <w:rFonts w:ascii="宋体" w:hAnsi="宋体" w:cs="Arial"/>
          <w:b/>
          <w:kern w:val="0"/>
          <w:sz w:val="24"/>
        </w:rPr>
        <w:t>、安全事项</w:t>
      </w:r>
      <w:bookmarkEnd w:id="264"/>
    </w:p>
    <w:p>
      <w:pPr>
        <w:spacing w:line="460" w:lineRule="exact"/>
        <w:ind w:firstLine="420"/>
        <w:rPr>
          <w:rFonts w:ascii="宋体" w:hAnsi="宋体" w:cs="Arial"/>
        </w:rPr>
      </w:pPr>
      <w:r>
        <w:rPr>
          <w:rFonts w:hint="eastAsia" w:ascii="宋体" w:hAnsi="宋体" w:cs="Arial"/>
        </w:rPr>
        <w:t>5.</w:t>
      </w:r>
      <w:r>
        <w:rPr>
          <w:rFonts w:ascii="宋体" w:hAnsi="宋体" w:cs="Arial"/>
        </w:rPr>
        <w:t>1．经加药处理的冷却水，不得用作饮用水，不宜作淋浴等生活用水。</w:t>
      </w:r>
    </w:p>
    <w:p>
      <w:pPr>
        <w:spacing w:line="460" w:lineRule="exact"/>
        <w:ind w:firstLine="420"/>
        <w:rPr>
          <w:rFonts w:ascii="宋体" w:hAnsi="宋体" w:cs="Arial"/>
        </w:rPr>
      </w:pPr>
      <w:r>
        <w:rPr>
          <w:rFonts w:hint="eastAsia" w:ascii="宋体" w:hAnsi="宋体" w:cs="Arial"/>
        </w:rPr>
        <w:t>5.</w:t>
      </w:r>
      <w:r>
        <w:rPr>
          <w:rFonts w:ascii="宋体" w:hAnsi="宋体" w:cs="Arial"/>
        </w:rPr>
        <w:t>2．水处理剂均为化学药剂，使用时宜戴防护手套，防止触及皮肤和眼睛，一旦触及，应用清水迅速充分冲洗，必要时就医。水处理用化学品包装桶不宜作他用。</w:t>
      </w:r>
    </w:p>
    <w:p>
      <w:pPr>
        <w:spacing w:line="300" w:lineRule="exact"/>
        <w:ind w:firstLine="420"/>
        <w:rPr>
          <w:rFonts w:ascii="宋体" w:hAnsi="宋体" w:cs="Arial"/>
        </w:rPr>
      </w:pPr>
    </w:p>
    <w:p>
      <w:pPr>
        <w:spacing w:line="500" w:lineRule="exact"/>
        <w:rPr>
          <w:rFonts w:ascii="宋体" w:hAnsi="宋体" w:cs="Arial"/>
          <w:b/>
          <w:sz w:val="24"/>
        </w:rPr>
      </w:pPr>
      <w:r>
        <w:rPr>
          <w:rFonts w:hint="eastAsia" w:ascii="宋体" w:hAnsi="宋体"/>
          <w:b/>
          <w:sz w:val="24"/>
        </w:rPr>
        <w:t>(四）、冷冻系统水处理方案</w:t>
      </w:r>
    </w:p>
    <w:p>
      <w:pPr>
        <w:spacing w:line="460" w:lineRule="exact"/>
        <w:rPr>
          <w:rFonts w:ascii="宋体" w:hAnsi="宋体"/>
          <w:b/>
          <w:sz w:val="24"/>
        </w:rPr>
      </w:pPr>
      <w:bookmarkStart w:id="265" w:name="_Toc98637530"/>
      <w:bookmarkStart w:id="266" w:name="_Toc272417829"/>
      <w:r>
        <w:rPr>
          <w:rFonts w:hint="eastAsia" w:ascii="宋体" w:hAnsi="宋体"/>
          <w:b/>
          <w:sz w:val="24"/>
        </w:rPr>
        <w:t>1</w:t>
      </w:r>
      <w:r>
        <w:rPr>
          <w:rFonts w:ascii="宋体" w:hAnsi="宋体"/>
          <w:b/>
          <w:sz w:val="24"/>
        </w:rPr>
        <w:t>、冷冻循环水主要障害及水处理技术</w:t>
      </w:r>
      <w:bookmarkEnd w:id="265"/>
      <w:bookmarkEnd w:id="266"/>
    </w:p>
    <w:p>
      <w:pPr>
        <w:spacing w:line="460" w:lineRule="exact"/>
        <w:ind w:firstLine="420"/>
        <w:rPr>
          <w:rFonts w:ascii="宋体" w:hAnsi="宋体" w:cs="Arial"/>
        </w:rPr>
      </w:pPr>
      <w:r>
        <w:rPr>
          <w:rFonts w:ascii="宋体" w:hAnsi="宋体" w:cs="Arial"/>
        </w:rPr>
        <w:t>冷冻循环水系统的主要障碍是较严重的溶解氧腐蚀（冷冻水水温低，溶解氧浓度高）、电偶腐蚀（蒸发器和表冷器中铜、铁金属交接处）、缝隙腐蚀（管道焊接工艺及焊材不当所致）等和粘泥沉积（细菌分解或自来水中的微泥沉积所致），因此水处理的着重点为防腐蚀和防粘泥沉积技术。结合冷冻水低温、密闭循环的特点，可采用高pH下的长效缓蚀剂进行防蚀处理，并同时定期投加高效杀菌、粘泥剥离剂，将取得良好效果。</w:t>
      </w:r>
    </w:p>
    <w:p>
      <w:pPr>
        <w:spacing w:line="460" w:lineRule="exact"/>
        <w:ind w:firstLine="420"/>
        <w:rPr>
          <w:rFonts w:ascii="宋体" w:hAnsi="宋体" w:cs="Arial"/>
        </w:rPr>
      </w:pPr>
      <w:r>
        <w:rPr>
          <w:rFonts w:ascii="宋体" w:hAnsi="宋体" w:cs="Arial"/>
        </w:rPr>
        <w:t>采取投加缓蚀剂及交替投加杀菌剂的方法进行处理，结合系统的人工清洗和化学清洗以及日常的分析测试监控，确保水处理的缓蚀效果。</w:t>
      </w:r>
    </w:p>
    <w:p>
      <w:pPr>
        <w:numPr>
          <w:ilvl w:val="0"/>
          <w:numId w:val="10"/>
        </w:numPr>
        <w:spacing w:line="500" w:lineRule="exact"/>
        <w:jc w:val="left"/>
        <w:rPr>
          <w:rFonts w:ascii="宋体" w:hAnsi="宋体" w:cs="Arial"/>
          <w:b/>
          <w:kern w:val="0"/>
          <w:sz w:val="24"/>
        </w:rPr>
      </w:pPr>
      <w:bookmarkStart w:id="267" w:name="_Toc98637532"/>
      <w:r>
        <w:rPr>
          <w:rFonts w:ascii="宋体" w:hAnsi="宋体" w:cs="Arial"/>
          <w:b/>
          <w:kern w:val="0"/>
          <w:sz w:val="24"/>
        </w:rPr>
        <w:t>循环冷冻水控制指标</w:t>
      </w:r>
      <w:bookmarkEnd w:id="267"/>
    </w:p>
    <w:p>
      <w:pPr>
        <w:pStyle w:val="35"/>
        <w:rPr>
          <w:rFonts w:ascii="宋体" w:hAnsi="宋体" w:cs="Arial"/>
        </w:rPr>
      </w:pPr>
      <w:r>
        <w:rPr>
          <w:rFonts w:ascii="宋体" w:hAnsi="宋体" w:cs="Arial"/>
          <w:bCs/>
        </w:rPr>
        <w:t>冷冻水系统水质控制指标、检测项目及频率</w:t>
      </w:r>
    </w:p>
    <w:tbl>
      <w:tblPr>
        <w:tblStyle w:val="17"/>
        <w:tblW w:w="4861"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9"/>
        <w:gridCol w:w="2431"/>
        <w:gridCol w:w="1941"/>
        <w:gridCol w:w="4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right"/>
        </w:trPr>
        <w:tc>
          <w:tcPr>
            <w:tcW w:w="895" w:type="pct"/>
            <w:vAlign w:val="center"/>
          </w:tcPr>
          <w:p>
            <w:pPr>
              <w:pStyle w:val="34"/>
              <w:spacing w:before="120" w:after="120"/>
              <w:rPr>
                <w:rFonts w:ascii="宋体" w:hAnsi="宋体"/>
              </w:rPr>
            </w:pPr>
            <w:r>
              <w:rPr>
                <w:rFonts w:ascii="宋体" w:hAnsi="宋体"/>
              </w:rPr>
              <w:t>分析项目</w:t>
            </w:r>
          </w:p>
        </w:tc>
        <w:tc>
          <w:tcPr>
            <w:tcW w:w="1190" w:type="pct"/>
            <w:vAlign w:val="center"/>
          </w:tcPr>
          <w:p>
            <w:pPr>
              <w:pStyle w:val="34"/>
              <w:spacing w:before="120" w:after="120"/>
              <w:rPr>
                <w:rFonts w:ascii="宋体" w:hAnsi="宋体"/>
              </w:rPr>
            </w:pPr>
            <w:r>
              <w:rPr>
                <w:rFonts w:ascii="宋体" w:hAnsi="宋体"/>
              </w:rPr>
              <w:t>控制指标GB50050-</w:t>
            </w:r>
            <w:r>
              <w:rPr>
                <w:rFonts w:hint="eastAsia" w:ascii="宋体" w:hAnsi="宋体"/>
              </w:rPr>
              <w:t>2007</w:t>
            </w:r>
          </w:p>
        </w:tc>
        <w:tc>
          <w:tcPr>
            <w:tcW w:w="950" w:type="pct"/>
            <w:vAlign w:val="center"/>
          </w:tcPr>
          <w:p>
            <w:pPr>
              <w:pStyle w:val="34"/>
              <w:spacing w:before="120" w:after="120"/>
              <w:rPr>
                <w:rFonts w:ascii="宋体" w:hAnsi="宋体"/>
              </w:rPr>
            </w:pPr>
            <w:r>
              <w:rPr>
                <w:rFonts w:ascii="宋体" w:hAnsi="宋体"/>
              </w:rPr>
              <w:t>分析频率</w:t>
            </w:r>
          </w:p>
        </w:tc>
        <w:tc>
          <w:tcPr>
            <w:tcW w:w="1964" w:type="pct"/>
            <w:vAlign w:val="center"/>
          </w:tcPr>
          <w:p>
            <w:pPr>
              <w:pStyle w:val="34"/>
              <w:spacing w:before="120" w:after="120"/>
              <w:rPr>
                <w:rFonts w:ascii="宋体" w:hAnsi="宋体"/>
              </w:rPr>
            </w:pPr>
            <w:r>
              <w:rPr>
                <w:rFonts w:ascii="宋体" w:hAnsi="宋体"/>
              </w:rPr>
              <w:t>检测方法及标准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right"/>
        </w:trPr>
        <w:tc>
          <w:tcPr>
            <w:tcW w:w="895" w:type="pct"/>
            <w:vAlign w:val="center"/>
          </w:tcPr>
          <w:p>
            <w:pPr>
              <w:pStyle w:val="34"/>
              <w:spacing w:before="120" w:after="120"/>
              <w:rPr>
                <w:rFonts w:ascii="宋体" w:hAnsi="宋体"/>
              </w:rPr>
            </w:pPr>
            <w:r>
              <w:rPr>
                <w:rFonts w:ascii="宋体" w:hAnsi="宋体"/>
              </w:rPr>
              <w:t>pH   值</w:t>
            </w:r>
          </w:p>
        </w:tc>
        <w:tc>
          <w:tcPr>
            <w:tcW w:w="1190" w:type="pct"/>
            <w:vAlign w:val="center"/>
          </w:tcPr>
          <w:p>
            <w:pPr>
              <w:pStyle w:val="34"/>
              <w:spacing w:before="120" w:after="120"/>
              <w:rPr>
                <w:rFonts w:ascii="宋体" w:hAnsi="宋体"/>
              </w:rPr>
            </w:pPr>
            <w:r>
              <w:rPr>
                <w:rFonts w:ascii="宋体" w:hAnsi="宋体"/>
              </w:rPr>
              <w:t>8.</w:t>
            </w:r>
            <w:r>
              <w:rPr>
                <w:rFonts w:hint="eastAsia" w:ascii="宋体" w:hAnsi="宋体"/>
              </w:rPr>
              <w:t>0</w:t>
            </w:r>
            <w:r>
              <w:rPr>
                <w:rFonts w:ascii="宋体" w:hAnsi="宋体"/>
              </w:rPr>
              <w:t>～1</w:t>
            </w:r>
            <w:r>
              <w:rPr>
                <w:rFonts w:hint="eastAsia" w:ascii="宋体" w:hAnsi="宋体"/>
              </w:rPr>
              <w:t>0</w:t>
            </w:r>
            <w:r>
              <w:rPr>
                <w:rFonts w:ascii="宋体" w:hAnsi="宋体"/>
              </w:rPr>
              <w:t>.</w:t>
            </w:r>
            <w:r>
              <w:rPr>
                <w:rFonts w:hint="eastAsia" w:ascii="宋体" w:hAnsi="宋体"/>
              </w:rPr>
              <w:t>5</w:t>
            </w:r>
          </w:p>
        </w:tc>
        <w:tc>
          <w:tcPr>
            <w:tcW w:w="950" w:type="pct"/>
            <w:vAlign w:val="center"/>
          </w:tcPr>
          <w:p>
            <w:pPr>
              <w:pStyle w:val="34"/>
              <w:spacing w:before="120" w:after="120"/>
              <w:rPr>
                <w:rFonts w:ascii="宋体" w:hAnsi="宋体"/>
              </w:rPr>
            </w:pPr>
            <w:r>
              <w:rPr>
                <w:rFonts w:ascii="宋体" w:hAnsi="宋体"/>
              </w:rPr>
              <w:t>1次/月</w:t>
            </w:r>
          </w:p>
        </w:tc>
        <w:tc>
          <w:tcPr>
            <w:tcW w:w="1964" w:type="pct"/>
            <w:vAlign w:val="center"/>
          </w:tcPr>
          <w:p>
            <w:pPr>
              <w:pStyle w:val="34"/>
              <w:spacing w:before="120" w:after="120"/>
              <w:rPr>
                <w:rFonts w:ascii="宋体" w:hAnsi="宋体"/>
              </w:rPr>
            </w:pPr>
            <w:r>
              <w:rPr>
                <w:rFonts w:ascii="宋体" w:hAnsi="宋体"/>
              </w:rPr>
              <w:t>电位法GB/T15893.2-1995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right"/>
        </w:trPr>
        <w:tc>
          <w:tcPr>
            <w:tcW w:w="895" w:type="pct"/>
            <w:vAlign w:val="center"/>
          </w:tcPr>
          <w:p>
            <w:pPr>
              <w:pStyle w:val="34"/>
              <w:spacing w:before="120" w:after="120"/>
              <w:rPr>
                <w:rFonts w:ascii="宋体" w:hAnsi="宋体"/>
              </w:rPr>
            </w:pPr>
            <w:r>
              <w:rPr>
                <w:rFonts w:ascii="宋体" w:hAnsi="宋体"/>
              </w:rPr>
              <w:t>钢腐蚀率</w:t>
            </w:r>
          </w:p>
        </w:tc>
        <w:tc>
          <w:tcPr>
            <w:tcW w:w="1190" w:type="pct"/>
            <w:vAlign w:val="center"/>
          </w:tcPr>
          <w:p>
            <w:pPr>
              <w:pStyle w:val="34"/>
              <w:spacing w:before="120" w:after="120"/>
              <w:rPr>
                <w:rFonts w:ascii="宋体" w:hAnsi="宋体"/>
              </w:rPr>
            </w:pPr>
            <w:r>
              <w:rPr>
                <w:rFonts w:ascii="宋体" w:hAnsi="宋体"/>
              </w:rPr>
              <w:t>＜0.</w:t>
            </w:r>
            <w:r>
              <w:rPr>
                <w:rFonts w:hint="eastAsia" w:ascii="宋体" w:hAnsi="宋体"/>
              </w:rPr>
              <w:t>07</w:t>
            </w:r>
            <w:r>
              <w:rPr>
                <w:rFonts w:ascii="宋体" w:hAnsi="宋体"/>
              </w:rPr>
              <w:t>5mm/a</w:t>
            </w:r>
          </w:p>
        </w:tc>
        <w:tc>
          <w:tcPr>
            <w:tcW w:w="950" w:type="pct"/>
            <w:vAlign w:val="center"/>
          </w:tcPr>
          <w:p>
            <w:pPr>
              <w:pStyle w:val="34"/>
              <w:spacing w:before="120" w:after="120"/>
              <w:rPr>
                <w:rFonts w:ascii="宋体" w:hAnsi="宋体"/>
              </w:rPr>
            </w:pPr>
            <w:r>
              <w:rPr>
                <w:rFonts w:ascii="宋体" w:hAnsi="宋体"/>
              </w:rPr>
              <w:t>1次/季度</w:t>
            </w:r>
          </w:p>
        </w:tc>
        <w:tc>
          <w:tcPr>
            <w:tcW w:w="1964" w:type="pct"/>
            <w:vAlign w:val="center"/>
          </w:tcPr>
          <w:p>
            <w:pPr>
              <w:pStyle w:val="34"/>
              <w:spacing w:before="120" w:after="120"/>
              <w:rPr>
                <w:rFonts w:ascii="宋体" w:hAnsi="宋体"/>
              </w:rPr>
            </w:pPr>
            <w:r>
              <w:rPr>
                <w:rFonts w:ascii="宋体" w:hAnsi="宋体"/>
              </w:rPr>
              <w:t>旋转挂片法HG/T2159-91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right"/>
        </w:trPr>
        <w:tc>
          <w:tcPr>
            <w:tcW w:w="895" w:type="pct"/>
            <w:vAlign w:val="center"/>
          </w:tcPr>
          <w:p>
            <w:pPr>
              <w:pStyle w:val="34"/>
              <w:spacing w:before="120" w:after="120"/>
              <w:rPr>
                <w:rFonts w:ascii="宋体" w:hAnsi="宋体"/>
              </w:rPr>
            </w:pPr>
            <w:r>
              <w:rPr>
                <w:rFonts w:ascii="宋体" w:hAnsi="宋体"/>
              </w:rPr>
              <w:t>铜腐蚀率</w:t>
            </w:r>
          </w:p>
        </w:tc>
        <w:tc>
          <w:tcPr>
            <w:tcW w:w="1190" w:type="pct"/>
            <w:vAlign w:val="center"/>
          </w:tcPr>
          <w:p>
            <w:pPr>
              <w:pStyle w:val="34"/>
              <w:spacing w:before="120" w:after="120"/>
              <w:rPr>
                <w:rFonts w:ascii="宋体" w:hAnsi="宋体"/>
              </w:rPr>
            </w:pPr>
            <w:r>
              <w:rPr>
                <w:rFonts w:ascii="宋体" w:hAnsi="宋体"/>
              </w:rPr>
              <w:t>＜0.005mm/a</w:t>
            </w:r>
          </w:p>
        </w:tc>
        <w:tc>
          <w:tcPr>
            <w:tcW w:w="950" w:type="pct"/>
            <w:vAlign w:val="center"/>
          </w:tcPr>
          <w:p>
            <w:pPr>
              <w:pStyle w:val="34"/>
              <w:spacing w:before="120" w:after="120"/>
              <w:rPr>
                <w:rFonts w:ascii="宋体" w:hAnsi="宋体"/>
              </w:rPr>
            </w:pPr>
            <w:r>
              <w:rPr>
                <w:rFonts w:ascii="宋体" w:hAnsi="宋体"/>
              </w:rPr>
              <w:t>1次/季度</w:t>
            </w:r>
          </w:p>
        </w:tc>
        <w:tc>
          <w:tcPr>
            <w:tcW w:w="1964" w:type="pct"/>
            <w:vAlign w:val="center"/>
          </w:tcPr>
          <w:p>
            <w:pPr>
              <w:pStyle w:val="34"/>
              <w:spacing w:before="120" w:after="120"/>
              <w:rPr>
                <w:rFonts w:ascii="宋体" w:hAnsi="宋体"/>
              </w:rPr>
            </w:pPr>
            <w:r>
              <w:rPr>
                <w:rFonts w:ascii="宋体" w:hAnsi="宋体"/>
              </w:rPr>
              <w:t>旋转挂片法HG/T2159-91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right"/>
        </w:trPr>
        <w:tc>
          <w:tcPr>
            <w:tcW w:w="895" w:type="pct"/>
            <w:vAlign w:val="center"/>
          </w:tcPr>
          <w:p>
            <w:pPr>
              <w:pStyle w:val="34"/>
              <w:spacing w:before="120" w:after="120"/>
              <w:rPr>
                <w:rFonts w:ascii="宋体" w:hAnsi="宋体"/>
              </w:rPr>
            </w:pPr>
            <w:r>
              <w:rPr>
                <w:rFonts w:ascii="宋体" w:hAnsi="宋体"/>
              </w:rPr>
              <w:t>细菌总数</w:t>
            </w:r>
          </w:p>
        </w:tc>
        <w:tc>
          <w:tcPr>
            <w:tcW w:w="1190" w:type="pct"/>
            <w:vAlign w:val="center"/>
          </w:tcPr>
          <w:p>
            <w:pPr>
              <w:pStyle w:val="34"/>
              <w:spacing w:before="120" w:after="120"/>
              <w:rPr>
                <w:rFonts w:ascii="宋体" w:hAnsi="宋体"/>
              </w:rPr>
            </w:pPr>
            <w:r>
              <w:rPr>
                <w:rFonts w:hint="eastAsia" w:ascii="宋体" w:hAnsi="宋体"/>
              </w:rPr>
              <w:t>≤</w:t>
            </w:r>
            <w:r>
              <w:rPr>
                <w:rFonts w:ascii="宋体" w:hAnsi="宋体"/>
              </w:rPr>
              <w:t>10</w:t>
            </w:r>
            <w:r>
              <w:rPr>
                <w:rFonts w:ascii="宋体" w:hAnsi="宋体"/>
                <w:szCs w:val="18"/>
                <w:vertAlign w:val="superscript"/>
              </w:rPr>
              <w:t>5</w:t>
            </w:r>
            <w:r>
              <w:rPr>
                <w:rFonts w:ascii="宋体" w:hAnsi="宋体"/>
              </w:rPr>
              <w:t>个/mL</w:t>
            </w:r>
          </w:p>
        </w:tc>
        <w:tc>
          <w:tcPr>
            <w:tcW w:w="950" w:type="pct"/>
            <w:vAlign w:val="center"/>
          </w:tcPr>
          <w:p>
            <w:pPr>
              <w:pStyle w:val="34"/>
              <w:spacing w:before="120" w:after="120"/>
              <w:rPr>
                <w:rFonts w:ascii="宋体" w:hAnsi="宋体"/>
              </w:rPr>
            </w:pPr>
            <w:r>
              <w:rPr>
                <w:rFonts w:ascii="宋体" w:hAnsi="宋体"/>
              </w:rPr>
              <w:t>1次/季度</w:t>
            </w:r>
          </w:p>
        </w:tc>
        <w:tc>
          <w:tcPr>
            <w:tcW w:w="1964" w:type="pct"/>
            <w:vAlign w:val="center"/>
          </w:tcPr>
          <w:p>
            <w:pPr>
              <w:pStyle w:val="34"/>
              <w:spacing w:before="120" w:after="120"/>
              <w:rPr>
                <w:rFonts w:ascii="宋体" w:hAnsi="宋体"/>
              </w:rPr>
            </w:pPr>
            <w:r>
              <w:rPr>
                <w:rFonts w:ascii="宋体" w:hAnsi="宋体"/>
              </w:rPr>
              <w:t>平皿计数法GB/T5750-85</w:t>
            </w:r>
          </w:p>
        </w:tc>
      </w:tr>
    </w:tbl>
    <w:p>
      <w:pPr>
        <w:spacing w:line="500" w:lineRule="exact"/>
        <w:rPr>
          <w:rFonts w:ascii="宋体" w:hAnsi="宋体"/>
          <w:b/>
          <w:sz w:val="24"/>
        </w:rPr>
      </w:pPr>
      <w:bookmarkStart w:id="268" w:name="_Toc98637533"/>
      <w:bookmarkStart w:id="269" w:name="_Toc272417830"/>
    </w:p>
    <w:p>
      <w:pPr>
        <w:spacing w:line="500" w:lineRule="exact"/>
        <w:rPr>
          <w:rFonts w:ascii="宋体" w:hAnsi="宋体"/>
          <w:b/>
          <w:sz w:val="24"/>
        </w:rPr>
      </w:pPr>
      <w:r>
        <w:rPr>
          <w:rFonts w:hint="eastAsia" w:ascii="宋体" w:hAnsi="宋体"/>
          <w:b/>
          <w:sz w:val="24"/>
        </w:rPr>
        <w:t>（五）、</w:t>
      </w:r>
      <w:r>
        <w:rPr>
          <w:rFonts w:ascii="宋体" w:hAnsi="宋体"/>
          <w:b/>
          <w:sz w:val="24"/>
        </w:rPr>
        <w:t>冷冻系统水处理</w:t>
      </w:r>
      <w:r>
        <w:rPr>
          <w:rFonts w:hint="eastAsia" w:ascii="宋体" w:hAnsi="宋体"/>
          <w:b/>
          <w:sz w:val="24"/>
        </w:rPr>
        <w:t>工作</w:t>
      </w:r>
      <w:r>
        <w:rPr>
          <w:rFonts w:ascii="宋体" w:hAnsi="宋体"/>
          <w:b/>
          <w:sz w:val="24"/>
        </w:rPr>
        <w:t>方案</w:t>
      </w:r>
      <w:bookmarkEnd w:id="268"/>
      <w:bookmarkEnd w:id="269"/>
      <w:r>
        <w:rPr>
          <w:rFonts w:ascii="宋体" w:hAnsi="宋体"/>
          <w:b/>
          <w:sz w:val="24"/>
        </w:rPr>
        <w:t xml:space="preserve"> </w:t>
      </w:r>
    </w:p>
    <w:p>
      <w:pPr>
        <w:spacing w:line="500" w:lineRule="exact"/>
        <w:jc w:val="left"/>
        <w:rPr>
          <w:rFonts w:ascii="宋体" w:hAnsi="宋体" w:cs="Arial"/>
          <w:b/>
          <w:kern w:val="0"/>
          <w:sz w:val="24"/>
        </w:rPr>
      </w:pPr>
      <w:bookmarkStart w:id="270" w:name="_Toc98637534"/>
      <w:r>
        <w:rPr>
          <w:rFonts w:ascii="宋体" w:hAnsi="宋体" w:cs="Arial"/>
          <w:b/>
          <w:kern w:val="0"/>
          <w:sz w:val="24"/>
        </w:rPr>
        <w:t>1、全系统清洗</w:t>
      </w:r>
      <w:bookmarkEnd w:id="270"/>
    </w:p>
    <w:p>
      <w:pPr>
        <w:spacing w:line="460" w:lineRule="exact"/>
        <w:ind w:firstLine="420"/>
        <w:rPr>
          <w:rFonts w:ascii="宋体" w:hAnsi="宋体" w:cs="Arial"/>
        </w:rPr>
      </w:pPr>
      <w:r>
        <w:rPr>
          <w:rFonts w:ascii="宋体" w:hAnsi="宋体" w:cs="Arial"/>
        </w:rPr>
        <w:t>目的：采用化学清洗方法，清除系统内积存的粘泥、油污、锈垢等沉积物，然后通过投加高浓度密闭系统缓蚀剂，使设备和管道金属材料表面形成分子保护膜，从而达到缓蚀防腐蚀作用。</w:t>
      </w:r>
    </w:p>
    <w:p>
      <w:pPr>
        <w:spacing w:line="460" w:lineRule="exact"/>
        <w:ind w:firstLine="420"/>
        <w:rPr>
          <w:rFonts w:ascii="宋体" w:hAnsi="宋体" w:cs="Arial"/>
        </w:rPr>
      </w:pPr>
      <w:r>
        <w:rPr>
          <w:rFonts w:ascii="宋体" w:hAnsi="宋体" w:cs="Arial"/>
        </w:rPr>
        <w:t>工作步骤：</w:t>
      </w:r>
    </w:p>
    <w:p>
      <w:pPr>
        <w:spacing w:line="460" w:lineRule="exact"/>
        <w:ind w:firstLine="420"/>
        <w:rPr>
          <w:rFonts w:ascii="宋体" w:hAnsi="宋体" w:cs="Arial"/>
        </w:rPr>
      </w:pPr>
      <w:r>
        <w:rPr>
          <w:rFonts w:hint="eastAsia" w:ascii="宋体" w:hAnsi="宋体" w:cs="Arial"/>
        </w:rPr>
        <w:t>1.1</w:t>
      </w:r>
      <w:r>
        <w:rPr>
          <w:rFonts w:ascii="宋体" w:hAnsi="宋体" w:cs="Arial"/>
        </w:rPr>
        <w:t>．仔细查看管路走向，检查补水、排污及各阀门方向是否正常，排气阀位置等，记录运行数据，做好进场准备。</w:t>
      </w:r>
    </w:p>
    <w:p>
      <w:pPr>
        <w:spacing w:line="460" w:lineRule="exact"/>
        <w:ind w:firstLine="420"/>
        <w:rPr>
          <w:rFonts w:ascii="宋体" w:hAnsi="宋体" w:cs="Arial"/>
        </w:rPr>
      </w:pPr>
      <w:r>
        <w:rPr>
          <w:rFonts w:hint="eastAsia" w:ascii="宋体" w:hAnsi="宋体" w:cs="Arial"/>
        </w:rPr>
        <w:t>1.2</w:t>
      </w:r>
      <w:r>
        <w:rPr>
          <w:rFonts w:ascii="宋体" w:hAnsi="宋体" w:cs="Arial"/>
        </w:rPr>
        <w:t>．人工清洗膨胀补水箱；</w:t>
      </w:r>
    </w:p>
    <w:p>
      <w:pPr>
        <w:spacing w:line="460" w:lineRule="exact"/>
        <w:ind w:firstLine="420"/>
        <w:rPr>
          <w:rFonts w:ascii="宋体" w:hAnsi="宋体" w:cs="Arial"/>
        </w:rPr>
      </w:pPr>
      <w:r>
        <w:rPr>
          <w:rFonts w:hint="eastAsia" w:ascii="宋体" w:hAnsi="宋体" w:cs="Arial"/>
        </w:rPr>
        <w:t>1.3</w:t>
      </w:r>
      <w:r>
        <w:rPr>
          <w:rFonts w:ascii="宋体" w:hAnsi="宋体" w:cs="Arial"/>
        </w:rPr>
        <w:t xml:space="preserve">．于膨胀补水箱投加杀菌剥离剂，投药后循环16～24小时，将系统管道内的生物污泥彻底剥离； </w:t>
      </w:r>
    </w:p>
    <w:p>
      <w:pPr>
        <w:spacing w:line="460" w:lineRule="exact"/>
        <w:ind w:firstLine="420"/>
        <w:rPr>
          <w:rFonts w:ascii="宋体" w:hAnsi="宋体" w:cs="Arial"/>
        </w:rPr>
      </w:pPr>
      <w:r>
        <w:rPr>
          <w:rFonts w:hint="eastAsia" w:ascii="宋体" w:hAnsi="宋体" w:cs="Arial"/>
        </w:rPr>
        <w:t>1.4</w:t>
      </w:r>
      <w:r>
        <w:rPr>
          <w:rFonts w:ascii="宋体" w:hAnsi="宋体" w:cs="Arial"/>
        </w:rPr>
        <w:t>．投加渗透剥离清洗剂，循环10～24小时后</w:t>
      </w:r>
      <w:r>
        <w:rPr>
          <w:rFonts w:hint="eastAsia" w:ascii="宋体" w:hAnsi="宋体" w:cs="Arial"/>
        </w:rPr>
        <w:t>，</w:t>
      </w:r>
      <w:r>
        <w:rPr>
          <w:rFonts w:ascii="宋体" w:hAnsi="宋体" w:cs="Arial"/>
        </w:rPr>
        <w:t>将系统管道内壁的浮锈油污渗透剥离；</w:t>
      </w:r>
    </w:p>
    <w:p>
      <w:pPr>
        <w:spacing w:line="460" w:lineRule="exact"/>
        <w:ind w:firstLine="420"/>
        <w:rPr>
          <w:rFonts w:ascii="宋体" w:hAnsi="宋体" w:cs="Arial"/>
        </w:rPr>
      </w:pPr>
      <w:r>
        <w:rPr>
          <w:rFonts w:ascii="宋体" w:hAnsi="宋体" w:cs="Arial"/>
        </w:rPr>
        <w:t>注意：清洗过程应开通所有表冷器及风机盘管的电磁阀，以便清洗液流经所有管路系统，尽量开启所有冷冻水泵（除备用泵以外），增大循环量，提高清洗效率。</w:t>
      </w:r>
    </w:p>
    <w:p>
      <w:pPr>
        <w:spacing w:line="460" w:lineRule="exact"/>
        <w:ind w:firstLine="420"/>
        <w:rPr>
          <w:rFonts w:ascii="宋体" w:hAnsi="宋体" w:cs="Arial"/>
        </w:rPr>
      </w:pPr>
      <w:r>
        <w:rPr>
          <w:rFonts w:hint="eastAsia" w:ascii="宋体" w:hAnsi="宋体" w:cs="Arial"/>
        </w:rPr>
        <w:t>1.5</w:t>
      </w:r>
      <w:r>
        <w:rPr>
          <w:rFonts w:ascii="宋体" w:hAnsi="宋体" w:cs="Arial"/>
        </w:rPr>
        <w:t>．当系统中的浊度、铁、铜等指标达到平衡值时，停泵，在系统管道最低点打开排污阀，排放所有清洗液；如果系统末梢设备--风柜（表冷器）有排污条件的，则也应进行逐台排放清洗液；</w:t>
      </w:r>
    </w:p>
    <w:p>
      <w:pPr>
        <w:spacing w:line="460" w:lineRule="exact"/>
        <w:ind w:firstLine="420"/>
        <w:rPr>
          <w:rFonts w:ascii="宋体" w:hAnsi="宋体" w:cs="Arial"/>
        </w:rPr>
      </w:pPr>
      <w:r>
        <w:rPr>
          <w:rFonts w:hint="eastAsia" w:ascii="宋体" w:hAnsi="宋体" w:cs="Arial"/>
        </w:rPr>
        <w:t>1.6</w:t>
      </w:r>
      <w:r>
        <w:rPr>
          <w:rFonts w:ascii="宋体" w:hAnsi="宋体" w:cs="Arial"/>
        </w:rPr>
        <w:t>．拆开Y型过滤器，清除滤网上的锈渣、焊渣和泥垢等固体污杂物，清洗毕使其复原；</w:t>
      </w:r>
    </w:p>
    <w:p>
      <w:pPr>
        <w:spacing w:line="460" w:lineRule="exact"/>
        <w:ind w:firstLine="420"/>
        <w:rPr>
          <w:rFonts w:ascii="宋体" w:hAnsi="宋体" w:cs="Arial"/>
        </w:rPr>
      </w:pPr>
      <w:r>
        <w:rPr>
          <w:rFonts w:hint="eastAsia" w:ascii="宋体" w:hAnsi="宋体" w:cs="Arial"/>
        </w:rPr>
        <w:t>1.7</w:t>
      </w:r>
      <w:r>
        <w:rPr>
          <w:rFonts w:ascii="宋体" w:hAnsi="宋体" w:cs="Arial"/>
        </w:rPr>
        <w:t>．重新注水，注意排去管道中的空气，若自动排气阀失灵则采取手动排气，水满后开泵循环2小时、排水冲洗、如此重复操作多次至系统水澄清透明为止；</w:t>
      </w:r>
    </w:p>
    <w:p>
      <w:pPr>
        <w:spacing w:line="460" w:lineRule="exact"/>
        <w:ind w:firstLine="420"/>
        <w:rPr>
          <w:rFonts w:ascii="宋体" w:hAnsi="宋体" w:cs="Arial"/>
        </w:rPr>
      </w:pPr>
      <w:r>
        <w:rPr>
          <w:rFonts w:hint="eastAsia" w:ascii="宋体" w:hAnsi="宋体" w:cs="Arial"/>
        </w:rPr>
        <w:t>1.8</w:t>
      </w:r>
      <w:r>
        <w:rPr>
          <w:rFonts w:ascii="宋体" w:hAnsi="宋体" w:cs="Arial"/>
        </w:rPr>
        <w:t>．不能停机的系统则可采取循环排水（边排边补）的方法置换清洗液。</w:t>
      </w:r>
    </w:p>
    <w:p>
      <w:pPr>
        <w:pStyle w:val="36"/>
        <w:spacing w:line="460" w:lineRule="exact"/>
        <w:ind w:firstLine="480"/>
        <w:rPr>
          <w:rFonts w:ascii="宋体" w:hAnsi="宋体" w:cs="Arial"/>
          <w:bCs/>
          <w:sz w:val="24"/>
        </w:rPr>
      </w:pPr>
      <w:r>
        <w:rPr>
          <w:rFonts w:ascii="宋体" w:hAnsi="宋体" w:cs="Arial"/>
          <w:bCs/>
          <w:sz w:val="24"/>
        </w:rPr>
        <w:t>切记补水大于排水，避免空气进入管道系统</w:t>
      </w:r>
      <w:r>
        <w:rPr>
          <w:rFonts w:hint="eastAsia" w:ascii="宋体" w:hAnsi="宋体" w:cs="Arial"/>
          <w:bCs/>
          <w:sz w:val="24"/>
        </w:rPr>
        <w:t>。</w:t>
      </w:r>
    </w:p>
    <w:p>
      <w:pPr>
        <w:spacing w:line="460" w:lineRule="exact"/>
        <w:ind w:firstLine="420"/>
        <w:rPr>
          <w:rFonts w:ascii="宋体" w:hAnsi="宋体" w:cs="Arial"/>
        </w:rPr>
      </w:pPr>
      <w:r>
        <w:rPr>
          <w:rFonts w:hint="eastAsia" w:ascii="宋体" w:hAnsi="宋体" w:cs="Arial"/>
        </w:rPr>
        <w:t>1.9</w:t>
      </w:r>
      <w:r>
        <w:rPr>
          <w:rFonts w:ascii="宋体" w:hAnsi="宋体" w:cs="Arial"/>
        </w:rPr>
        <w:t>．缓蚀处理：清洗完毕，于膨胀水箱中投加长效缓蚀剂（适用于密闭系统），于管道最低点排放部分冷冻水。当药液进入管道系统后，关闭排污阀，开泵循环3小时，使药物均匀分布全系统，抽取水样检测药剂浓度（粗测：pH值达9以上）。药剂浓度达到指标要求后，系统进入正常开机运行状态，冷冻水系统不再排水。</w:t>
      </w:r>
    </w:p>
    <w:p>
      <w:pPr>
        <w:pStyle w:val="36"/>
        <w:spacing w:line="460" w:lineRule="exact"/>
        <w:ind w:firstLine="480"/>
        <w:rPr>
          <w:rFonts w:ascii="宋体" w:hAnsi="宋体" w:cs="Arial"/>
          <w:bCs/>
          <w:sz w:val="24"/>
        </w:rPr>
      </w:pPr>
      <w:r>
        <w:rPr>
          <w:rFonts w:ascii="宋体" w:hAnsi="宋体" w:cs="Arial"/>
          <w:bCs/>
          <w:sz w:val="24"/>
        </w:rPr>
        <w:t>注意：投加缓蚀剂后，如果管道系统没有泄漏（水泵无不正常滴漏），药剂的缓蚀效果一年内有效。</w:t>
      </w:r>
    </w:p>
    <w:p>
      <w:pPr>
        <w:spacing w:line="460" w:lineRule="exact"/>
        <w:jc w:val="left"/>
        <w:rPr>
          <w:rFonts w:ascii="宋体" w:hAnsi="宋体" w:cs="Arial"/>
          <w:b/>
          <w:kern w:val="0"/>
          <w:sz w:val="24"/>
        </w:rPr>
      </w:pPr>
      <w:bookmarkStart w:id="271" w:name="_Toc98637535"/>
      <w:r>
        <w:rPr>
          <w:rFonts w:ascii="宋体" w:hAnsi="宋体" w:cs="Arial"/>
          <w:b/>
          <w:kern w:val="0"/>
          <w:sz w:val="24"/>
        </w:rPr>
        <w:t>2、日常水处理运行管理</w:t>
      </w:r>
      <w:bookmarkEnd w:id="271"/>
    </w:p>
    <w:p>
      <w:pPr>
        <w:spacing w:line="460" w:lineRule="exact"/>
        <w:ind w:firstLine="420"/>
        <w:rPr>
          <w:rFonts w:ascii="宋体" w:hAnsi="宋体" w:cs="Arial"/>
        </w:rPr>
      </w:pPr>
      <w:r>
        <w:rPr>
          <w:rFonts w:hint="eastAsia" w:ascii="宋体" w:hAnsi="宋体" w:cs="Arial"/>
        </w:rPr>
        <w:t>2.</w:t>
      </w:r>
      <w:r>
        <w:rPr>
          <w:rFonts w:ascii="宋体" w:hAnsi="宋体" w:cs="Arial"/>
        </w:rPr>
        <w:t>1．每月取水样测pH值</w:t>
      </w:r>
      <w:r>
        <w:rPr>
          <w:rFonts w:hint="eastAsia" w:ascii="宋体" w:hAnsi="宋体" w:cs="Arial"/>
        </w:rPr>
        <w:t>、</w:t>
      </w:r>
      <w:r>
        <w:rPr>
          <w:rFonts w:ascii="宋体" w:hAnsi="宋体"/>
        </w:rPr>
        <w:t>钢腐蚀率</w:t>
      </w:r>
      <w:r>
        <w:rPr>
          <w:rFonts w:hint="eastAsia" w:ascii="宋体" w:hAnsi="宋体" w:cs="Arial"/>
        </w:rPr>
        <w:t>、</w:t>
      </w:r>
      <w:r>
        <w:rPr>
          <w:rFonts w:hint="eastAsia" w:ascii="宋体" w:hAnsi="宋体"/>
        </w:rPr>
        <w:t>铜</w:t>
      </w:r>
      <w:r>
        <w:rPr>
          <w:rFonts w:ascii="宋体" w:hAnsi="宋体"/>
        </w:rPr>
        <w:t>腐蚀率</w:t>
      </w:r>
      <w:r>
        <w:rPr>
          <w:rFonts w:hint="eastAsia" w:ascii="宋体" w:hAnsi="宋体" w:cs="Arial"/>
        </w:rPr>
        <w:t>、</w:t>
      </w:r>
      <w:r>
        <w:rPr>
          <w:rFonts w:ascii="宋体" w:hAnsi="宋体" w:cs="Arial"/>
        </w:rPr>
        <w:t>细菌总数等指标。</w:t>
      </w:r>
    </w:p>
    <w:p>
      <w:pPr>
        <w:spacing w:line="460" w:lineRule="exact"/>
        <w:ind w:firstLine="420"/>
        <w:rPr>
          <w:rFonts w:ascii="宋体" w:hAnsi="宋体" w:cs="Arial"/>
        </w:rPr>
      </w:pPr>
      <w:r>
        <w:rPr>
          <w:rFonts w:hint="eastAsia" w:ascii="宋体" w:hAnsi="宋体" w:cs="Arial"/>
        </w:rPr>
        <w:t>2.2</w:t>
      </w:r>
      <w:r>
        <w:rPr>
          <w:rFonts w:ascii="宋体" w:hAnsi="宋体" w:cs="Arial"/>
        </w:rPr>
        <w:t>．根据细菌总数测试结果，每</w:t>
      </w:r>
      <w:r>
        <w:rPr>
          <w:rFonts w:hint="eastAsia" w:ascii="宋体" w:hAnsi="宋体" w:cs="Arial"/>
        </w:rPr>
        <w:t>季度</w:t>
      </w:r>
      <w:r>
        <w:rPr>
          <w:rFonts w:ascii="宋体" w:hAnsi="宋体" w:cs="Arial"/>
        </w:rPr>
        <w:t>交替投加杀菌剂，控制细菌繁殖拟减少系统支管末梢发生堵塞现象</w:t>
      </w:r>
    </w:p>
    <w:p>
      <w:pPr>
        <w:spacing w:line="460" w:lineRule="exact"/>
        <w:jc w:val="left"/>
        <w:rPr>
          <w:rFonts w:ascii="宋体" w:hAnsi="宋体" w:cs="Arial"/>
          <w:b/>
          <w:kern w:val="0"/>
          <w:sz w:val="24"/>
        </w:rPr>
      </w:pPr>
      <w:bookmarkStart w:id="272" w:name="_Toc98637536"/>
      <w:r>
        <w:rPr>
          <w:rFonts w:ascii="宋体" w:hAnsi="宋体" w:cs="Arial"/>
          <w:b/>
          <w:kern w:val="0"/>
          <w:sz w:val="24"/>
        </w:rPr>
        <w:t>3、安全事项</w:t>
      </w:r>
      <w:bookmarkEnd w:id="272"/>
    </w:p>
    <w:p>
      <w:pPr>
        <w:spacing w:line="460" w:lineRule="exact"/>
        <w:ind w:firstLine="420"/>
        <w:rPr>
          <w:rFonts w:ascii="宋体" w:hAnsi="宋体" w:cs="Arial"/>
        </w:rPr>
      </w:pPr>
      <w:r>
        <w:rPr>
          <w:rFonts w:hint="eastAsia" w:ascii="宋体" w:hAnsi="宋体" w:cs="Arial"/>
        </w:rPr>
        <w:t>3.</w:t>
      </w:r>
      <w:r>
        <w:rPr>
          <w:rFonts w:ascii="宋体" w:hAnsi="宋体" w:cs="Arial"/>
        </w:rPr>
        <w:t>1．经加药处理的冷冻水，不得用作饮用水，不宜作淋浴等生活用水。</w:t>
      </w:r>
    </w:p>
    <w:p>
      <w:pPr>
        <w:spacing w:line="460" w:lineRule="exact"/>
        <w:ind w:firstLine="420"/>
        <w:rPr>
          <w:rFonts w:ascii="宋体" w:hAnsi="宋体" w:cs="Arial"/>
        </w:rPr>
      </w:pPr>
      <w:r>
        <w:rPr>
          <w:rFonts w:hint="eastAsia" w:ascii="宋体" w:hAnsi="宋体" w:cs="Arial"/>
        </w:rPr>
        <w:t>3.</w:t>
      </w:r>
      <w:r>
        <w:rPr>
          <w:rFonts w:ascii="宋体" w:hAnsi="宋体" w:cs="Arial"/>
        </w:rPr>
        <w:t>2．水处理剂均为化学药剂，使用时宜戴防护手套，防止触及皮肤和眼睛，一旦触及，应用清水迅速充分冲洗，必要时就医。水处理用化学品包装桶不宜作他用</w:t>
      </w:r>
      <w:r>
        <w:rPr>
          <w:rFonts w:hint="eastAsia" w:ascii="宋体" w:hAnsi="宋体" w:cs="Arial"/>
        </w:rPr>
        <w:t>。</w:t>
      </w:r>
    </w:p>
    <w:p>
      <w:pPr>
        <w:pStyle w:val="2"/>
      </w:pPr>
    </w:p>
    <w:p/>
    <w:p>
      <w:pPr>
        <w:pStyle w:val="2"/>
      </w:pPr>
    </w:p>
    <w:p/>
    <w:p>
      <w:pPr>
        <w:pStyle w:val="2"/>
      </w:pPr>
    </w:p>
    <w:p>
      <w:pPr>
        <w:ind w:firstLine="1928" w:firstLineChars="600"/>
        <w:rPr>
          <w:rFonts w:ascii="宋体" w:hAnsi="宋体" w:cs="宋体"/>
          <w:b/>
          <w:sz w:val="32"/>
          <w:szCs w:val="32"/>
        </w:rPr>
      </w:pPr>
      <w:r>
        <w:rPr>
          <w:rFonts w:hint="eastAsia" w:ascii="宋体" w:hAnsi="宋体" w:cs="宋体"/>
          <w:b/>
          <w:sz w:val="32"/>
          <w:szCs w:val="32"/>
        </w:rPr>
        <w:t>附件三、空调水处理月考核评分表</w:t>
      </w:r>
    </w:p>
    <w:p>
      <w:pPr>
        <w:spacing w:before="160"/>
        <w:ind w:left="456"/>
        <w:jc w:val="center"/>
        <w:rPr>
          <w:rFonts w:ascii="宋体" w:hAnsi="宋体" w:cs="宋体"/>
          <w:b/>
          <w:bCs/>
          <w:sz w:val="24"/>
        </w:rPr>
      </w:pPr>
      <w:r>
        <w:rPr>
          <w:rFonts w:ascii="宋体" w:hAnsi="宋体" w:cs="宋体"/>
          <w:b/>
          <w:bCs/>
          <w:sz w:val="24"/>
        </w:rPr>
        <w:t>空调水处理月考核评分表</w:t>
      </w:r>
      <w:bookmarkStart w:id="273" w:name="_Hlk101970141"/>
    </w:p>
    <w:bookmarkEnd w:id="273"/>
    <w:p>
      <w:pPr>
        <w:spacing w:before="160"/>
        <w:ind w:left="456"/>
        <w:jc w:val="center"/>
        <w:rPr>
          <w:rFonts w:ascii="宋体" w:hAnsi="宋体" w:cs="宋体"/>
          <w:b/>
          <w:bCs/>
          <w:sz w:val="24"/>
        </w:rPr>
      </w:pPr>
    </w:p>
    <w:p>
      <w:pPr>
        <w:spacing w:before="59" w:line="285" w:lineRule="auto"/>
        <w:ind w:left="456" w:right="105"/>
        <w:rPr>
          <w:rFonts w:ascii="宋体" w:hAnsi="宋体" w:cs="宋体"/>
          <w:sz w:val="20"/>
          <w:szCs w:val="20"/>
        </w:rPr>
      </w:pPr>
      <w:r>
        <w:rPr>
          <w:rFonts w:ascii="宋体" w:hAnsi="宋体" w:cs="宋体"/>
          <w:sz w:val="20"/>
          <w:szCs w:val="20"/>
        </w:rPr>
        <w:t>1.每月月底需提交盖公司章</w:t>
      </w:r>
      <w:r>
        <w:rPr>
          <w:rFonts w:ascii="宋体" w:hAnsi="宋体" w:cs="宋体"/>
          <w:spacing w:val="-77"/>
          <w:sz w:val="20"/>
          <w:szCs w:val="20"/>
        </w:rPr>
        <w:t xml:space="preserve"> </w:t>
      </w:r>
      <w:r>
        <w:rPr>
          <w:rFonts w:ascii="宋体" w:hAnsi="宋体" w:cs="宋体"/>
          <w:sz w:val="20"/>
          <w:szCs w:val="20"/>
        </w:rPr>
        <w:t>KPI</w:t>
      </w:r>
      <w:r>
        <w:rPr>
          <w:rFonts w:ascii="宋体" w:hAnsi="宋体" w:cs="宋体"/>
          <w:spacing w:val="-78"/>
          <w:sz w:val="20"/>
          <w:szCs w:val="20"/>
        </w:rPr>
        <w:t xml:space="preserve"> </w:t>
      </w:r>
      <w:r>
        <w:rPr>
          <w:rFonts w:ascii="宋体" w:hAnsi="宋体" w:cs="宋体"/>
          <w:sz w:val="20"/>
          <w:szCs w:val="20"/>
        </w:rPr>
        <w:t>考评表至甲方工程师与负责人进行考评，考评完进行复印保存，</w:t>
      </w:r>
      <w:bookmarkStart w:id="274" w:name="_Hlk101970902"/>
      <w:r>
        <w:rPr>
          <w:rFonts w:ascii="宋体" w:hAnsi="宋体" w:cs="宋体"/>
          <w:sz w:val="20"/>
          <w:szCs w:val="20"/>
        </w:rPr>
        <w:t>季度申付费用依</w:t>
      </w:r>
      <w:r>
        <w:rPr>
          <w:rFonts w:ascii="宋体" w:hAnsi="宋体" w:cs="宋体"/>
          <w:spacing w:val="-52"/>
          <w:sz w:val="20"/>
          <w:szCs w:val="20"/>
        </w:rPr>
        <w:t xml:space="preserve"> </w:t>
      </w:r>
      <w:r>
        <w:rPr>
          <w:rFonts w:ascii="宋体" w:hAnsi="宋体" w:cs="宋体"/>
          <w:sz w:val="20"/>
          <w:szCs w:val="20"/>
        </w:rPr>
        <w:t>3</w:t>
      </w:r>
      <w:r>
        <w:rPr>
          <w:rFonts w:ascii="宋体" w:hAnsi="宋体" w:cs="宋体"/>
          <w:spacing w:val="-51"/>
          <w:sz w:val="20"/>
          <w:szCs w:val="20"/>
        </w:rPr>
        <w:t xml:space="preserve"> </w:t>
      </w:r>
      <w:r>
        <w:rPr>
          <w:rFonts w:ascii="宋体" w:hAnsi="宋体" w:cs="宋体"/>
          <w:sz w:val="20"/>
          <w:szCs w:val="20"/>
        </w:rPr>
        <w:t>个月</w:t>
      </w:r>
      <w:r>
        <w:rPr>
          <w:rFonts w:ascii="宋体" w:hAnsi="宋体" w:cs="宋体"/>
          <w:spacing w:val="-52"/>
          <w:sz w:val="20"/>
          <w:szCs w:val="20"/>
        </w:rPr>
        <w:t xml:space="preserve"> </w:t>
      </w:r>
      <w:r>
        <w:rPr>
          <w:rFonts w:ascii="宋体" w:hAnsi="宋体" w:cs="宋体"/>
          <w:sz w:val="20"/>
          <w:szCs w:val="20"/>
        </w:rPr>
        <w:t>KPI</w:t>
      </w:r>
      <w:r>
        <w:rPr>
          <w:rFonts w:ascii="宋体" w:hAnsi="宋体" w:cs="宋体"/>
          <w:spacing w:val="-53"/>
          <w:sz w:val="20"/>
          <w:szCs w:val="20"/>
        </w:rPr>
        <w:t xml:space="preserve"> </w:t>
      </w:r>
      <w:r>
        <w:rPr>
          <w:rFonts w:ascii="宋体" w:hAnsi="宋体" w:cs="宋体"/>
          <w:sz w:val="20"/>
          <w:szCs w:val="20"/>
        </w:rPr>
        <w:t>考核表计算</w:t>
      </w:r>
      <w:bookmarkEnd w:id="274"/>
      <w:r>
        <w:rPr>
          <w:rFonts w:ascii="宋体" w:hAnsi="宋体" w:cs="宋体"/>
          <w:sz w:val="20"/>
          <w:szCs w:val="20"/>
        </w:rPr>
        <w:t>；</w:t>
      </w:r>
    </w:p>
    <w:p>
      <w:pPr>
        <w:spacing w:before="12"/>
        <w:ind w:left="456" w:right="105"/>
        <w:rPr>
          <w:rFonts w:ascii="宋体" w:hAnsi="宋体" w:cs="宋体"/>
          <w:color w:val="auto"/>
          <w:sz w:val="20"/>
          <w:szCs w:val="20"/>
        </w:rPr>
      </w:pPr>
      <w:r>
        <w:rPr>
          <w:rFonts w:ascii="宋体" w:hAnsi="宋体" w:cs="宋体"/>
          <w:sz w:val="20"/>
          <w:szCs w:val="20"/>
        </w:rPr>
        <w:t>2.每月</w:t>
      </w:r>
      <w:r>
        <w:rPr>
          <w:rFonts w:ascii="宋体" w:hAnsi="宋体" w:cs="宋体"/>
          <w:spacing w:val="-53"/>
          <w:sz w:val="20"/>
          <w:szCs w:val="20"/>
        </w:rPr>
        <w:t xml:space="preserve"> </w:t>
      </w:r>
      <w:r>
        <w:rPr>
          <w:rFonts w:ascii="宋体" w:hAnsi="宋体" w:cs="宋体"/>
          <w:sz w:val="20"/>
          <w:szCs w:val="20"/>
        </w:rPr>
        <w:t>KPI</w:t>
      </w:r>
      <w:r>
        <w:rPr>
          <w:rFonts w:ascii="宋体" w:hAnsi="宋体" w:cs="宋体"/>
          <w:spacing w:val="-54"/>
          <w:sz w:val="20"/>
          <w:szCs w:val="20"/>
        </w:rPr>
        <w:t xml:space="preserve"> </w:t>
      </w:r>
      <w:r>
        <w:rPr>
          <w:rFonts w:ascii="宋体" w:hAnsi="宋体" w:cs="宋体"/>
          <w:sz w:val="20"/>
          <w:szCs w:val="20"/>
        </w:rPr>
        <w:t>目标分值</w:t>
      </w:r>
      <w:r>
        <w:rPr>
          <w:rFonts w:hint="eastAsia" w:ascii="宋体" w:hAnsi="宋体" w:cs="宋体"/>
          <w:sz w:val="20"/>
          <w:szCs w:val="20"/>
        </w:rPr>
        <w:t>95</w:t>
      </w:r>
      <w:r>
        <w:rPr>
          <w:rFonts w:ascii="宋体" w:hAnsi="宋体" w:cs="宋体"/>
          <w:color w:val="auto"/>
          <w:sz w:val="20"/>
          <w:szCs w:val="20"/>
        </w:rPr>
        <w:t>分，考核评分在【</w:t>
      </w:r>
      <w:r>
        <w:rPr>
          <w:rFonts w:ascii="宋体" w:hAnsi="宋体" w:cs="宋体"/>
          <w:color w:val="auto"/>
          <w:spacing w:val="-4"/>
          <w:sz w:val="20"/>
          <w:szCs w:val="20"/>
        </w:rPr>
        <w:t xml:space="preserve"> </w:t>
      </w:r>
      <w:r>
        <w:rPr>
          <w:rFonts w:hint="eastAsia" w:ascii="宋体" w:hAnsi="宋体" w:cs="宋体"/>
          <w:color w:val="auto"/>
          <w:sz w:val="20"/>
          <w:szCs w:val="20"/>
        </w:rPr>
        <w:t>95</w:t>
      </w:r>
      <w:r>
        <w:rPr>
          <w:rFonts w:ascii="宋体" w:hAnsi="宋体" w:cs="宋体"/>
          <w:color w:val="auto"/>
          <w:sz w:val="20"/>
          <w:szCs w:val="20"/>
        </w:rPr>
        <w:t>】分（含本数）以上，甲方全额支付乙方承包费用；</w:t>
      </w:r>
    </w:p>
    <w:p>
      <w:pPr>
        <w:spacing w:before="50"/>
        <w:ind w:left="456" w:right="105"/>
        <w:rPr>
          <w:rFonts w:ascii="宋体" w:hAnsi="宋体" w:cs="宋体"/>
          <w:color w:val="auto"/>
          <w:sz w:val="20"/>
          <w:szCs w:val="20"/>
        </w:rPr>
      </w:pPr>
      <w:r>
        <w:rPr>
          <w:rFonts w:ascii="宋体" w:hAnsi="宋体" w:cs="宋体"/>
          <w:color w:val="auto"/>
          <w:sz w:val="20"/>
          <w:szCs w:val="20"/>
        </w:rPr>
        <w:t>【</w:t>
      </w:r>
      <w:r>
        <w:rPr>
          <w:rFonts w:hint="eastAsia" w:ascii="宋体" w:hAnsi="宋体" w:cs="宋体"/>
          <w:color w:val="auto"/>
          <w:sz w:val="20"/>
          <w:szCs w:val="20"/>
        </w:rPr>
        <w:t>95</w:t>
      </w:r>
      <w:r>
        <w:rPr>
          <w:rFonts w:ascii="宋体" w:hAnsi="宋体" w:cs="宋体"/>
          <w:color w:val="auto"/>
          <w:sz w:val="20"/>
          <w:szCs w:val="20"/>
        </w:rPr>
        <w:t>】分以下，则每少</w:t>
      </w:r>
      <w:r>
        <w:rPr>
          <w:rFonts w:ascii="宋体" w:hAnsi="宋体" w:cs="宋体"/>
          <w:color w:val="auto"/>
          <w:spacing w:val="-49"/>
          <w:sz w:val="20"/>
          <w:szCs w:val="20"/>
        </w:rPr>
        <w:t xml:space="preserve"> </w:t>
      </w:r>
      <w:r>
        <w:rPr>
          <w:rFonts w:ascii="宋体" w:hAnsi="宋体" w:cs="宋体"/>
          <w:color w:val="auto"/>
          <w:sz w:val="20"/>
          <w:szCs w:val="20"/>
        </w:rPr>
        <w:t>1</w:t>
      </w:r>
      <w:r>
        <w:rPr>
          <w:rFonts w:ascii="宋体" w:hAnsi="宋体" w:cs="宋体"/>
          <w:color w:val="auto"/>
          <w:spacing w:val="-53"/>
          <w:sz w:val="20"/>
          <w:szCs w:val="20"/>
        </w:rPr>
        <w:t xml:space="preserve"> </w:t>
      </w:r>
      <w:r>
        <w:rPr>
          <w:rFonts w:ascii="宋体" w:hAnsi="宋体" w:cs="宋体"/>
          <w:color w:val="auto"/>
          <w:sz w:val="20"/>
          <w:szCs w:val="20"/>
        </w:rPr>
        <w:t>分扣减【200</w:t>
      </w:r>
      <w:r>
        <w:rPr>
          <w:rFonts w:hint="eastAsia" w:ascii="宋体" w:hAnsi="宋体" w:cs="宋体"/>
          <w:color w:val="auto"/>
          <w:spacing w:val="-5"/>
          <w:sz w:val="20"/>
          <w:szCs w:val="20"/>
        </w:rPr>
        <w:t>0</w:t>
      </w:r>
      <w:r>
        <w:rPr>
          <w:rFonts w:ascii="宋体" w:hAnsi="宋体" w:cs="宋体"/>
          <w:color w:val="auto"/>
          <w:sz w:val="20"/>
          <w:szCs w:val="20"/>
        </w:rPr>
        <w:t>】元；</w:t>
      </w:r>
    </w:p>
    <w:p>
      <w:pPr>
        <w:spacing w:before="50"/>
        <w:ind w:left="456" w:right="105"/>
        <w:rPr>
          <w:rFonts w:ascii="宋体" w:hAnsi="宋体" w:cs="宋体"/>
          <w:sz w:val="20"/>
          <w:szCs w:val="20"/>
        </w:rPr>
      </w:pPr>
      <w:r>
        <w:rPr>
          <w:rFonts w:ascii="宋体" w:hAnsi="宋体" w:cs="宋体"/>
          <w:sz w:val="20"/>
          <w:szCs w:val="20"/>
        </w:rPr>
        <w:t>3.连续</w:t>
      </w:r>
      <w:r>
        <w:rPr>
          <w:rFonts w:ascii="宋体" w:hAnsi="宋体" w:cs="宋体"/>
          <w:spacing w:val="-54"/>
          <w:sz w:val="20"/>
          <w:szCs w:val="20"/>
        </w:rPr>
        <w:t xml:space="preserve"> </w:t>
      </w:r>
      <w:r>
        <w:rPr>
          <w:rFonts w:ascii="宋体" w:hAnsi="宋体" w:cs="宋体"/>
          <w:sz w:val="20"/>
          <w:szCs w:val="20"/>
        </w:rPr>
        <w:t>3</w:t>
      </w:r>
      <w:r>
        <w:rPr>
          <w:rFonts w:ascii="宋体" w:hAnsi="宋体" w:cs="宋体"/>
          <w:spacing w:val="-53"/>
          <w:sz w:val="20"/>
          <w:szCs w:val="20"/>
        </w:rPr>
        <w:t xml:space="preserve"> </w:t>
      </w:r>
      <w:r>
        <w:rPr>
          <w:rFonts w:ascii="宋体" w:hAnsi="宋体" w:cs="宋体"/>
          <w:sz w:val="20"/>
          <w:szCs w:val="20"/>
        </w:rPr>
        <w:t>次低于</w:t>
      </w:r>
      <w:r>
        <w:rPr>
          <w:rFonts w:ascii="宋体" w:hAnsi="宋体" w:cs="宋体"/>
          <w:spacing w:val="-54"/>
          <w:sz w:val="20"/>
          <w:szCs w:val="20"/>
        </w:rPr>
        <w:t xml:space="preserve"> </w:t>
      </w:r>
      <w:r>
        <w:rPr>
          <w:rFonts w:ascii="宋体" w:hAnsi="宋体" w:cs="宋体"/>
          <w:sz w:val="20"/>
          <w:szCs w:val="20"/>
        </w:rPr>
        <w:t>85</w:t>
      </w:r>
      <w:r>
        <w:rPr>
          <w:rFonts w:ascii="宋体" w:hAnsi="宋体" w:cs="宋体"/>
          <w:spacing w:val="-55"/>
          <w:sz w:val="20"/>
          <w:szCs w:val="20"/>
        </w:rPr>
        <w:t xml:space="preserve"> </w:t>
      </w:r>
      <w:r>
        <w:rPr>
          <w:rFonts w:ascii="宋体" w:hAnsi="宋体" w:cs="宋体"/>
          <w:sz w:val="20"/>
          <w:szCs w:val="20"/>
        </w:rPr>
        <w:t>分，甲方有权取消维保单位资格并中止合同；</w:t>
      </w:r>
    </w:p>
    <w:p>
      <w:pPr>
        <w:spacing w:before="50"/>
        <w:ind w:left="456" w:right="105"/>
        <w:rPr>
          <w:rFonts w:ascii="宋体" w:hAnsi="宋体" w:cs="宋体"/>
          <w:sz w:val="20"/>
          <w:szCs w:val="20"/>
        </w:rPr>
      </w:pPr>
      <w:r>
        <w:rPr>
          <w:rFonts w:ascii="宋体" w:hAnsi="宋体" w:cs="宋体"/>
          <w:sz w:val="20"/>
          <w:szCs w:val="20"/>
        </w:rPr>
        <w:t>4.KPI</w:t>
      </w:r>
      <w:r>
        <w:rPr>
          <w:rFonts w:ascii="宋体" w:hAnsi="宋体" w:cs="宋体"/>
          <w:spacing w:val="-54"/>
          <w:sz w:val="20"/>
          <w:szCs w:val="20"/>
        </w:rPr>
        <w:t xml:space="preserve"> </w:t>
      </w:r>
      <w:r>
        <w:rPr>
          <w:rFonts w:ascii="宋体" w:hAnsi="宋体" w:cs="宋体"/>
          <w:sz w:val="20"/>
          <w:szCs w:val="20"/>
        </w:rPr>
        <w:t>考核表</w:t>
      </w:r>
    </w:p>
    <w:tbl>
      <w:tblPr>
        <w:tblStyle w:val="37"/>
        <w:tblpPr w:leftFromText="180" w:rightFromText="180" w:vertAnchor="page" w:horzAnchor="margin" w:tblpY="4045"/>
        <w:tblW w:w="0" w:type="auto"/>
        <w:tblInd w:w="0" w:type="dxa"/>
        <w:tblLayout w:type="fixed"/>
        <w:tblCellMar>
          <w:top w:w="0" w:type="dxa"/>
          <w:left w:w="0" w:type="dxa"/>
          <w:bottom w:w="0" w:type="dxa"/>
          <w:right w:w="0" w:type="dxa"/>
        </w:tblCellMar>
      </w:tblPr>
      <w:tblGrid>
        <w:gridCol w:w="859"/>
        <w:gridCol w:w="548"/>
        <w:gridCol w:w="1635"/>
        <w:gridCol w:w="1241"/>
        <w:gridCol w:w="1231"/>
        <w:gridCol w:w="1211"/>
        <w:gridCol w:w="485"/>
        <w:gridCol w:w="1263"/>
        <w:gridCol w:w="434"/>
        <w:gridCol w:w="1149"/>
      </w:tblGrid>
      <w:tr>
        <w:tblPrEx>
          <w:tblCellMar>
            <w:top w:w="0" w:type="dxa"/>
            <w:left w:w="0" w:type="dxa"/>
            <w:bottom w:w="0" w:type="dxa"/>
            <w:right w:w="0" w:type="dxa"/>
          </w:tblCellMar>
        </w:tblPrEx>
        <w:trPr>
          <w:trHeight w:val="1261" w:hRule="exact"/>
        </w:trPr>
        <w:tc>
          <w:tcPr>
            <w:tcW w:w="859" w:type="dxa"/>
            <w:tcBorders>
              <w:top w:val="single" w:color="000000" w:sz="4" w:space="0"/>
              <w:left w:val="single" w:color="000000" w:sz="4" w:space="0"/>
              <w:bottom w:val="single" w:color="000000" w:sz="4" w:space="0"/>
              <w:right w:val="single" w:color="000000" w:sz="4" w:space="0"/>
            </w:tcBorders>
          </w:tcPr>
          <w:p>
            <w:pPr>
              <w:pStyle w:val="38"/>
              <w:spacing w:line="256" w:lineRule="exact"/>
              <w:ind w:left="224"/>
              <w:rPr>
                <w:rFonts w:ascii="宋体" w:hAnsi="宋体" w:eastAsia="宋体" w:cs="宋体"/>
                <w:sz w:val="20"/>
                <w:szCs w:val="20"/>
              </w:rPr>
            </w:pPr>
            <w:r>
              <w:rPr>
                <w:rFonts w:ascii="宋体" w:hAnsi="宋体" w:eastAsia="宋体" w:cs="宋体"/>
                <w:sz w:val="20"/>
                <w:szCs w:val="20"/>
              </w:rPr>
              <w:t>类别</w:t>
            </w:r>
          </w:p>
        </w:tc>
        <w:tc>
          <w:tcPr>
            <w:tcW w:w="548" w:type="dxa"/>
            <w:tcBorders>
              <w:top w:val="single" w:color="000000" w:sz="4" w:space="0"/>
              <w:left w:val="single" w:color="000000" w:sz="4" w:space="0"/>
              <w:bottom w:val="single" w:color="000000" w:sz="4" w:space="0"/>
              <w:right w:val="single" w:color="000000" w:sz="4" w:space="0"/>
            </w:tcBorders>
          </w:tcPr>
          <w:p>
            <w:pPr>
              <w:pStyle w:val="38"/>
              <w:spacing w:line="285" w:lineRule="auto"/>
              <w:ind w:left="169" w:right="167"/>
              <w:rPr>
                <w:rFonts w:ascii="宋体" w:hAnsi="宋体" w:eastAsia="宋体" w:cs="宋体"/>
                <w:sz w:val="20"/>
                <w:szCs w:val="20"/>
              </w:rPr>
            </w:pPr>
            <w:r>
              <w:rPr>
                <w:rFonts w:ascii="宋体" w:hAnsi="宋体" w:eastAsia="宋体" w:cs="宋体"/>
                <w:sz w:val="20"/>
                <w:szCs w:val="20"/>
              </w:rPr>
              <w:t>权</w:t>
            </w:r>
            <w:r>
              <w:rPr>
                <w:rFonts w:ascii="宋体" w:hAnsi="宋体" w:eastAsia="宋体" w:cs="宋体"/>
                <w:w w:val="99"/>
                <w:sz w:val="20"/>
                <w:szCs w:val="20"/>
              </w:rPr>
              <w:t xml:space="preserve"> </w:t>
            </w:r>
            <w:r>
              <w:rPr>
                <w:rFonts w:ascii="宋体" w:hAnsi="宋体" w:eastAsia="宋体" w:cs="宋体"/>
                <w:sz w:val="20"/>
                <w:szCs w:val="20"/>
              </w:rPr>
              <w:t>重</w:t>
            </w:r>
          </w:p>
        </w:tc>
        <w:tc>
          <w:tcPr>
            <w:tcW w:w="1635" w:type="dxa"/>
            <w:tcBorders>
              <w:top w:val="single" w:color="000000" w:sz="4" w:space="0"/>
              <w:left w:val="single" w:color="000000" w:sz="4" w:space="0"/>
              <w:bottom w:val="single" w:color="000000" w:sz="4" w:space="0"/>
              <w:right w:val="single" w:color="000000" w:sz="4" w:space="0"/>
            </w:tcBorders>
          </w:tcPr>
          <w:p>
            <w:pPr>
              <w:pStyle w:val="38"/>
              <w:spacing w:line="256" w:lineRule="exact"/>
              <w:ind w:right="1"/>
              <w:jc w:val="center"/>
              <w:rPr>
                <w:rFonts w:ascii="宋体" w:hAnsi="宋体" w:eastAsia="宋体" w:cs="宋体"/>
                <w:sz w:val="20"/>
                <w:szCs w:val="20"/>
              </w:rPr>
            </w:pPr>
            <w:r>
              <w:rPr>
                <w:rFonts w:ascii="宋体" w:hAnsi="宋体" w:eastAsia="宋体" w:cs="宋体"/>
                <w:sz w:val="20"/>
                <w:szCs w:val="20"/>
              </w:rPr>
              <w:t>目标</w:t>
            </w:r>
          </w:p>
        </w:tc>
        <w:tc>
          <w:tcPr>
            <w:tcW w:w="1241" w:type="dxa"/>
            <w:tcBorders>
              <w:top w:val="single" w:color="000000" w:sz="4" w:space="0"/>
              <w:left w:val="single" w:color="000000" w:sz="4" w:space="0"/>
              <w:bottom w:val="single" w:color="000000" w:sz="4" w:space="0"/>
              <w:right w:val="single" w:color="000000" w:sz="4" w:space="0"/>
            </w:tcBorders>
          </w:tcPr>
          <w:p>
            <w:pPr>
              <w:pStyle w:val="38"/>
              <w:spacing w:line="256" w:lineRule="exact"/>
              <w:ind w:left="216"/>
              <w:rPr>
                <w:rFonts w:ascii="宋体" w:hAnsi="宋体" w:eastAsia="宋体" w:cs="宋体"/>
                <w:sz w:val="20"/>
                <w:szCs w:val="20"/>
              </w:rPr>
            </w:pPr>
            <w:r>
              <w:rPr>
                <w:rFonts w:ascii="宋体" w:hAnsi="宋体" w:eastAsia="宋体" w:cs="宋体"/>
                <w:sz w:val="20"/>
                <w:szCs w:val="20"/>
              </w:rPr>
              <w:t>评分依据</w:t>
            </w:r>
          </w:p>
        </w:tc>
        <w:tc>
          <w:tcPr>
            <w:tcW w:w="1231" w:type="dxa"/>
            <w:tcBorders>
              <w:top w:val="single" w:color="000000" w:sz="4" w:space="0"/>
              <w:left w:val="single" w:color="000000" w:sz="4" w:space="0"/>
              <w:bottom w:val="single" w:color="000000" w:sz="4" w:space="0"/>
              <w:right w:val="single" w:color="000000" w:sz="4" w:space="0"/>
            </w:tcBorders>
          </w:tcPr>
          <w:p>
            <w:pPr>
              <w:pStyle w:val="38"/>
              <w:spacing w:line="256" w:lineRule="exact"/>
              <w:ind w:left="211"/>
              <w:rPr>
                <w:rFonts w:ascii="宋体" w:hAnsi="宋体" w:eastAsia="宋体" w:cs="宋体"/>
                <w:sz w:val="20"/>
                <w:szCs w:val="20"/>
              </w:rPr>
            </w:pPr>
            <w:r>
              <w:rPr>
                <w:rFonts w:ascii="宋体" w:hAnsi="宋体" w:eastAsia="宋体" w:cs="宋体"/>
                <w:sz w:val="20"/>
                <w:szCs w:val="20"/>
              </w:rPr>
              <w:t>计算方法</w:t>
            </w:r>
          </w:p>
        </w:tc>
        <w:tc>
          <w:tcPr>
            <w:tcW w:w="1211" w:type="dxa"/>
            <w:tcBorders>
              <w:top w:val="single" w:color="000000" w:sz="4" w:space="0"/>
              <w:left w:val="single" w:color="000000" w:sz="4" w:space="0"/>
              <w:bottom w:val="single" w:color="000000" w:sz="4" w:space="0"/>
              <w:right w:val="single" w:color="000000" w:sz="4" w:space="0"/>
            </w:tcBorders>
          </w:tcPr>
          <w:p>
            <w:pPr>
              <w:pStyle w:val="38"/>
              <w:spacing w:line="256" w:lineRule="exact"/>
              <w:ind w:left="199"/>
              <w:rPr>
                <w:rFonts w:ascii="宋体" w:hAnsi="宋体" w:eastAsia="宋体" w:cs="宋体"/>
                <w:sz w:val="20"/>
                <w:szCs w:val="20"/>
              </w:rPr>
            </w:pPr>
            <w:r>
              <w:rPr>
                <w:rFonts w:ascii="宋体" w:hAnsi="宋体" w:eastAsia="宋体" w:cs="宋体"/>
                <w:sz w:val="20"/>
                <w:szCs w:val="20"/>
              </w:rPr>
              <w:t>监控方法</w:t>
            </w:r>
          </w:p>
        </w:tc>
        <w:tc>
          <w:tcPr>
            <w:tcW w:w="485" w:type="dxa"/>
            <w:tcBorders>
              <w:top w:val="single" w:color="000000" w:sz="4" w:space="0"/>
              <w:left w:val="single" w:color="000000" w:sz="4" w:space="0"/>
              <w:bottom w:val="single" w:color="000000" w:sz="4" w:space="0"/>
              <w:right w:val="single" w:color="000000" w:sz="4" w:space="0"/>
            </w:tcBorders>
          </w:tcPr>
          <w:p>
            <w:pPr>
              <w:pStyle w:val="38"/>
              <w:spacing w:line="285" w:lineRule="auto"/>
              <w:ind w:left="138" w:right="136"/>
              <w:jc w:val="both"/>
              <w:rPr>
                <w:rFonts w:ascii="宋体" w:hAnsi="宋体" w:eastAsia="宋体" w:cs="宋体"/>
                <w:sz w:val="20"/>
                <w:szCs w:val="20"/>
              </w:rPr>
            </w:pPr>
            <w:r>
              <w:rPr>
                <w:rFonts w:ascii="宋体" w:hAnsi="宋体" w:eastAsia="宋体" w:cs="宋体"/>
                <w:sz w:val="20"/>
                <w:szCs w:val="20"/>
              </w:rPr>
              <w:t>自</w:t>
            </w:r>
            <w:r>
              <w:rPr>
                <w:rFonts w:ascii="宋体" w:hAnsi="宋体" w:eastAsia="宋体" w:cs="宋体"/>
                <w:w w:val="99"/>
                <w:sz w:val="20"/>
                <w:szCs w:val="20"/>
              </w:rPr>
              <w:t xml:space="preserve"> </w:t>
            </w:r>
            <w:r>
              <w:rPr>
                <w:rFonts w:ascii="宋体" w:hAnsi="宋体" w:eastAsia="宋体" w:cs="宋体"/>
                <w:sz w:val="20"/>
                <w:szCs w:val="20"/>
              </w:rPr>
              <w:t>评</w:t>
            </w:r>
            <w:r>
              <w:rPr>
                <w:rFonts w:ascii="宋体" w:hAnsi="宋体" w:eastAsia="宋体" w:cs="宋体"/>
                <w:w w:val="99"/>
                <w:sz w:val="20"/>
                <w:szCs w:val="20"/>
              </w:rPr>
              <w:t xml:space="preserve"> </w:t>
            </w:r>
            <w:r>
              <w:rPr>
                <w:rFonts w:ascii="宋体" w:hAnsi="宋体" w:eastAsia="宋体" w:cs="宋体"/>
                <w:sz w:val="20"/>
                <w:szCs w:val="20"/>
              </w:rPr>
              <w:t>得</w:t>
            </w:r>
            <w:r>
              <w:rPr>
                <w:rFonts w:ascii="宋体" w:hAnsi="宋体" w:eastAsia="宋体" w:cs="宋体"/>
                <w:w w:val="99"/>
                <w:sz w:val="20"/>
                <w:szCs w:val="20"/>
              </w:rPr>
              <w:t xml:space="preserve"> </w:t>
            </w:r>
            <w:r>
              <w:rPr>
                <w:rFonts w:ascii="宋体" w:hAnsi="宋体" w:eastAsia="宋体" w:cs="宋体"/>
                <w:sz w:val="20"/>
                <w:szCs w:val="20"/>
              </w:rPr>
              <w:t>分</w:t>
            </w:r>
          </w:p>
        </w:tc>
        <w:tc>
          <w:tcPr>
            <w:tcW w:w="1263" w:type="dxa"/>
            <w:tcBorders>
              <w:top w:val="single" w:color="000000" w:sz="4" w:space="0"/>
              <w:left w:val="single" w:color="000000" w:sz="4" w:space="0"/>
              <w:bottom w:val="single" w:color="000000" w:sz="4" w:space="0"/>
              <w:right w:val="single" w:color="000000" w:sz="4" w:space="0"/>
            </w:tcBorders>
          </w:tcPr>
          <w:p>
            <w:pPr>
              <w:pStyle w:val="38"/>
              <w:spacing w:line="285" w:lineRule="auto"/>
              <w:ind w:left="125" w:right="127"/>
              <w:jc w:val="center"/>
              <w:rPr>
                <w:rFonts w:ascii="宋体" w:hAnsi="宋体" w:eastAsia="宋体" w:cs="宋体"/>
                <w:sz w:val="20"/>
                <w:szCs w:val="20"/>
                <w:lang w:eastAsia="zh-CN"/>
              </w:rPr>
            </w:pPr>
            <w:r>
              <w:rPr>
                <w:rFonts w:ascii="宋体" w:hAnsi="宋体" w:eastAsia="宋体" w:cs="宋体"/>
                <w:sz w:val="20"/>
                <w:szCs w:val="20"/>
                <w:lang w:eastAsia="zh-CN"/>
              </w:rPr>
              <w:t>承包商自评</w:t>
            </w:r>
            <w:r>
              <w:rPr>
                <w:rFonts w:ascii="宋体" w:hAnsi="宋体" w:eastAsia="宋体" w:cs="宋体"/>
                <w:w w:val="99"/>
                <w:sz w:val="20"/>
                <w:szCs w:val="20"/>
                <w:lang w:eastAsia="zh-CN"/>
              </w:rPr>
              <w:t xml:space="preserve"> </w:t>
            </w:r>
            <w:r>
              <w:rPr>
                <w:rFonts w:ascii="宋体" w:hAnsi="宋体" w:eastAsia="宋体" w:cs="宋体"/>
                <w:sz w:val="20"/>
                <w:szCs w:val="20"/>
                <w:lang w:eastAsia="zh-CN"/>
              </w:rPr>
              <w:t>依据以及与</w:t>
            </w:r>
            <w:r>
              <w:rPr>
                <w:rFonts w:ascii="宋体" w:hAnsi="宋体" w:eastAsia="宋体" w:cs="宋体"/>
                <w:w w:val="99"/>
                <w:sz w:val="20"/>
                <w:szCs w:val="20"/>
                <w:lang w:eastAsia="zh-CN"/>
              </w:rPr>
              <w:t xml:space="preserve"> </w:t>
            </w:r>
            <w:r>
              <w:rPr>
                <w:rFonts w:ascii="宋体" w:hAnsi="宋体" w:eastAsia="宋体" w:cs="宋体"/>
                <w:sz w:val="20"/>
                <w:szCs w:val="20"/>
                <w:lang w:eastAsia="zh-CN"/>
              </w:rPr>
              <w:t>不足之处说</w:t>
            </w:r>
            <w:r>
              <w:rPr>
                <w:rFonts w:ascii="宋体" w:hAnsi="宋体" w:eastAsia="宋体" w:cs="宋体"/>
                <w:w w:val="99"/>
                <w:sz w:val="20"/>
                <w:szCs w:val="20"/>
                <w:lang w:eastAsia="zh-CN"/>
              </w:rPr>
              <w:t xml:space="preserve"> </w:t>
            </w:r>
            <w:r>
              <w:rPr>
                <w:rFonts w:ascii="宋体" w:hAnsi="宋体" w:eastAsia="宋体" w:cs="宋体"/>
                <w:sz w:val="20"/>
                <w:szCs w:val="20"/>
                <w:lang w:eastAsia="zh-CN"/>
              </w:rPr>
              <w:t>明</w:t>
            </w:r>
          </w:p>
        </w:tc>
        <w:tc>
          <w:tcPr>
            <w:tcW w:w="434" w:type="dxa"/>
            <w:tcBorders>
              <w:top w:val="single" w:color="000000" w:sz="4" w:space="0"/>
              <w:left w:val="single" w:color="000000" w:sz="4" w:space="0"/>
              <w:bottom w:val="single" w:color="000000" w:sz="4" w:space="0"/>
              <w:right w:val="single" w:color="000000" w:sz="4" w:space="0"/>
            </w:tcBorders>
          </w:tcPr>
          <w:p>
            <w:pPr>
              <w:pStyle w:val="38"/>
              <w:spacing w:line="285" w:lineRule="auto"/>
              <w:ind w:left="113" w:right="110"/>
              <w:jc w:val="both"/>
              <w:rPr>
                <w:rFonts w:ascii="宋体" w:hAnsi="宋体" w:eastAsia="宋体" w:cs="宋体"/>
                <w:sz w:val="20"/>
                <w:szCs w:val="20"/>
              </w:rPr>
            </w:pPr>
            <w:r>
              <w:rPr>
                <w:rFonts w:ascii="宋体" w:hAnsi="宋体" w:eastAsia="宋体" w:cs="宋体"/>
                <w:sz w:val="20"/>
                <w:szCs w:val="20"/>
              </w:rPr>
              <w:t>甲</w:t>
            </w:r>
            <w:r>
              <w:rPr>
                <w:rFonts w:ascii="宋体" w:hAnsi="宋体" w:eastAsia="宋体" w:cs="宋体"/>
                <w:w w:val="99"/>
                <w:sz w:val="20"/>
                <w:szCs w:val="20"/>
              </w:rPr>
              <w:t xml:space="preserve"> </w:t>
            </w:r>
            <w:r>
              <w:rPr>
                <w:rFonts w:ascii="宋体" w:hAnsi="宋体" w:eastAsia="宋体" w:cs="宋体"/>
                <w:sz w:val="20"/>
                <w:szCs w:val="20"/>
              </w:rPr>
              <w:t>方</w:t>
            </w:r>
            <w:r>
              <w:rPr>
                <w:rFonts w:ascii="宋体" w:hAnsi="宋体" w:eastAsia="宋体" w:cs="宋体"/>
                <w:w w:val="99"/>
                <w:sz w:val="20"/>
                <w:szCs w:val="20"/>
              </w:rPr>
              <w:t xml:space="preserve"> </w:t>
            </w:r>
            <w:r>
              <w:rPr>
                <w:rFonts w:ascii="宋体" w:hAnsi="宋体" w:eastAsia="宋体" w:cs="宋体"/>
                <w:sz w:val="20"/>
                <w:szCs w:val="20"/>
              </w:rPr>
              <w:t>评</w:t>
            </w:r>
            <w:r>
              <w:rPr>
                <w:rFonts w:ascii="宋体" w:hAnsi="宋体" w:eastAsia="宋体" w:cs="宋体"/>
                <w:w w:val="99"/>
                <w:sz w:val="20"/>
                <w:szCs w:val="20"/>
              </w:rPr>
              <w:t xml:space="preserve"> </w:t>
            </w:r>
            <w:r>
              <w:rPr>
                <w:rFonts w:ascii="宋体" w:hAnsi="宋体" w:eastAsia="宋体" w:cs="宋体"/>
                <w:sz w:val="20"/>
                <w:szCs w:val="20"/>
              </w:rPr>
              <w:t>分</w:t>
            </w:r>
          </w:p>
        </w:tc>
        <w:tc>
          <w:tcPr>
            <w:tcW w:w="1149" w:type="dxa"/>
            <w:tcBorders>
              <w:top w:val="single" w:color="000000" w:sz="4" w:space="0"/>
              <w:left w:val="single" w:color="000000" w:sz="4" w:space="0"/>
              <w:bottom w:val="single" w:color="000000" w:sz="4" w:space="0"/>
              <w:right w:val="single" w:color="000000" w:sz="4" w:space="0"/>
            </w:tcBorders>
          </w:tcPr>
          <w:p>
            <w:pPr>
              <w:pStyle w:val="38"/>
              <w:spacing w:line="285" w:lineRule="auto"/>
              <w:ind w:left="367" w:right="169" w:hanging="200"/>
              <w:rPr>
                <w:rFonts w:ascii="宋体" w:hAnsi="宋体" w:eastAsia="宋体" w:cs="宋体"/>
                <w:sz w:val="20"/>
                <w:szCs w:val="20"/>
              </w:rPr>
            </w:pPr>
            <w:r>
              <w:rPr>
                <w:rFonts w:ascii="宋体" w:hAnsi="宋体" w:eastAsia="宋体" w:cs="宋体"/>
                <w:sz w:val="20"/>
                <w:szCs w:val="20"/>
              </w:rPr>
              <w:t>甲方评分</w:t>
            </w:r>
            <w:r>
              <w:rPr>
                <w:rFonts w:ascii="宋体" w:hAnsi="宋体" w:eastAsia="宋体" w:cs="宋体"/>
                <w:w w:val="99"/>
                <w:sz w:val="20"/>
                <w:szCs w:val="20"/>
              </w:rPr>
              <w:t xml:space="preserve"> </w:t>
            </w:r>
            <w:r>
              <w:rPr>
                <w:rFonts w:ascii="宋体" w:hAnsi="宋体" w:eastAsia="宋体" w:cs="宋体"/>
                <w:sz w:val="20"/>
                <w:szCs w:val="20"/>
              </w:rPr>
              <w:t>依据</w:t>
            </w:r>
          </w:p>
        </w:tc>
      </w:tr>
      <w:tr>
        <w:tblPrEx>
          <w:tblCellMar>
            <w:top w:w="0" w:type="dxa"/>
            <w:left w:w="0" w:type="dxa"/>
            <w:bottom w:w="0" w:type="dxa"/>
            <w:right w:w="0" w:type="dxa"/>
          </w:tblCellMar>
        </w:tblPrEx>
        <w:trPr>
          <w:trHeight w:val="634" w:hRule="exact"/>
        </w:trPr>
        <w:tc>
          <w:tcPr>
            <w:tcW w:w="859" w:type="dxa"/>
            <w:vMerge w:val="restart"/>
            <w:tcBorders>
              <w:top w:val="single" w:color="000000" w:sz="4" w:space="0"/>
              <w:left w:val="single" w:color="000000" w:sz="4" w:space="0"/>
              <w:right w:val="single" w:color="000000" w:sz="4" w:space="0"/>
            </w:tcBorders>
          </w:tcPr>
          <w:p>
            <w:pPr>
              <w:pStyle w:val="38"/>
              <w:rPr>
                <w:rFonts w:ascii="宋体" w:hAnsi="宋体" w:eastAsia="宋体" w:cs="宋体"/>
                <w:sz w:val="20"/>
                <w:szCs w:val="20"/>
              </w:rPr>
            </w:pPr>
          </w:p>
          <w:p>
            <w:pPr>
              <w:pStyle w:val="38"/>
              <w:rPr>
                <w:rFonts w:ascii="宋体" w:hAnsi="宋体" w:eastAsia="宋体" w:cs="宋体"/>
                <w:sz w:val="20"/>
                <w:szCs w:val="20"/>
              </w:rPr>
            </w:pPr>
          </w:p>
          <w:p>
            <w:pPr>
              <w:pStyle w:val="38"/>
              <w:rPr>
                <w:rFonts w:ascii="宋体" w:hAnsi="宋体" w:eastAsia="宋体" w:cs="宋体"/>
                <w:sz w:val="20"/>
                <w:szCs w:val="20"/>
              </w:rPr>
            </w:pPr>
          </w:p>
          <w:p>
            <w:pPr>
              <w:pStyle w:val="38"/>
              <w:spacing w:before="147" w:line="285" w:lineRule="auto"/>
              <w:ind w:left="174" w:right="123" w:hanging="51"/>
              <w:rPr>
                <w:rFonts w:ascii="宋体" w:hAnsi="宋体" w:eastAsia="宋体" w:cs="宋体"/>
                <w:sz w:val="20"/>
                <w:szCs w:val="20"/>
              </w:rPr>
            </w:pPr>
            <w:r>
              <w:rPr>
                <w:rFonts w:ascii="宋体" w:hAnsi="宋体" w:eastAsia="宋体" w:cs="宋体"/>
                <w:sz w:val="20"/>
                <w:szCs w:val="20"/>
              </w:rPr>
              <w:t>可靠性</w:t>
            </w:r>
            <w:r>
              <w:rPr>
                <w:rFonts w:ascii="宋体" w:hAnsi="宋体" w:eastAsia="宋体" w:cs="宋体"/>
                <w:w w:val="99"/>
                <w:sz w:val="20"/>
                <w:szCs w:val="20"/>
              </w:rPr>
              <w:t xml:space="preserve"> </w:t>
            </w:r>
            <w:r>
              <w:rPr>
                <w:rFonts w:ascii="宋体" w:hAnsi="宋体" w:eastAsia="宋体" w:cs="宋体"/>
                <w:sz w:val="20"/>
                <w:szCs w:val="20"/>
              </w:rPr>
              <w:t>(40%)</w:t>
            </w:r>
          </w:p>
        </w:tc>
        <w:tc>
          <w:tcPr>
            <w:tcW w:w="548" w:type="dxa"/>
            <w:tcBorders>
              <w:top w:val="single" w:color="000000" w:sz="4" w:space="0"/>
              <w:left w:val="single" w:color="000000" w:sz="4" w:space="0"/>
              <w:bottom w:val="single" w:color="000000" w:sz="4" w:space="0"/>
              <w:right w:val="single" w:color="000000" w:sz="4" w:space="0"/>
            </w:tcBorders>
          </w:tcPr>
          <w:p>
            <w:pPr>
              <w:pStyle w:val="38"/>
              <w:spacing w:line="258" w:lineRule="exact"/>
              <w:ind w:left="119"/>
              <w:rPr>
                <w:rFonts w:ascii="宋体" w:hAnsi="宋体" w:eastAsia="宋体" w:cs="宋体"/>
                <w:sz w:val="20"/>
                <w:szCs w:val="20"/>
              </w:rPr>
            </w:pPr>
            <w:r>
              <w:rPr>
                <w:rFonts w:ascii="宋体"/>
                <w:sz w:val="20"/>
              </w:rPr>
              <w:t>15%</w:t>
            </w:r>
          </w:p>
        </w:tc>
        <w:tc>
          <w:tcPr>
            <w:tcW w:w="1635" w:type="dxa"/>
            <w:tcBorders>
              <w:top w:val="single" w:color="000000" w:sz="4" w:space="0"/>
              <w:left w:val="single" w:color="000000" w:sz="4" w:space="0"/>
              <w:bottom w:val="single" w:color="000000" w:sz="4" w:space="0"/>
              <w:right w:val="single" w:color="000000" w:sz="4" w:space="0"/>
            </w:tcBorders>
          </w:tcPr>
          <w:p>
            <w:pPr>
              <w:pStyle w:val="38"/>
              <w:spacing w:line="285" w:lineRule="auto"/>
              <w:ind w:left="711" w:right="113" w:hanging="600"/>
              <w:rPr>
                <w:rFonts w:ascii="宋体" w:hAnsi="宋体" w:eastAsia="宋体" w:cs="宋体"/>
                <w:sz w:val="20"/>
                <w:szCs w:val="20"/>
              </w:rPr>
            </w:pPr>
            <w:r>
              <w:rPr>
                <w:rFonts w:ascii="宋体" w:hAnsi="宋体" w:eastAsia="宋体" w:cs="宋体"/>
                <w:sz w:val="20"/>
                <w:szCs w:val="20"/>
              </w:rPr>
              <w:t>预防性维护完成</w:t>
            </w:r>
            <w:r>
              <w:rPr>
                <w:rFonts w:ascii="宋体" w:hAnsi="宋体" w:eastAsia="宋体" w:cs="宋体"/>
                <w:w w:val="99"/>
                <w:sz w:val="20"/>
                <w:szCs w:val="20"/>
              </w:rPr>
              <w:t xml:space="preserve"> </w:t>
            </w:r>
            <w:r>
              <w:rPr>
                <w:rFonts w:ascii="宋体" w:hAnsi="宋体" w:eastAsia="宋体" w:cs="宋体"/>
                <w:sz w:val="20"/>
                <w:szCs w:val="20"/>
              </w:rPr>
              <w:t>率</w:t>
            </w:r>
          </w:p>
        </w:tc>
        <w:tc>
          <w:tcPr>
            <w:tcW w:w="1241" w:type="dxa"/>
            <w:tcBorders>
              <w:top w:val="single" w:color="000000" w:sz="4" w:space="0"/>
              <w:left w:val="single" w:color="000000" w:sz="4" w:space="0"/>
              <w:bottom w:val="single" w:color="000000" w:sz="4" w:space="0"/>
              <w:right w:val="single" w:color="000000" w:sz="4" w:space="0"/>
            </w:tcBorders>
          </w:tcPr>
          <w:p>
            <w:pPr>
              <w:pStyle w:val="38"/>
              <w:spacing w:line="285" w:lineRule="auto"/>
              <w:ind w:left="115" w:right="115"/>
              <w:rPr>
                <w:rFonts w:ascii="宋体" w:hAnsi="宋体" w:eastAsia="宋体" w:cs="宋体"/>
                <w:sz w:val="20"/>
                <w:szCs w:val="20"/>
                <w:lang w:eastAsia="zh-CN"/>
              </w:rPr>
            </w:pPr>
            <w:r>
              <w:rPr>
                <w:rFonts w:ascii="宋体" w:hAnsi="宋体" w:eastAsia="宋体" w:cs="宋体"/>
                <w:sz w:val="20"/>
                <w:szCs w:val="20"/>
                <w:lang w:eastAsia="zh-CN"/>
              </w:rPr>
              <w:t>计划完成的</w:t>
            </w:r>
            <w:r>
              <w:rPr>
                <w:rFonts w:ascii="宋体" w:hAnsi="宋体" w:eastAsia="宋体" w:cs="宋体"/>
                <w:w w:val="99"/>
                <w:sz w:val="20"/>
                <w:szCs w:val="20"/>
                <w:lang w:eastAsia="zh-CN"/>
              </w:rPr>
              <w:t xml:space="preserve"> </w:t>
            </w:r>
            <w:r>
              <w:rPr>
                <w:rFonts w:ascii="宋体" w:hAnsi="宋体" w:eastAsia="宋体" w:cs="宋体"/>
                <w:sz w:val="20"/>
                <w:szCs w:val="20"/>
                <w:lang w:eastAsia="zh-CN"/>
              </w:rPr>
              <w:t>维护数量，</w:t>
            </w:r>
          </w:p>
        </w:tc>
        <w:tc>
          <w:tcPr>
            <w:tcW w:w="1231" w:type="dxa"/>
            <w:tcBorders>
              <w:top w:val="single" w:color="000000" w:sz="4" w:space="0"/>
              <w:left w:val="single" w:color="000000" w:sz="4" w:space="0"/>
              <w:bottom w:val="single" w:color="000000" w:sz="4" w:space="0"/>
              <w:right w:val="single" w:color="000000" w:sz="4" w:space="0"/>
            </w:tcBorders>
          </w:tcPr>
          <w:p>
            <w:pPr>
              <w:pStyle w:val="38"/>
              <w:spacing w:line="285" w:lineRule="auto"/>
              <w:ind w:left="110" w:right="110"/>
              <w:rPr>
                <w:rFonts w:ascii="宋体" w:hAnsi="宋体" w:eastAsia="宋体" w:cs="宋体"/>
                <w:sz w:val="20"/>
                <w:szCs w:val="20"/>
              </w:rPr>
            </w:pPr>
            <w:r>
              <w:rPr>
                <w:rFonts w:ascii="宋体" w:hAnsi="宋体" w:eastAsia="宋体" w:cs="宋体"/>
                <w:sz w:val="20"/>
                <w:szCs w:val="20"/>
              </w:rPr>
              <w:t>每减少单台</w:t>
            </w:r>
            <w:r>
              <w:rPr>
                <w:rFonts w:ascii="宋体" w:hAnsi="宋体" w:eastAsia="宋体" w:cs="宋体"/>
                <w:w w:val="99"/>
                <w:sz w:val="20"/>
                <w:szCs w:val="20"/>
              </w:rPr>
              <w:t xml:space="preserve"> </w:t>
            </w:r>
            <w:r>
              <w:rPr>
                <w:rFonts w:ascii="宋体" w:hAnsi="宋体" w:eastAsia="宋体" w:cs="宋体"/>
                <w:sz w:val="20"/>
                <w:szCs w:val="20"/>
              </w:rPr>
              <w:t>单次扣</w:t>
            </w:r>
            <w:r>
              <w:rPr>
                <w:rFonts w:ascii="宋体" w:hAnsi="宋体" w:eastAsia="宋体" w:cs="宋体"/>
                <w:spacing w:val="-52"/>
                <w:sz w:val="20"/>
                <w:szCs w:val="20"/>
              </w:rPr>
              <w:t xml:space="preserve"> </w:t>
            </w:r>
            <w:r>
              <w:rPr>
                <w:rFonts w:ascii="宋体" w:hAnsi="宋体" w:eastAsia="宋体" w:cs="宋体"/>
                <w:sz w:val="20"/>
                <w:szCs w:val="20"/>
              </w:rPr>
              <w:t>5</w:t>
            </w:r>
            <w:r>
              <w:rPr>
                <w:rFonts w:ascii="宋体" w:hAnsi="宋体" w:eastAsia="宋体" w:cs="宋体"/>
                <w:spacing w:val="-53"/>
                <w:sz w:val="20"/>
                <w:szCs w:val="20"/>
              </w:rPr>
              <w:t xml:space="preserve"> </w:t>
            </w:r>
            <w:r>
              <w:rPr>
                <w:rFonts w:ascii="宋体" w:hAnsi="宋体" w:eastAsia="宋体" w:cs="宋体"/>
                <w:sz w:val="20"/>
                <w:szCs w:val="20"/>
              </w:rPr>
              <w:t>分</w:t>
            </w:r>
          </w:p>
        </w:tc>
        <w:tc>
          <w:tcPr>
            <w:tcW w:w="1211" w:type="dxa"/>
            <w:tcBorders>
              <w:top w:val="single" w:color="000000" w:sz="4" w:space="0"/>
              <w:left w:val="single" w:color="000000" w:sz="4" w:space="0"/>
              <w:bottom w:val="single" w:color="000000" w:sz="4" w:space="0"/>
              <w:right w:val="single" w:color="000000" w:sz="4" w:space="0"/>
            </w:tcBorders>
          </w:tcPr>
          <w:p>
            <w:pPr>
              <w:pStyle w:val="38"/>
              <w:spacing w:line="285" w:lineRule="auto"/>
              <w:ind w:left="300" w:right="201" w:hanging="101"/>
              <w:rPr>
                <w:rFonts w:ascii="宋体" w:hAnsi="宋体" w:eastAsia="宋体" w:cs="宋体"/>
                <w:sz w:val="20"/>
                <w:szCs w:val="20"/>
              </w:rPr>
            </w:pPr>
            <w:r>
              <w:rPr>
                <w:rFonts w:ascii="宋体" w:hAnsi="宋体" w:eastAsia="宋体" w:cs="宋体"/>
                <w:sz w:val="20"/>
                <w:szCs w:val="20"/>
              </w:rPr>
              <w:t>月度审核</w:t>
            </w:r>
            <w:r>
              <w:rPr>
                <w:rFonts w:ascii="宋体" w:hAnsi="宋体" w:eastAsia="宋体" w:cs="宋体"/>
                <w:w w:val="99"/>
                <w:sz w:val="20"/>
                <w:szCs w:val="20"/>
              </w:rPr>
              <w:t xml:space="preserve"> </w:t>
            </w:r>
            <w:r>
              <w:rPr>
                <w:rFonts w:ascii="宋体" w:hAnsi="宋体" w:eastAsia="宋体" w:cs="宋体"/>
                <w:sz w:val="20"/>
                <w:szCs w:val="20"/>
              </w:rPr>
              <w:t>加抽查</w:t>
            </w:r>
          </w:p>
        </w:tc>
        <w:tc>
          <w:tcPr>
            <w:tcW w:w="485"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c>
          <w:tcPr>
            <w:tcW w:w="1263"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c>
          <w:tcPr>
            <w:tcW w:w="434"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c>
          <w:tcPr>
            <w:tcW w:w="1149"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946" w:hRule="exact"/>
        </w:trPr>
        <w:tc>
          <w:tcPr>
            <w:tcW w:w="859" w:type="dxa"/>
            <w:vMerge w:val="continue"/>
            <w:tcBorders>
              <w:left w:val="single" w:color="000000" w:sz="4" w:space="0"/>
              <w:right w:val="single" w:color="000000" w:sz="4" w:space="0"/>
            </w:tcBorders>
          </w:tcPr>
          <w:p>
            <w:pPr>
              <w:rPr>
                <w:rFonts w:eastAsiaTheme="minorEastAsia" w:cstheme="minorBidi"/>
                <w:lang w:eastAsia="en-US"/>
              </w:rPr>
            </w:pPr>
          </w:p>
        </w:tc>
        <w:tc>
          <w:tcPr>
            <w:tcW w:w="548" w:type="dxa"/>
            <w:tcBorders>
              <w:top w:val="single" w:color="000000" w:sz="4" w:space="0"/>
              <w:left w:val="single" w:color="000000" w:sz="4" w:space="0"/>
              <w:bottom w:val="single" w:color="000000" w:sz="4" w:space="0"/>
              <w:right w:val="single" w:color="000000" w:sz="4" w:space="0"/>
            </w:tcBorders>
          </w:tcPr>
          <w:p>
            <w:pPr>
              <w:pStyle w:val="38"/>
              <w:spacing w:line="257" w:lineRule="exact"/>
              <w:ind w:left="169"/>
              <w:rPr>
                <w:rFonts w:ascii="宋体" w:hAnsi="宋体" w:eastAsia="宋体" w:cs="宋体"/>
                <w:sz w:val="20"/>
                <w:szCs w:val="20"/>
              </w:rPr>
            </w:pPr>
            <w:r>
              <w:rPr>
                <w:rFonts w:ascii="宋体"/>
                <w:sz w:val="20"/>
              </w:rPr>
              <w:t>5%</w:t>
            </w:r>
          </w:p>
        </w:tc>
        <w:tc>
          <w:tcPr>
            <w:tcW w:w="1635" w:type="dxa"/>
            <w:tcBorders>
              <w:top w:val="single" w:color="000000" w:sz="4" w:space="0"/>
              <w:left w:val="single" w:color="000000" w:sz="4" w:space="0"/>
              <w:bottom w:val="single" w:color="000000" w:sz="4" w:space="0"/>
              <w:right w:val="single" w:color="000000" w:sz="4" w:space="0"/>
            </w:tcBorders>
          </w:tcPr>
          <w:p>
            <w:pPr>
              <w:pStyle w:val="38"/>
              <w:spacing w:line="285" w:lineRule="auto"/>
              <w:ind w:left="711" w:right="113" w:hanging="600"/>
              <w:rPr>
                <w:rFonts w:ascii="宋体" w:hAnsi="宋体" w:eastAsia="宋体" w:cs="宋体"/>
                <w:sz w:val="20"/>
                <w:szCs w:val="20"/>
              </w:rPr>
            </w:pPr>
            <w:r>
              <w:rPr>
                <w:rFonts w:ascii="宋体" w:hAnsi="宋体" w:eastAsia="宋体" w:cs="宋体"/>
                <w:sz w:val="20"/>
                <w:szCs w:val="20"/>
              </w:rPr>
              <w:t>预防性维护及时</w:t>
            </w:r>
            <w:r>
              <w:rPr>
                <w:rFonts w:ascii="宋体" w:hAnsi="宋体" w:eastAsia="宋体" w:cs="宋体"/>
                <w:w w:val="99"/>
                <w:sz w:val="20"/>
                <w:szCs w:val="20"/>
              </w:rPr>
              <w:t xml:space="preserve"> </w:t>
            </w:r>
            <w:r>
              <w:rPr>
                <w:rFonts w:ascii="宋体" w:hAnsi="宋体" w:eastAsia="宋体" w:cs="宋体"/>
                <w:sz w:val="20"/>
                <w:szCs w:val="20"/>
              </w:rPr>
              <w:t>率</w:t>
            </w:r>
          </w:p>
        </w:tc>
        <w:tc>
          <w:tcPr>
            <w:tcW w:w="1241" w:type="dxa"/>
            <w:tcBorders>
              <w:top w:val="single" w:color="000000" w:sz="4" w:space="0"/>
              <w:left w:val="single" w:color="000000" w:sz="4" w:space="0"/>
              <w:bottom w:val="single" w:color="000000" w:sz="4" w:space="0"/>
              <w:right w:val="single" w:color="000000" w:sz="4" w:space="0"/>
            </w:tcBorders>
          </w:tcPr>
          <w:p>
            <w:pPr>
              <w:pStyle w:val="38"/>
              <w:spacing w:line="285" w:lineRule="auto"/>
              <w:ind w:left="216" w:right="115" w:hanging="101"/>
              <w:rPr>
                <w:rFonts w:ascii="宋体" w:hAnsi="宋体" w:eastAsia="宋体" w:cs="宋体"/>
                <w:sz w:val="20"/>
                <w:szCs w:val="20"/>
              </w:rPr>
            </w:pPr>
            <w:r>
              <w:rPr>
                <w:rFonts w:ascii="宋体" w:hAnsi="宋体" w:eastAsia="宋体" w:cs="宋体"/>
                <w:sz w:val="20"/>
                <w:szCs w:val="20"/>
              </w:rPr>
              <w:t>依上月提交</w:t>
            </w:r>
            <w:r>
              <w:rPr>
                <w:rFonts w:ascii="宋体" w:hAnsi="宋体" w:eastAsia="宋体" w:cs="宋体"/>
                <w:w w:val="99"/>
                <w:sz w:val="20"/>
                <w:szCs w:val="20"/>
              </w:rPr>
              <w:t xml:space="preserve"> </w:t>
            </w:r>
            <w:r>
              <w:rPr>
                <w:rFonts w:ascii="宋体" w:hAnsi="宋体" w:eastAsia="宋体" w:cs="宋体"/>
                <w:sz w:val="20"/>
                <w:szCs w:val="20"/>
              </w:rPr>
              <w:t>维保计划</w:t>
            </w:r>
          </w:p>
        </w:tc>
        <w:tc>
          <w:tcPr>
            <w:tcW w:w="1231" w:type="dxa"/>
            <w:tcBorders>
              <w:top w:val="single" w:color="000000" w:sz="4" w:space="0"/>
              <w:left w:val="single" w:color="000000" w:sz="4" w:space="0"/>
              <w:bottom w:val="single" w:color="000000" w:sz="4" w:space="0"/>
              <w:right w:val="single" w:color="000000" w:sz="4" w:space="0"/>
            </w:tcBorders>
          </w:tcPr>
          <w:p>
            <w:pPr>
              <w:pStyle w:val="38"/>
              <w:spacing w:line="285" w:lineRule="auto"/>
              <w:ind w:left="103" w:right="110" w:firstLine="7"/>
              <w:jc w:val="center"/>
              <w:rPr>
                <w:rFonts w:ascii="宋体" w:hAnsi="宋体" w:eastAsia="宋体" w:cs="宋体"/>
                <w:sz w:val="20"/>
                <w:szCs w:val="20"/>
                <w:lang w:eastAsia="zh-CN"/>
              </w:rPr>
            </w:pPr>
            <w:r>
              <w:rPr>
                <w:rFonts w:ascii="宋体" w:hAnsi="宋体" w:eastAsia="宋体" w:cs="宋体"/>
                <w:sz w:val="20"/>
                <w:szCs w:val="20"/>
                <w:lang w:eastAsia="zh-CN"/>
              </w:rPr>
              <w:t>单系统单次</w:t>
            </w:r>
            <w:r>
              <w:rPr>
                <w:rFonts w:ascii="宋体" w:hAnsi="宋体" w:eastAsia="宋体" w:cs="宋体"/>
                <w:w w:val="99"/>
                <w:sz w:val="20"/>
                <w:szCs w:val="20"/>
                <w:lang w:eastAsia="zh-CN"/>
              </w:rPr>
              <w:t xml:space="preserve"> </w:t>
            </w:r>
            <w:r>
              <w:rPr>
                <w:rFonts w:ascii="宋体" w:hAnsi="宋体" w:eastAsia="宋体" w:cs="宋体"/>
                <w:sz w:val="20"/>
                <w:szCs w:val="20"/>
                <w:lang w:eastAsia="zh-CN"/>
              </w:rPr>
              <w:t>延迟一天扣</w:t>
            </w:r>
            <w:r>
              <w:rPr>
                <w:rFonts w:ascii="宋体" w:hAnsi="宋体" w:eastAsia="宋体" w:cs="宋体"/>
                <w:w w:val="99"/>
                <w:sz w:val="20"/>
                <w:szCs w:val="20"/>
                <w:lang w:eastAsia="zh-CN"/>
              </w:rPr>
              <w:t xml:space="preserve"> </w:t>
            </w:r>
            <w:r>
              <w:rPr>
                <w:rFonts w:ascii="宋体" w:hAnsi="宋体" w:eastAsia="宋体" w:cs="宋体"/>
                <w:sz w:val="20"/>
                <w:szCs w:val="20"/>
                <w:lang w:eastAsia="zh-CN"/>
              </w:rPr>
              <w:t>1</w:t>
            </w:r>
            <w:r>
              <w:rPr>
                <w:rFonts w:ascii="宋体" w:hAnsi="宋体" w:eastAsia="宋体" w:cs="宋体"/>
                <w:spacing w:val="-51"/>
                <w:sz w:val="20"/>
                <w:szCs w:val="20"/>
                <w:lang w:eastAsia="zh-CN"/>
              </w:rPr>
              <w:t xml:space="preserve"> </w:t>
            </w:r>
            <w:r>
              <w:rPr>
                <w:rFonts w:ascii="宋体" w:hAnsi="宋体" w:eastAsia="宋体" w:cs="宋体"/>
                <w:sz w:val="20"/>
                <w:szCs w:val="20"/>
                <w:lang w:eastAsia="zh-CN"/>
              </w:rPr>
              <w:t>分</w:t>
            </w:r>
          </w:p>
        </w:tc>
        <w:tc>
          <w:tcPr>
            <w:tcW w:w="1211" w:type="dxa"/>
            <w:tcBorders>
              <w:top w:val="single" w:color="000000" w:sz="4" w:space="0"/>
              <w:left w:val="single" w:color="000000" w:sz="4" w:space="0"/>
              <w:bottom w:val="single" w:color="000000" w:sz="4" w:space="0"/>
              <w:right w:val="single" w:color="000000" w:sz="4" w:space="0"/>
            </w:tcBorders>
          </w:tcPr>
          <w:p>
            <w:pPr>
              <w:pStyle w:val="38"/>
              <w:spacing w:line="285" w:lineRule="auto"/>
              <w:ind w:left="300" w:right="201" w:hanging="101"/>
              <w:rPr>
                <w:rFonts w:ascii="宋体" w:hAnsi="宋体" w:eastAsia="宋体" w:cs="宋体"/>
                <w:sz w:val="20"/>
                <w:szCs w:val="20"/>
              </w:rPr>
            </w:pPr>
            <w:r>
              <w:rPr>
                <w:rFonts w:ascii="宋体" w:hAnsi="宋体" w:eastAsia="宋体" w:cs="宋体"/>
                <w:sz w:val="20"/>
                <w:szCs w:val="20"/>
              </w:rPr>
              <w:t>计划表与</w:t>
            </w:r>
            <w:r>
              <w:rPr>
                <w:rFonts w:ascii="宋体" w:hAnsi="宋体" w:eastAsia="宋体" w:cs="宋体"/>
                <w:w w:val="99"/>
                <w:sz w:val="20"/>
                <w:szCs w:val="20"/>
              </w:rPr>
              <w:t xml:space="preserve"> </w:t>
            </w:r>
            <w:r>
              <w:rPr>
                <w:rFonts w:ascii="宋体" w:hAnsi="宋体" w:eastAsia="宋体" w:cs="宋体"/>
                <w:sz w:val="20"/>
                <w:szCs w:val="20"/>
              </w:rPr>
              <w:t>工作单</w:t>
            </w:r>
          </w:p>
        </w:tc>
        <w:tc>
          <w:tcPr>
            <w:tcW w:w="485"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c>
          <w:tcPr>
            <w:tcW w:w="1263"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c>
          <w:tcPr>
            <w:tcW w:w="434"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c>
          <w:tcPr>
            <w:tcW w:w="1149"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946" w:hRule="exact"/>
        </w:trPr>
        <w:tc>
          <w:tcPr>
            <w:tcW w:w="859" w:type="dxa"/>
            <w:vMerge w:val="continue"/>
            <w:tcBorders>
              <w:left w:val="single" w:color="000000" w:sz="4" w:space="0"/>
              <w:right w:val="single" w:color="000000" w:sz="4" w:space="0"/>
            </w:tcBorders>
          </w:tcPr>
          <w:p>
            <w:pPr>
              <w:rPr>
                <w:rFonts w:eastAsiaTheme="minorEastAsia" w:cstheme="minorBidi"/>
                <w:lang w:eastAsia="en-US"/>
              </w:rPr>
            </w:pPr>
          </w:p>
        </w:tc>
        <w:tc>
          <w:tcPr>
            <w:tcW w:w="548" w:type="dxa"/>
            <w:tcBorders>
              <w:top w:val="single" w:color="000000" w:sz="4" w:space="0"/>
              <w:left w:val="single" w:color="000000" w:sz="4" w:space="0"/>
              <w:bottom w:val="single" w:color="000000" w:sz="4" w:space="0"/>
              <w:right w:val="single" w:color="000000" w:sz="4" w:space="0"/>
            </w:tcBorders>
          </w:tcPr>
          <w:p>
            <w:pPr>
              <w:pStyle w:val="38"/>
              <w:spacing w:line="257" w:lineRule="exact"/>
              <w:ind w:left="119"/>
              <w:rPr>
                <w:rFonts w:ascii="宋体" w:hAnsi="宋体" w:eastAsia="宋体" w:cs="宋体"/>
                <w:sz w:val="20"/>
                <w:szCs w:val="20"/>
              </w:rPr>
            </w:pPr>
            <w:r>
              <w:rPr>
                <w:rFonts w:ascii="宋体"/>
                <w:sz w:val="20"/>
              </w:rPr>
              <w:t>15%</w:t>
            </w:r>
          </w:p>
        </w:tc>
        <w:tc>
          <w:tcPr>
            <w:tcW w:w="1635" w:type="dxa"/>
            <w:tcBorders>
              <w:top w:val="single" w:color="000000" w:sz="4" w:space="0"/>
              <w:left w:val="single" w:color="000000" w:sz="4" w:space="0"/>
              <w:bottom w:val="single" w:color="000000" w:sz="4" w:space="0"/>
              <w:right w:val="single" w:color="000000" w:sz="4" w:space="0"/>
            </w:tcBorders>
          </w:tcPr>
          <w:p>
            <w:pPr>
              <w:pStyle w:val="38"/>
              <w:spacing w:line="285" w:lineRule="auto"/>
              <w:ind w:left="612" w:right="113" w:hanging="502"/>
              <w:rPr>
                <w:rFonts w:ascii="宋体" w:hAnsi="宋体" w:eastAsia="宋体" w:cs="宋体"/>
                <w:sz w:val="20"/>
                <w:szCs w:val="20"/>
              </w:rPr>
            </w:pPr>
            <w:r>
              <w:rPr>
                <w:rFonts w:ascii="宋体" w:hAnsi="宋体" w:eastAsia="宋体" w:cs="宋体"/>
                <w:sz w:val="20"/>
                <w:szCs w:val="20"/>
              </w:rPr>
              <w:t>水质检查报告合</w:t>
            </w:r>
            <w:r>
              <w:rPr>
                <w:rFonts w:ascii="宋体" w:hAnsi="宋体" w:eastAsia="宋体" w:cs="宋体"/>
                <w:w w:val="99"/>
                <w:sz w:val="20"/>
                <w:szCs w:val="20"/>
              </w:rPr>
              <w:t xml:space="preserve"> </w:t>
            </w:r>
            <w:r>
              <w:rPr>
                <w:rFonts w:ascii="宋体" w:hAnsi="宋体" w:eastAsia="宋体" w:cs="宋体"/>
                <w:sz w:val="20"/>
                <w:szCs w:val="20"/>
              </w:rPr>
              <w:t>格率</w:t>
            </w:r>
          </w:p>
        </w:tc>
        <w:tc>
          <w:tcPr>
            <w:tcW w:w="1241" w:type="dxa"/>
            <w:tcBorders>
              <w:top w:val="single" w:color="000000" w:sz="4" w:space="0"/>
              <w:left w:val="single" w:color="000000" w:sz="4" w:space="0"/>
              <w:bottom w:val="single" w:color="000000" w:sz="4" w:space="0"/>
              <w:right w:val="single" w:color="000000" w:sz="4" w:space="0"/>
            </w:tcBorders>
          </w:tcPr>
          <w:p>
            <w:pPr>
              <w:pStyle w:val="38"/>
              <w:spacing w:line="257" w:lineRule="exact"/>
              <w:ind w:left="216"/>
              <w:rPr>
                <w:rFonts w:ascii="宋体" w:hAnsi="宋体" w:eastAsia="宋体" w:cs="宋体"/>
                <w:sz w:val="20"/>
                <w:szCs w:val="20"/>
              </w:rPr>
            </w:pPr>
            <w:r>
              <w:rPr>
                <w:rFonts w:ascii="宋体" w:hAnsi="宋体" w:eastAsia="宋体" w:cs="宋体"/>
                <w:sz w:val="20"/>
                <w:szCs w:val="20"/>
              </w:rPr>
              <w:t>水质报告</w:t>
            </w:r>
          </w:p>
        </w:tc>
        <w:tc>
          <w:tcPr>
            <w:tcW w:w="1231" w:type="dxa"/>
            <w:tcBorders>
              <w:top w:val="single" w:color="000000" w:sz="4" w:space="0"/>
              <w:left w:val="single" w:color="000000" w:sz="4" w:space="0"/>
              <w:bottom w:val="single" w:color="000000" w:sz="4" w:space="0"/>
              <w:right w:val="single" w:color="000000" w:sz="4" w:space="0"/>
            </w:tcBorders>
          </w:tcPr>
          <w:p>
            <w:pPr>
              <w:pStyle w:val="38"/>
              <w:spacing w:line="285" w:lineRule="auto"/>
              <w:ind w:left="110" w:right="110"/>
              <w:jc w:val="center"/>
              <w:rPr>
                <w:rFonts w:ascii="宋体" w:hAnsi="宋体" w:eastAsia="宋体" w:cs="宋体"/>
                <w:sz w:val="20"/>
                <w:szCs w:val="20"/>
                <w:lang w:eastAsia="zh-CN"/>
              </w:rPr>
            </w:pPr>
            <w:r>
              <w:rPr>
                <w:rFonts w:ascii="宋体" w:hAnsi="宋体" w:eastAsia="宋体" w:cs="宋体"/>
                <w:sz w:val="20"/>
                <w:szCs w:val="20"/>
                <w:lang w:eastAsia="zh-CN"/>
              </w:rPr>
              <w:t>每存在不合</w:t>
            </w:r>
            <w:r>
              <w:rPr>
                <w:rFonts w:ascii="宋体" w:hAnsi="宋体" w:eastAsia="宋体" w:cs="宋体"/>
                <w:w w:val="99"/>
                <w:sz w:val="20"/>
                <w:szCs w:val="20"/>
                <w:lang w:eastAsia="zh-CN"/>
              </w:rPr>
              <w:t xml:space="preserve"> </w:t>
            </w:r>
            <w:r>
              <w:rPr>
                <w:rFonts w:ascii="宋体" w:hAnsi="宋体" w:eastAsia="宋体" w:cs="宋体"/>
                <w:sz w:val="20"/>
                <w:szCs w:val="20"/>
                <w:lang w:eastAsia="zh-CN"/>
              </w:rPr>
              <w:t>格一项扣</w:t>
            </w:r>
            <w:r>
              <w:rPr>
                <w:rFonts w:ascii="宋体" w:hAnsi="宋体" w:eastAsia="宋体" w:cs="宋体"/>
                <w:spacing w:val="-52"/>
                <w:sz w:val="20"/>
                <w:szCs w:val="20"/>
                <w:lang w:eastAsia="zh-CN"/>
              </w:rPr>
              <w:t xml:space="preserve"> </w:t>
            </w:r>
            <w:r>
              <w:rPr>
                <w:rFonts w:ascii="宋体" w:hAnsi="宋体" w:eastAsia="宋体" w:cs="宋体"/>
                <w:sz w:val="20"/>
                <w:szCs w:val="20"/>
                <w:lang w:eastAsia="zh-CN"/>
              </w:rPr>
              <w:t>3</w:t>
            </w:r>
            <w:r>
              <w:rPr>
                <w:rFonts w:ascii="宋体" w:hAnsi="宋体" w:eastAsia="宋体" w:cs="宋体"/>
                <w:w w:val="99"/>
                <w:sz w:val="20"/>
                <w:szCs w:val="20"/>
                <w:lang w:eastAsia="zh-CN"/>
              </w:rPr>
              <w:t xml:space="preserve"> </w:t>
            </w:r>
            <w:r>
              <w:rPr>
                <w:rFonts w:ascii="宋体" w:hAnsi="宋体" w:eastAsia="宋体" w:cs="宋体"/>
                <w:sz w:val="20"/>
                <w:szCs w:val="20"/>
                <w:lang w:eastAsia="zh-CN"/>
              </w:rPr>
              <w:t>分</w:t>
            </w:r>
          </w:p>
        </w:tc>
        <w:tc>
          <w:tcPr>
            <w:tcW w:w="1211" w:type="dxa"/>
            <w:vMerge w:val="restart"/>
            <w:tcBorders>
              <w:top w:val="single" w:color="000000" w:sz="4" w:space="0"/>
              <w:left w:val="single" w:color="000000" w:sz="4" w:space="0"/>
              <w:right w:val="single" w:color="000000" w:sz="4" w:space="0"/>
            </w:tcBorders>
          </w:tcPr>
          <w:p>
            <w:pPr>
              <w:pStyle w:val="38"/>
              <w:spacing w:before="6"/>
              <w:rPr>
                <w:rFonts w:ascii="宋体" w:hAnsi="宋体" w:eastAsia="宋体" w:cs="宋体"/>
                <w:sz w:val="23"/>
                <w:szCs w:val="23"/>
                <w:lang w:eastAsia="zh-CN"/>
              </w:rPr>
            </w:pPr>
          </w:p>
          <w:p>
            <w:pPr>
              <w:pStyle w:val="38"/>
              <w:spacing w:line="285" w:lineRule="auto"/>
              <w:ind w:left="199" w:right="201"/>
              <w:rPr>
                <w:rFonts w:ascii="宋体" w:hAnsi="宋体" w:eastAsia="宋体" w:cs="宋体"/>
                <w:sz w:val="20"/>
                <w:szCs w:val="20"/>
              </w:rPr>
            </w:pPr>
            <w:r>
              <w:rPr>
                <w:rFonts w:ascii="宋体" w:hAnsi="宋体" w:eastAsia="宋体" w:cs="宋体"/>
                <w:sz w:val="20"/>
                <w:szCs w:val="20"/>
              </w:rPr>
              <w:t>自检及第</w:t>
            </w:r>
            <w:r>
              <w:rPr>
                <w:rFonts w:ascii="宋体" w:hAnsi="宋体" w:eastAsia="宋体" w:cs="宋体"/>
                <w:w w:val="99"/>
                <w:sz w:val="20"/>
                <w:szCs w:val="20"/>
              </w:rPr>
              <w:t xml:space="preserve"> </w:t>
            </w:r>
            <w:r>
              <w:rPr>
                <w:rFonts w:ascii="宋体" w:hAnsi="宋体" w:eastAsia="宋体" w:cs="宋体"/>
                <w:sz w:val="20"/>
                <w:szCs w:val="20"/>
              </w:rPr>
              <w:t>三方检测</w:t>
            </w:r>
          </w:p>
        </w:tc>
        <w:tc>
          <w:tcPr>
            <w:tcW w:w="485"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c>
          <w:tcPr>
            <w:tcW w:w="1263"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c>
          <w:tcPr>
            <w:tcW w:w="434"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c>
          <w:tcPr>
            <w:tcW w:w="1149"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634" w:hRule="exact"/>
        </w:trPr>
        <w:tc>
          <w:tcPr>
            <w:tcW w:w="859"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548" w:type="dxa"/>
            <w:tcBorders>
              <w:top w:val="single" w:color="000000" w:sz="4" w:space="0"/>
              <w:left w:val="single" w:color="000000" w:sz="4" w:space="0"/>
              <w:bottom w:val="single" w:color="000000" w:sz="4" w:space="0"/>
              <w:right w:val="single" w:color="000000" w:sz="4" w:space="0"/>
            </w:tcBorders>
          </w:tcPr>
          <w:p>
            <w:pPr>
              <w:pStyle w:val="38"/>
              <w:spacing w:line="257" w:lineRule="exact"/>
              <w:ind w:left="169"/>
              <w:rPr>
                <w:rFonts w:ascii="宋体" w:hAnsi="宋体" w:eastAsia="宋体" w:cs="宋体"/>
                <w:sz w:val="20"/>
                <w:szCs w:val="20"/>
              </w:rPr>
            </w:pPr>
            <w:r>
              <w:rPr>
                <w:rFonts w:ascii="宋体"/>
                <w:sz w:val="20"/>
              </w:rPr>
              <w:t>5%</w:t>
            </w:r>
          </w:p>
        </w:tc>
        <w:tc>
          <w:tcPr>
            <w:tcW w:w="1635" w:type="dxa"/>
            <w:tcBorders>
              <w:top w:val="single" w:color="000000" w:sz="4" w:space="0"/>
              <w:left w:val="single" w:color="000000" w:sz="4" w:space="0"/>
              <w:bottom w:val="single" w:color="000000" w:sz="4" w:space="0"/>
              <w:right w:val="single" w:color="000000" w:sz="4" w:space="0"/>
            </w:tcBorders>
          </w:tcPr>
          <w:p>
            <w:pPr>
              <w:pStyle w:val="38"/>
              <w:spacing w:line="285" w:lineRule="auto"/>
              <w:ind w:left="612" w:right="113" w:hanging="502"/>
              <w:rPr>
                <w:rFonts w:ascii="宋体" w:hAnsi="宋体" w:eastAsia="宋体" w:cs="宋体"/>
                <w:sz w:val="20"/>
                <w:szCs w:val="20"/>
              </w:rPr>
            </w:pPr>
            <w:r>
              <w:rPr>
                <w:rFonts w:ascii="宋体" w:hAnsi="宋体" w:eastAsia="宋体" w:cs="宋体"/>
                <w:sz w:val="20"/>
                <w:szCs w:val="20"/>
              </w:rPr>
              <w:t>水质检查报告及</w:t>
            </w:r>
            <w:r>
              <w:rPr>
                <w:rFonts w:ascii="宋体" w:hAnsi="宋体" w:eastAsia="宋体" w:cs="宋体"/>
                <w:w w:val="99"/>
                <w:sz w:val="20"/>
                <w:szCs w:val="20"/>
              </w:rPr>
              <w:t xml:space="preserve"> </w:t>
            </w:r>
            <w:r>
              <w:rPr>
                <w:rFonts w:ascii="宋体" w:hAnsi="宋体" w:eastAsia="宋体" w:cs="宋体"/>
                <w:sz w:val="20"/>
                <w:szCs w:val="20"/>
              </w:rPr>
              <w:t>时率</w:t>
            </w:r>
          </w:p>
        </w:tc>
        <w:tc>
          <w:tcPr>
            <w:tcW w:w="1241" w:type="dxa"/>
            <w:tcBorders>
              <w:top w:val="single" w:color="000000" w:sz="4" w:space="0"/>
              <w:left w:val="single" w:color="000000" w:sz="4" w:space="0"/>
              <w:bottom w:val="single" w:color="000000" w:sz="4" w:space="0"/>
              <w:right w:val="single" w:color="000000" w:sz="4" w:space="0"/>
            </w:tcBorders>
          </w:tcPr>
          <w:p>
            <w:pPr>
              <w:pStyle w:val="38"/>
              <w:spacing w:line="285" w:lineRule="auto"/>
              <w:ind w:left="216" w:right="101" w:hanging="113"/>
              <w:rPr>
                <w:rFonts w:ascii="宋体" w:hAnsi="宋体" w:eastAsia="宋体" w:cs="宋体"/>
                <w:sz w:val="20"/>
                <w:szCs w:val="20"/>
              </w:rPr>
            </w:pPr>
            <w:r>
              <w:rPr>
                <w:rFonts w:ascii="宋体" w:hAnsi="宋体" w:eastAsia="宋体" w:cs="宋体"/>
                <w:sz w:val="20"/>
                <w:szCs w:val="20"/>
              </w:rPr>
              <w:t>30</w:t>
            </w:r>
            <w:r>
              <w:rPr>
                <w:rFonts w:ascii="宋体" w:hAnsi="宋体" w:eastAsia="宋体" w:cs="宋体"/>
                <w:spacing w:val="-77"/>
                <w:sz w:val="20"/>
                <w:szCs w:val="20"/>
              </w:rPr>
              <w:t xml:space="preserve"> </w:t>
            </w:r>
            <w:r>
              <w:rPr>
                <w:rFonts w:ascii="宋体" w:hAnsi="宋体" w:eastAsia="宋体" w:cs="宋体"/>
                <w:sz w:val="20"/>
                <w:szCs w:val="20"/>
              </w:rPr>
              <w:t>日前给出</w:t>
            </w:r>
            <w:r>
              <w:rPr>
                <w:rFonts w:ascii="宋体" w:hAnsi="宋体" w:eastAsia="宋体" w:cs="宋体"/>
                <w:w w:val="99"/>
                <w:sz w:val="20"/>
                <w:szCs w:val="20"/>
              </w:rPr>
              <w:t xml:space="preserve"> </w:t>
            </w:r>
            <w:r>
              <w:rPr>
                <w:rFonts w:ascii="宋体" w:hAnsi="宋体" w:eastAsia="宋体" w:cs="宋体"/>
                <w:sz w:val="20"/>
                <w:szCs w:val="20"/>
              </w:rPr>
              <w:t>水质报告</w:t>
            </w:r>
          </w:p>
        </w:tc>
        <w:tc>
          <w:tcPr>
            <w:tcW w:w="1231" w:type="dxa"/>
            <w:tcBorders>
              <w:top w:val="single" w:color="000000" w:sz="4" w:space="0"/>
              <w:left w:val="single" w:color="000000" w:sz="4" w:space="0"/>
              <w:bottom w:val="single" w:color="000000" w:sz="4" w:space="0"/>
              <w:right w:val="single" w:color="000000" w:sz="4" w:space="0"/>
            </w:tcBorders>
          </w:tcPr>
          <w:p>
            <w:pPr>
              <w:pStyle w:val="38"/>
              <w:spacing w:line="285" w:lineRule="auto"/>
              <w:ind w:left="309" w:right="110" w:hanging="200"/>
              <w:rPr>
                <w:rFonts w:ascii="宋体" w:hAnsi="宋体" w:eastAsia="宋体" w:cs="宋体"/>
                <w:sz w:val="20"/>
                <w:szCs w:val="20"/>
              </w:rPr>
            </w:pPr>
            <w:r>
              <w:rPr>
                <w:rFonts w:ascii="宋体" w:hAnsi="宋体" w:eastAsia="宋体" w:cs="宋体"/>
                <w:sz w:val="20"/>
                <w:szCs w:val="20"/>
              </w:rPr>
              <w:t>每推迟一天</w:t>
            </w:r>
            <w:r>
              <w:rPr>
                <w:rFonts w:ascii="宋体" w:hAnsi="宋体" w:eastAsia="宋体" w:cs="宋体"/>
                <w:w w:val="99"/>
                <w:sz w:val="20"/>
                <w:szCs w:val="20"/>
              </w:rPr>
              <w:t xml:space="preserve"> </w:t>
            </w:r>
            <w:r>
              <w:rPr>
                <w:rFonts w:ascii="宋体" w:hAnsi="宋体" w:eastAsia="宋体" w:cs="宋体"/>
                <w:sz w:val="20"/>
                <w:szCs w:val="20"/>
              </w:rPr>
              <w:t>扣</w:t>
            </w:r>
            <w:r>
              <w:rPr>
                <w:rFonts w:ascii="宋体" w:hAnsi="宋体" w:eastAsia="宋体" w:cs="宋体"/>
                <w:spacing w:val="-52"/>
                <w:sz w:val="20"/>
                <w:szCs w:val="20"/>
              </w:rPr>
              <w:t xml:space="preserve"> </w:t>
            </w:r>
            <w:r>
              <w:rPr>
                <w:rFonts w:ascii="宋体" w:hAnsi="宋体" w:eastAsia="宋体" w:cs="宋体"/>
                <w:sz w:val="20"/>
                <w:szCs w:val="20"/>
              </w:rPr>
              <w:t>1</w:t>
            </w:r>
            <w:r>
              <w:rPr>
                <w:rFonts w:ascii="宋体" w:hAnsi="宋体" w:eastAsia="宋体" w:cs="宋体"/>
                <w:spacing w:val="-51"/>
                <w:sz w:val="20"/>
                <w:szCs w:val="20"/>
              </w:rPr>
              <w:t xml:space="preserve"> </w:t>
            </w:r>
            <w:r>
              <w:rPr>
                <w:rFonts w:ascii="宋体" w:hAnsi="宋体" w:eastAsia="宋体" w:cs="宋体"/>
                <w:sz w:val="20"/>
                <w:szCs w:val="20"/>
              </w:rPr>
              <w:t>分</w:t>
            </w:r>
          </w:p>
        </w:tc>
        <w:tc>
          <w:tcPr>
            <w:tcW w:w="1211"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485"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c>
          <w:tcPr>
            <w:tcW w:w="1263"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c>
          <w:tcPr>
            <w:tcW w:w="434"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c>
          <w:tcPr>
            <w:tcW w:w="1149"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1570" w:hRule="exact"/>
        </w:trPr>
        <w:tc>
          <w:tcPr>
            <w:tcW w:w="859" w:type="dxa"/>
            <w:vMerge w:val="restart"/>
            <w:tcBorders>
              <w:top w:val="single" w:color="000000" w:sz="4" w:space="0"/>
              <w:left w:val="single" w:color="000000" w:sz="4" w:space="0"/>
              <w:right w:val="single" w:color="000000" w:sz="4" w:space="0"/>
            </w:tcBorders>
          </w:tcPr>
          <w:p>
            <w:pPr>
              <w:pStyle w:val="38"/>
              <w:rPr>
                <w:rFonts w:ascii="宋体" w:hAnsi="宋体" w:eastAsia="宋体" w:cs="宋体"/>
                <w:sz w:val="20"/>
                <w:szCs w:val="20"/>
              </w:rPr>
            </w:pPr>
          </w:p>
          <w:p>
            <w:pPr>
              <w:pStyle w:val="38"/>
              <w:spacing w:before="6"/>
              <w:rPr>
                <w:rFonts w:ascii="宋体" w:hAnsi="宋体" w:eastAsia="宋体" w:cs="宋体"/>
                <w:sz w:val="27"/>
                <w:szCs w:val="27"/>
              </w:rPr>
            </w:pPr>
          </w:p>
          <w:p>
            <w:pPr>
              <w:pStyle w:val="38"/>
              <w:spacing w:line="285" w:lineRule="auto"/>
              <w:ind w:left="174" w:right="123" w:hanging="51"/>
              <w:rPr>
                <w:rFonts w:ascii="宋体" w:hAnsi="宋体" w:eastAsia="宋体" w:cs="宋体"/>
                <w:sz w:val="20"/>
                <w:szCs w:val="20"/>
              </w:rPr>
            </w:pPr>
            <w:r>
              <w:rPr>
                <w:rFonts w:ascii="宋体" w:hAnsi="宋体" w:eastAsia="宋体" w:cs="宋体"/>
                <w:sz w:val="20"/>
                <w:szCs w:val="20"/>
              </w:rPr>
              <w:t>响应性</w:t>
            </w:r>
            <w:r>
              <w:rPr>
                <w:rFonts w:ascii="宋体" w:hAnsi="宋体" w:eastAsia="宋体" w:cs="宋体"/>
                <w:w w:val="99"/>
                <w:sz w:val="20"/>
                <w:szCs w:val="20"/>
              </w:rPr>
              <w:t xml:space="preserve"> </w:t>
            </w:r>
            <w:r>
              <w:rPr>
                <w:rFonts w:ascii="宋体" w:hAnsi="宋体" w:eastAsia="宋体" w:cs="宋体"/>
                <w:sz w:val="20"/>
                <w:szCs w:val="20"/>
              </w:rPr>
              <w:t>(15%)</w:t>
            </w:r>
          </w:p>
        </w:tc>
        <w:tc>
          <w:tcPr>
            <w:tcW w:w="548" w:type="dxa"/>
            <w:tcBorders>
              <w:top w:val="single" w:color="000000" w:sz="4" w:space="0"/>
              <w:left w:val="single" w:color="000000" w:sz="4" w:space="0"/>
              <w:bottom w:val="single" w:color="000000" w:sz="4" w:space="0"/>
              <w:right w:val="single" w:color="000000" w:sz="4" w:space="0"/>
            </w:tcBorders>
          </w:tcPr>
          <w:p>
            <w:pPr>
              <w:pStyle w:val="38"/>
              <w:spacing w:line="259" w:lineRule="exact"/>
              <w:ind w:left="119"/>
              <w:rPr>
                <w:rFonts w:ascii="宋体" w:hAnsi="宋体" w:eastAsia="宋体" w:cs="宋体"/>
                <w:sz w:val="20"/>
                <w:szCs w:val="20"/>
              </w:rPr>
            </w:pPr>
            <w:r>
              <w:rPr>
                <w:rFonts w:ascii="宋体"/>
                <w:sz w:val="20"/>
              </w:rPr>
              <w:t>10%</w:t>
            </w:r>
          </w:p>
        </w:tc>
        <w:tc>
          <w:tcPr>
            <w:tcW w:w="1635" w:type="dxa"/>
            <w:tcBorders>
              <w:top w:val="single" w:color="000000" w:sz="4" w:space="0"/>
              <w:left w:val="single" w:color="000000" w:sz="4" w:space="0"/>
              <w:bottom w:val="single" w:color="000000" w:sz="4" w:space="0"/>
              <w:right w:val="single" w:color="000000" w:sz="4" w:space="0"/>
            </w:tcBorders>
          </w:tcPr>
          <w:p>
            <w:pPr>
              <w:pStyle w:val="38"/>
              <w:spacing w:line="285" w:lineRule="auto"/>
              <w:ind w:left="111" w:right="113"/>
              <w:jc w:val="center"/>
              <w:rPr>
                <w:rFonts w:ascii="宋体" w:hAnsi="宋体" w:eastAsia="宋体" w:cs="宋体"/>
                <w:sz w:val="20"/>
                <w:szCs w:val="20"/>
                <w:lang w:eastAsia="zh-CN"/>
              </w:rPr>
            </w:pPr>
            <w:r>
              <w:rPr>
                <w:rFonts w:ascii="宋体" w:hAnsi="宋体" w:eastAsia="宋体" w:cs="宋体"/>
                <w:sz w:val="20"/>
                <w:szCs w:val="20"/>
                <w:lang w:eastAsia="zh-CN"/>
              </w:rPr>
              <w:t>影响生产和安全</w:t>
            </w:r>
            <w:r>
              <w:rPr>
                <w:rFonts w:ascii="宋体" w:hAnsi="宋体" w:eastAsia="宋体" w:cs="宋体"/>
                <w:w w:val="99"/>
                <w:sz w:val="20"/>
                <w:szCs w:val="20"/>
                <w:lang w:eastAsia="zh-CN"/>
              </w:rPr>
              <w:t xml:space="preserve"> </w:t>
            </w:r>
            <w:r>
              <w:rPr>
                <w:rFonts w:ascii="宋体" w:hAnsi="宋体" w:eastAsia="宋体" w:cs="宋体"/>
                <w:sz w:val="20"/>
                <w:szCs w:val="20"/>
                <w:lang w:eastAsia="zh-CN"/>
              </w:rPr>
              <w:t>的突发事故响应</w:t>
            </w:r>
            <w:r>
              <w:rPr>
                <w:rFonts w:ascii="宋体" w:hAnsi="宋体" w:eastAsia="宋体" w:cs="宋体"/>
                <w:w w:val="99"/>
                <w:sz w:val="20"/>
                <w:szCs w:val="20"/>
                <w:lang w:eastAsia="zh-CN"/>
              </w:rPr>
              <w:t xml:space="preserve"> </w:t>
            </w:r>
            <w:r>
              <w:rPr>
                <w:rFonts w:ascii="宋体" w:hAnsi="宋体" w:eastAsia="宋体" w:cs="宋体"/>
                <w:sz w:val="20"/>
                <w:szCs w:val="20"/>
                <w:lang w:eastAsia="zh-CN"/>
              </w:rPr>
              <w:t>时间</w:t>
            </w:r>
          </w:p>
        </w:tc>
        <w:tc>
          <w:tcPr>
            <w:tcW w:w="1241" w:type="dxa"/>
            <w:tcBorders>
              <w:top w:val="single" w:color="000000" w:sz="4" w:space="0"/>
              <w:left w:val="single" w:color="000000" w:sz="4" w:space="0"/>
              <w:bottom w:val="single" w:color="000000" w:sz="4" w:space="0"/>
              <w:right w:val="single" w:color="000000" w:sz="4" w:space="0"/>
            </w:tcBorders>
          </w:tcPr>
          <w:p>
            <w:pPr>
              <w:pStyle w:val="38"/>
              <w:spacing w:line="285" w:lineRule="auto"/>
              <w:ind w:left="314" w:right="139" w:hanging="176"/>
              <w:rPr>
                <w:rFonts w:ascii="宋体" w:hAnsi="宋体" w:eastAsia="宋体" w:cs="宋体"/>
                <w:sz w:val="20"/>
                <w:szCs w:val="20"/>
              </w:rPr>
            </w:pPr>
            <w:r>
              <w:rPr>
                <w:rFonts w:ascii="宋体" w:hAnsi="宋体" w:eastAsia="宋体" w:cs="宋体"/>
                <w:sz w:val="20"/>
                <w:szCs w:val="20"/>
              </w:rPr>
              <w:t>120</w:t>
            </w:r>
            <w:r>
              <w:rPr>
                <w:rFonts w:ascii="宋体" w:hAnsi="宋体" w:eastAsia="宋体" w:cs="宋体"/>
                <w:spacing w:val="-52"/>
                <w:sz w:val="20"/>
                <w:szCs w:val="20"/>
              </w:rPr>
              <w:t xml:space="preserve"> </w:t>
            </w:r>
            <w:r>
              <w:rPr>
                <w:rFonts w:ascii="宋体" w:hAnsi="宋体" w:eastAsia="宋体" w:cs="宋体"/>
                <w:sz w:val="20"/>
                <w:szCs w:val="20"/>
              </w:rPr>
              <w:t>分钟到</w:t>
            </w:r>
            <w:r>
              <w:rPr>
                <w:rFonts w:ascii="宋体" w:hAnsi="宋体" w:eastAsia="宋体" w:cs="宋体"/>
                <w:w w:val="99"/>
                <w:sz w:val="20"/>
                <w:szCs w:val="20"/>
              </w:rPr>
              <w:t xml:space="preserve"> </w:t>
            </w:r>
            <w:r>
              <w:rPr>
                <w:rFonts w:ascii="宋体" w:hAnsi="宋体" w:eastAsia="宋体" w:cs="宋体"/>
                <w:sz w:val="20"/>
                <w:szCs w:val="20"/>
              </w:rPr>
              <w:t>达现场</w:t>
            </w:r>
          </w:p>
        </w:tc>
        <w:tc>
          <w:tcPr>
            <w:tcW w:w="1231" w:type="dxa"/>
            <w:tcBorders>
              <w:top w:val="single" w:color="000000" w:sz="4" w:space="0"/>
              <w:left w:val="single" w:color="000000" w:sz="4" w:space="0"/>
              <w:bottom w:val="single" w:color="000000" w:sz="4" w:space="0"/>
              <w:right w:val="single" w:color="000000" w:sz="4" w:space="0"/>
            </w:tcBorders>
          </w:tcPr>
          <w:p>
            <w:pPr>
              <w:pStyle w:val="38"/>
              <w:spacing w:line="285" w:lineRule="auto"/>
              <w:ind w:left="103" w:right="118"/>
              <w:jc w:val="center"/>
              <w:rPr>
                <w:rFonts w:ascii="宋体" w:hAnsi="宋体" w:eastAsia="宋体" w:cs="宋体"/>
                <w:sz w:val="20"/>
                <w:szCs w:val="20"/>
              </w:rPr>
            </w:pPr>
            <w:r>
              <w:rPr>
                <w:rFonts w:ascii="宋体" w:hAnsi="宋体" w:eastAsia="宋体" w:cs="宋体"/>
                <w:sz w:val="20"/>
                <w:szCs w:val="20"/>
              </w:rPr>
              <w:t>单次每延迟</w:t>
            </w:r>
            <w:r>
              <w:rPr>
                <w:rFonts w:ascii="宋体" w:hAnsi="宋体" w:eastAsia="宋体" w:cs="宋体"/>
                <w:w w:val="99"/>
                <w:sz w:val="20"/>
                <w:szCs w:val="20"/>
              </w:rPr>
              <w:t xml:space="preserve"> </w:t>
            </w:r>
            <w:r>
              <w:rPr>
                <w:rFonts w:ascii="宋体" w:hAnsi="宋体" w:eastAsia="宋体" w:cs="宋体"/>
                <w:sz w:val="20"/>
                <w:szCs w:val="20"/>
              </w:rPr>
              <w:t>0.5</w:t>
            </w:r>
            <w:r>
              <w:rPr>
                <w:rFonts w:ascii="宋体" w:hAnsi="宋体" w:eastAsia="宋体" w:cs="宋体"/>
                <w:spacing w:val="-52"/>
                <w:sz w:val="20"/>
                <w:szCs w:val="20"/>
              </w:rPr>
              <w:t xml:space="preserve"> </w:t>
            </w:r>
            <w:r>
              <w:rPr>
                <w:rFonts w:ascii="宋体" w:hAnsi="宋体" w:eastAsia="宋体" w:cs="宋体"/>
                <w:sz w:val="20"/>
                <w:szCs w:val="20"/>
              </w:rPr>
              <w:t>小时扣</w:t>
            </w:r>
          </w:p>
          <w:p>
            <w:pPr>
              <w:pStyle w:val="38"/>
              <w:spacing w:before="12"/>
              <w:jc w:val="center"/>
              <w:rPr>
                <w:rFonts w:ascii="宋体" w:hAnsi="宋体" w:eastAsia="宋体" w:cs="宋体"/>
                <w:sz w:val="20"/>
                <w:szCs w:val="20"/>
              </w:rPr>
            </w:pPr>
            <w:r>
              <w:rPr>
                <w:rFonts w:ascii="宋体" w:hAnsi="宋体" w:eastAsia="宋体" w:cs="宋体"/>
                <w:sz w:val="20"/>
                <w:szCs w:val="20"/>
              </w:rPr>
              <w:t>1</w:t>
            </w:r>
            <w:r>
              <w:rPr>
                <w:rFonts w:ascii="宋体" w:hAnsi="宋体" w:eastAsia="宋体" w:cs="宋体"/>
                <w:spacing w:val="-51"/>
                <w:sz w:val="20"/>
                <w:szCs w:val="20"/>
              </w:rPr>
              <w:t xml:space="preserve"> </w:t>
            </w:r>
            <w:r>
              <w:rPr>
                <w:rFonts w:ascii="宋体" w:hAnsi="宋体" w:eastAsia="宋体" w:cs="宋体"/>
                <w:sz w:val="20"/>
                <w:szCs w:val="20"/>
              </w:rPr>
              <w:t>分</w:t>
            </w:r>
          </w:p>
        </w:tc>
        <w:tc>
          <w:tcPr>
            <w:tcW w:w="1211" w:type="dxa"/>
            <w:tcBorders>
              <w:top w:val="single" w:color="000000" w:sz="4" w:space="0"/>
              <w:left w:val="single" w:color="000000" w:sz="4" w:space="0"/>
              <w:bottom w:val="single" w:color="000000" w:sz="4" w:space="0"/>
              <w:right w:val="single" w:color="000000" w:sz="4" w:space="0"/>
            </w:tcBorders>
          </w:tcPr>
          <w:p>
            <w:pPr>
              <w:pStyle w:val="38"/>
              <w:spacing w:line="285" w:lineRule="auto"/>
              <w:ind w:left="103" w:right="102" w:hanging="3"/>
              <w:jc w:val="center"/>
              <w:rPr>
                <w:rFonts w:ascii="宋体" w:hAnsi="宋体" w:eastAsia="宋体" w:cs="宋体"/>
                <w:sz w:val="20"/>
                <w:szCs w:val="20"/>
                <w:lang w:eastAsia="zh-CN"/>
              </w:rPr>
            </w:pPr>
            <w:r>
              <w:rPr>
                <w:rFonts w:ascii="宋体" w:hAnsi="宋体" w:eastAsia="宋体" w:cs="宋体"/>
                <w:sz w:val="20"/>
                <w:szCs w:val="20"/>
                <w:lang w:eastAsia="zh-CN"/>
              </w:rPr>
              <w:t>从接到通</w:t>
            </w:r>
            <w:r>
              <w:rPr>
                <w:rFonts w:ascii="宋体" w:hAnsi="宋体" w:eastAsia="宋体" w:cs="宋体"/>
                <w:w w:val="99"/>
                <w:sz w:val="20"/>
                <w:szCs w:val="20"/>
                <w:lang w:eastAsia="zh-CN"/>
              </w:rPr>
              <w:t xml:space="preserve"> </w:t>
            </w:r>
            <w:r>
              <w:rPr>
                <w:rFonts w:ascii="宋体" w:hAnsi="宋体" w:eastAsia="宋体" w:cs="宋体"/>
                <w:sz w:val="20"/>
                <w:szCs w:val="20"/>
                <w:lang w:eastAsia="zh-CN"/>
              </w:rPr>
              <w:t>知到现场</w:t>
            </w:r>
            <w:r>
              <w:rPr>
                <w:rFonts w:ascii="宋体" w:hAnsi="宋体" w:eastAsia="宋体" w:cs="宋体"/>
                <w:w w:val="99"/>
                <w:sz w:val="20"/>
                <w:szCs w:val="20"/>
                <w:lang w:eastAsia="zh-CN"/>
              </w:rPr>
              <w:t xml:space="preserve"> </w:t>
            </w:r>
            <w:r>
              <w:rPr>
                <w:rFonts w:ascii="宋体" w:hAnsi="宋体" w:eastAsia="宋体" w:cs="宋体"/>
                <w:w w:val="95"/>
                <w:sz w:val="20"/>
                <w:szCs w:val="20"/>
                <w:lang w:eastAsia="zh-CN"/>
              </w:rPr>
              <w:t>时间（能解</w:t>
            </w:r>
            <w:r>
              <w:rPr>
                <w:rFonts w:ascii="宋体" w:hAnsi="宋体" w:eastAsia="宋体" w:cs="宋体"/>
                <w:spacing w:val="-63"/>
                <w:w w:val="95"/>
                <w:sz w:val="20"/>
                <w:szCs w:val="20"/>
                <w:lang w:eastAsia="zh-CN"/>
              </w:rPr>
              <w:t xml:space="preserve"> </w:t>
            </w:r>
            <w:r>
              <w:rPr>
                <w:rFonts w:ascii="宋体" w:hAnsi="宋体" w:eastAsia="宋体" w:cs="宋体"/>
                <w:sz w:val="20"/>
                <w:szCs w:val="20"/>
                <w:lang w:eastAsia="zh-CN"/>
              </w:rPr>
              <w:t>决问题的</w:t>
            </w:r>
            <w:r>
              <w:rPr>
                <w:rFonts w:ascii="宋体" w:hAnsi="宋体" w:eastAsia="宋体" w:cs="宋体"/>
                <w:w w:val="99"/>
                <w:sz w:val="20"/>
                <w:szCs w:val="20"/>
                <w:lang w:eastAsia="zh-CN"/>
              </w:rPr>
              <w:t xml:space="preserve"> </w:t>
            </w:r>
            <w:r>
              <w:rPr>
                <w:rFonts w:ascii="宋体" w:hAnsi="宋体" w:eastAsia="宋体" w:cs="宋体"/>
                <w:sz w:val="20"/>
                <w:szCs w:val="20"/>
                <w:lang w:eastAsia="zh-CN"/>
              </w:rPr>
              <w:t>人）</w:t>
            </w:r>
          </w:p>
        </w:tc>
        <w:tc>
          <w:tcPr>
            <w:tcW w:w="485"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1263"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434"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1149"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r>
      <w:tr>
        <w:tblPrEx>
          <w:tblCellMar>
            <w:top w:w="0" w:type="dxa"/>
            <w:left w:w="0" w:type="dxa"/>
            <w:bottom w:w="0" w:type="dxa"/>
            <w:right w:w="0" w:type="dxa"/>
          </w:tblCellMar>
        </w:tblPrEx>
        <w:trPr>
          <w:trHeight w:val="1570" w:hRule="exact"/>
        </w:trPr>
        <w:tc>
          <w:tcPr>
            <w:tcW w:w="859" w:type="dxa"/>
            <w:vMerge w:val="continue"/>
            <w:tcBorders>
              <w:left w:val="single" w:color="000000" w:sz="4" w:space="0"/>
              <w:bottom w:val="single" w:color="000000" w:sz="4" w:space="0"/>
              <w:right w:val="single" w:color="000000" w:sz="4" w:space="0"/>
            </w:tcBorders>
          </w:tcPr>
          <w:p>
            <w:pPr>
              <w:rPr>
                <w:rFonts w:eastAsiaTheme="minorEastAsia" w:cstheme="minorBidi"/>
                <w:lang w:eastAsia="zh-CN"/>
              </w:rPr>
            </w:pPr>
          </w:p>
        </w:tc>
        <w:tc>
          <w:tcPr>
            <w:tcW w:w="548" w:type="dxa"/>
            <w:tcBorders>
              <w:top w:val="single" w:color="000000" w:sz="4" w:space="0"/>
              <w:left w:val="single" w:color="000000" w:sz="4" w:space="0"/>
              <w:bottom w:val="single" w:color="000000" w:sz="4" w:space="0"/>
              <w:right w:val="single" w:color="000000" w:sz="4" w:space="0"/>
            </w:tcBorders>
          </w:tcPr>
          <w:p>
            <w:pPr>
              <w:pStyle w:val="38"/>
              <w:spacing w:line="258" w:lineRule="exact"/>
              <w:ind w:left="169"/>
              <w:rPr>
                <w:rFonts w:ascii="宋体" w:hAnsi="宋体" w:eastAsia="宋体" w:cs="宋体"/>
                <w:sz w:val="20"/>
                <w:szCs w:val="20"/>
              </w:rPr>
            </w:pPr>
            <w:r>
              <w:rPr>
                <w:rFonts w:ascii="宋体"/>
                <w:sz w:val="20"/>
              </w:rPr>
              <w:t>5%</w:t>
            </w:r>
          </w:p>
        </w:tc>
        <w:tc>
          <w:tcPr>
            <w:tcW w:w="1635" w:type="dxa"/>
            <w:tcBorders>
              <w:top w:val="single" w:color="000000" w:sz="4" w:space="0"/>
              <w:left w:val="single" w:color="000000" w:sz="4" w:space="0"/>
              <w:bottom w:val="single" w:color="000000" w:sz="4" w:space="0"/>
              <w:right w:val="single" w:color="000000" w:sz="4" w:space="0"/>
            </w:tcBorders>
          </w:tcPr>
          <w:p>
            <w:pPr>
              <w:pStyle w:val="38"/>
              <w:spacing w:line="285" w:lineRule="auto"/>
              <w:ind w:left="512" w:right="113" w:hanging="401"/>
              <w:rPr>
                <w:rFonts w:ascii="宋体" w:hAnsi="宋体" w:eastAsia="宋体" w:cs="宋体"/>
                <w:sz w:val="20"/>
                <w:szCs w:val="20"/>
                <w:lang w:eastAsia="zh-CN"/>
              </w:rPr>
            </w:pPr>
            <w:r>
              <w:rPr>
                <w:rFonts w:ascii="宋体" w:hAnsi="宋体" w:eastAsia="宋体" w:cs="宋体"/>
                <w:sz w:val="20"/>
                <w:szCs w:val="20"/>
                <w:lang w:eastAsia="zh-CN"/>
              </w:rPr>
              <w:t>一般设备故障响</w:t>
            </w:r>
            <w:r>
              <w:rPr>
                <w:rFonts w:ascii="宋体" w:hAnsi="宋体" w:eastAsia="宋体" w:cs="宋体"/>
                <w:w w:val="99"/>
                <w:sz w:val="20"/>
                <w:szCs w:val="20"/>
                <w:lang w:eastAsia="zh-CN"/>
              </w:rPr>
              <w:t xml:space="preserve"> </w:t>
            </w:r>
            <w:r>
              <w:rPr>
                <w:rFonts w:ascii="宋体" w:hAnsi="宋体" w:eastAsia="宋体" w:cs="宋体"/>
                <w:sz w:val="20"/>
                <w:szCs w:val="20"/>
                <w:lang w:eastAsia="zh-CN"/>
              </w:rPr>
              <w:t>应时间</w:t>
            </w:r>
          </w:p>
        </w:tc>
        <w:tc>
          <w:tcPr>
            <w:tcW w:w="1241" w:type="dxa"/>
            <w:tcBorders>
              <w:top w:val="single" w:color="000000" w:sz="4" w:space="0"/>
              <w:left w:val="single" w:color="000000" w:sz="4" w:space="0"/>
              <w:bottom w:val="single" w:color="000000" w:sz="4" w:space="0"/>
              <w:right w:val="single" w:color="000000" w:sz="4" w:space="0"/>
            </w:tcBorders>
          </w:tcPr>
          <w:p>
            <w:pPr>
              <w:pStyle w:val="38"/>
              <w:spacing w:line="258" w:lineRule="exact"/>
              <w:ind w:left="189"/>
              <w:rPr>
                <w:rFonts w:ascii="宋体" w:hAnsi="宋体" w:eastAsia="宋体" w:cs="宋体"/>
                <w:sz w:val="20"/>
                <w:szCs w:val="20"/>
              </w:rPr>
            </w:pPr>
            <w:r>
              <w:rPr>
                <w:rFonts w:ascii="宋体" w:hAnsi="宋体" w:eastAsia="宋体" w:cs="宋体"/>
                <w:sz w:val="20"/>
                <w:szCs w:val="20"/>
              </w:rPr>
              <w:t>〈24</w:t>
            </w:r>
            <w:r>
              <w:rPr>
                <w:rFonts w:ascii="宋体" w:hAnsi="宋体" w:eastAsia="宋体" w:cs="宋体"/>
                <w:spacing w:val="-52"/>
                <w:sz w:val="20"/>
                <w:szCs w:val="20"/>
              </w:rPr>
              <w:t xml:space="preserve"> </w:t>
            </w:r>
            <w:r>
              <w:rPr>
                <w:rFonts w:ascii="宋体" w:hAnsi="宋体" w:eastAsia="宋体" w:cs="宋体"/>
                <w:sz w:val="20"/>
                <w:szCs w:val="20"/>
              </w:rPr>
              <w:t>小时</w:t>
            </w:r>
          </w:p>
        </w:tc>
        <w:tc>
          <w:tcPr>
            <w:tcW w:w="1231" w:type="dxa"/>
            <w:tcBorders>
              <w:top w:val="single" w:color="000000" w:sz="4" w:space="0"/>
              <w:left w:val="single" w:color="000000" w:sz="4" w:space="0"/>
              <w:bottom w:val="single" w:color="000000" w:sz="4" w:space="0"/>
              <w:right w:val="single" w:color="000000" w:sz="4" w:space="0"/>
            </w:tcBorders>
          </w:tcPr>
          <w:p>
            <w:pPr>
              <w:pStyle w:val="38"/>
              <w:spacing w:line="285" w:lineRule="auto"/>
              <w:ind w:left="103" w:right="118"/>
              <w:jc w:val="center"/>
              <w:rPr>
                <w:rFonts w:ascii="宋体" w:hAnsi="宋体" w:eastAsia="宋体" w:cs="宋体"/>
                <w:sz w:val="20"/>
                <w:szCs w:val="20"/>
              </w:rPr>
            </w:pPr>
            <w:r>
              <w:rPr>
                <w:rFonts w:ascii="宋体" w:hAnsi="宋体" w:eastAsia="宋体" w:cs="宋体"/>
                <w:sz w:val="20"/>
                <w:szCs w:val="20"/>
              </w:rPr>
              <w:t>单次每延迟</w:t>
            </w:r>
            <w:r>
              <w:rPr>
                <w:rFonts w:ascii="宋体" w:hAnsi="宋体" w:eastAsia="宋体" w:cs="宋体"/>
                <w:w w:val="99"/>
                <w:sz w:val="20"/>
                <w:szCs w:val="20"/>
              </w:rPr>
              <w:t xml:space="preserve"> </w:t>
            </w:r>
            <w:r>
              <w:rPr>
                <w:rFonts w:ascii="宋体" w:hAnsi="宋体" w:eastAsia="宋体" w:cs="宋体"/>
                <w:sz w:val="20"/>
                <w:szCs w:val="20"/>
              </w:rPr>
              <w:t>0.5</w:t>
            </w:r>
            <w:r>
              <w:rPr>
                <w:rFonts w:ascii="宋体" w:hAnsi="宋体" w:eastAsia="宋体" w:cs="宋体"/>
                <w:spacing w:val="-52"/>
                <w:sz w:val="20"/>
                <w:szCs w:val="20"/>
              </w:rPr>
              <w:t xml:space="preserve"> </w:t>
            </w:r>
            <w:r>
              <w:rPr>
                <w:rFonts w:ascii="宋体" w:hAnsi="宋体" w:eastAsia="宋体" w:cs="宋体"/>
                <w:sz w:val="20"/>
                <w:szCs w:val="20"/>
              </w:rPr>
              <w:t>小时扣</w:t>
            </w:r>
          </w:p>
          <w:p>
            <w:pPr>
              <w:pStyle w:val="38"/>
              <w:spacing w:before="12"/>
              <w:jc w:val="center"/>
              <w:rPr>
                <w:rFonts w:ascii="宋体" w:hAnsi="宋体" w:eastAsia="宋体" w:cs="宋体"/>
                <w:sz w:val="20"/>
                <w:szCs w:val="20"/>
              </w:rPr>
            </w:pPr>
            <w:r>
              <w:rPr>
                <w:rFonts w:ascii="宋体" w:hAnsi="宋体" w:eastAsia="宋体" w:cs="宋体"/>
                <w:sz w:val="20"/>
                <w:szCs w:val="20"/>
              </w:rPr>
              <w:t>1</w:t>
            </w:r>
            <w:r>
              <w:rPr>
                <w:rFonts w:ascii="宋体" w:hAnsi="宋体" w:eastAsia="宋体" w:cs="宋体"/>
                <w:spacing w:val="-51"/>
                <w:sz w:val="20"/>
                <w:szCs w:val="20"/>
              </w:rPr>
              <w:t xml:space="preserve"> </w:t>
            </w:r>
            <w:r>
              <w:rPr>
                <w:rFonts w:ascii="宋体" w:hAnsi="宋体" w:eastAsia="宋体" w:cs="宋体"/>
                <w:sz w:val="20"/>
                <w:szCs w:val="20"/>
              </w:rPr>
              <w:t>分</w:t>
            </w:r>
          </w:p>
        </w:tc>
        <w:tc>
          <w:tcPr>
            <w:tcW w:w="1211" w:type="dxa"/>
            <w:tcBorders>
              <w:top w:val="single" w:color="000000" w:sz="4" w:space="0"/>
              <w:left w:val="single" w:color="000000" w:sz="4" w:space="0"/>
              <w:bottom w:val="single" w:color="000000" w:sz="4" w:space="0"/>
              <w:right w:val="single" w:color="000000" w:sz="4" w:space="0"/>
            </w:tcBorders>
          </w:tcPr>
          <w:p>
            <w:pPr>
              <w:pStyle w:val="38"/>
              <w:spacing w:line="285" w:lineRule="auto"/>
              <w:ind w:left="103" w:right="102" w:hanging="3"/>
              <w:jc w:val="center"/>
              <w:rPr>
                <w:rFonts w:ascii="宋体" w:hAnsi="宋体" w:eastAsia="宋体" w:cs="宋体"/>
                <w:sz w:val="20"/>
                <w:szCs w:val="20"/>
                <w:lang w:eastAsia="zh-CN"/>
              </w:rPr>
            </w:pPr>
            <w:r>
              <w:rPr>
                <w:rFonts w:ascii="宋体" w:hAnsi="宋体" w:eastAsia="宋体" w:cs="宋体"/>
                <w:sz w:val="20"/>
                <w:szCs w:val="20"/>
                <w:lang w:eastAsia="zh-CN"/>
              </w:rPr>
              <w:t>从接到通</w:t>
            </w:r>
            <w:r>
              <w:rPr>
                <w:rFonts w:ascii="宋体" w:hAnsi="宋体" w:eastAsia="宋体" w:cs="宋体"/>
                <w:w w:val="99"/>
                <w:sz w:val="20"/>
                <w:szCs w:val="20"/>
                <w:lang w:eastAsia="zh-CN"/>
              </w:rPr>
              <w:t xml:space="preserve"> </w:t>
            </w:r>
            <w:r>
              <w:rPr>
                <w:rFonts w:ascii="宋体" w:hAnsi="宋体" w:eastAsia="宋体" w:cs="宋体"/>
                <w:sz w:val="20"/>
                <w:szCs w:val="20"/>
                <w:lang w:eastAsia="zh-CN"/>
              </w:rPr>
              <w:t>知到现场</w:t>
            </w:r>
            <w:r>
              <w:rPr>
                <w:rFonts w:ascii="宋体" w:hAnsi="宋体" w:eastAsia="宋体" w:cs="宋体"/>
                <w:w w:val="99"/>
                <w:sz w:val="20"/>
                <w:szCs w:val="20"/>
                <w:lang w:eastAsia="zh-CN"/>
              </w:rPr>
              <w:t xml:space="preserve"> </w:t>
            </w:r>
            <w:r>
              <w:rPr>
                <w:rFonts w:ascii="宋体" w:hAnsi="宋体" w:eastAsia="宋体" w:cs="宋体"/>
                <w:w w:val="95"/>
                <w:sz w:val="20"/>
                <w:szCs w:val="20"/>
                <w:lang w:eastAsia="zh-CN"/>
              </w:rPr>
              <w:t>时间（能解</w:t>
            </w:r>
            <w:r>
              <w:rPr>
                <w:rFonts w:ascii="宋体" w:hAnsi="宋体" w:eastAsia="宋体" w:cs="宋体"/>
                <w:spacing w:val="-64"/>
                <w:w w:val="95"/>
                <w:sz w:val="20"/>
                <w:szCs w:val="20"/>
                <w:lang w:eastAsia="zh-CN"/>
              </w:rPr>
              <w:t xml:space="preserve"> </w:t>
            </w:r>
            <w:r>
              <w:rPr>
                <w:rFonts w:ascii="宋体" w:hAnsi="宋体" w:eastAsia="宋体" w:cs="宋体"/>
                <w:sz w:val="20"/>
                <w:szCs w:val="20"/>
                <w:lang w:eastAsia="zh-CN"/>
              </w:rPr>
              <w:t>决问题的</w:t>
            </w:r>
            <w:r>
              <w:rPr>
                <w:rFonts w:ascii="宋体" w:hAnsi="宋体" w:eastAsia="宋体" w:cs="宋体"/>
                <w:w w:val="99"/>
                <w:sz w:val="20"/>
                <w:szCs w:val="20"/>
                <w:lang w:eastAsia="zh-CN"/>
              </w:rPr>
              <w:t xml:space="preserve"> </w:t>
            </w:r>
            <w:r>
              <w:rPr>
                <w:rFonts w:ascii="宋体" w:hAnsi="宋体" w:eastAsia="宋体" w:cs="宋体"/>
                <w:sz w:val="20"/>
                <w:szCs w:val="20"/>
                <w:lang w:eastAsia="zh-CN"/>
              </w:rPr>
              <w:t>人）</w:t>
            </w:r>
          </w:p>
        </w:tc>
        <w:tc>
          <w:tcPr>
            <w:tcW w:w="485"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1263"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434"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1149"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r>
      <w:tr>
        <w:tblPrEx>
          <w:tblCellMar>
            <w:top w:w="0" w:type="dxa"/>
            <w:left w:w="0" w:type="dxa"/>
            <w:bottom w:w="0" w:type="dxa"/>
            <w:right w:w="0" w:type="dxa"/>
          </w:tblCellMar>
        </w:tblPrEx>
        <w:trPr>
          <w:trHeight w:val="1258" w:hRule="exact"/>
        </w:trPr>
        <w:tc>
          <w:tcPr>
            <w:tcW w:w="859" w:type="dxa"/>
            <w:vMerge w:val="restart"/>
            <w:tcBorders>
              <w:top w:val="single" w:color="000000" w:sz="4" w:space="0"/>
              <w:left w:val="single" w:color="000000" w:sz="4" w:space="0"/>
              <w:right w:val="single" w:color="000000" w:sz="4" w:space="0"/>
            </w:tcBorders>
          </w:tcPr>
          <w:p>
            <w:pPr>
              <w:pStyle w:val="38"/>
              <w:rPr>
                <w:rFonts w:ascii="宋体" w:hAnsi="宋体" w:eastAsia="宋体" w:cs="宋体"/>
                <w:sz w:val="20"/>
                <w:szCs w:val="20"/>
                <w:lang w:eastAsia="zh-CN"/>
              </w:rPr>
            </w:pPr>
          </w:p>
          <w:p>
            <w:pPr>
              <w:pStyle w:val="38"/>
              <w:rPr>
                <w:rFonts w:ascii="宋体" w:hAnsi="宋体" w:eastAsia="宋体" w:cs="宋体"/>
                <w:sz w:val="20"/>
                <w:szCs w:val="20"/>
                <w:lang w:eastAsia="zh-CN"/>
              </w:rPr>
            </w:pPr>
          </w:p>
          <w:p>
            <w:pPr>
              <w:pStyle w:val="38"/>
              <w:rPr>
                <w:rFonts w:ascii="宋体" w:hAnsi="宋体" w:eastAsia="宋体" w:cs="宋体"/>
                <w:sz w:val="20"/>
                <w:szCs w:val="20"/>
                <w:lang w:eastAsia="zh-CN"/>
              </w:rPr>
            </w:pPr>
          </w:p>
          <w:p>
            <w:pPr>
              <w:pStyle w:val="38"/>
              <w:rPr>
                <w:rFonts w:ascii="宋体" w:hAnsi="宋体" w:eastAsia="宋体" w:cs="宋体"/>
                <w:sz w:val="20"/>
                <w:szCs w:val="20"/>
                <w:lang w:eastAsia="zh-CN"/>
              </w:rPr>
            </w:pPr>
          </w:p>
          <w:p>
            <w:pPr>
              <w:pStyle w:val="38"/>
              <w:rPr>
                <w:rFonts w:ascii="宋体" w:hAnsi="宋体" w:eastAsia="宋体" w:cs="宋体"/>
                <w:sz w:val="20"/>
                <w:szCs w:val="20"/>
                <w:lang w:eastAsia="zh-CN"/>
              </w:rPr>
            </w:pPr>
          </w:p>
          <w:p>
            <w:pPr>
              <w:pStyle w:val="38"/>
              <w:spacing w:before="12"/>
              <w:rPr>
                <w:rFonts w:ascii="宋体" w:hAnsi="宋体" w:eastAsia="宋体" w:cs="宋体"/>
                <w:sz w:val="18"/>
                <w:szCs w:val="18"/>
                <w:lang w:eastAsia="zh-CN"/>
              </w:rPr>
            </w:pPr>
          </w:p>
          <w:p>
            <w:pPr>
              <w:pStyle w:val="38"/>
              <w:ind w:left="123"/>
              <w:rPr>
                <w:rFonts w:ascii="宋体" w:hAnsi="宋体" w:eastAsia="宋体" w:cs="宋体"/>
                <w:sz w:val="20"/>
                <w:szCs w:val="20"/>
              </w:rPr>
            </w:pPr>
            <w:r>
              <w:rPr>
                <w:rFonts w:ascii="宋体" w:hAnsi="宋体" w:eastAsia="宋体" w:cs="宋体"/>
                <w:sz w:val="20"/>
                <w:szCs w:val="20"/>
              </w:rPr>
              <w:t>完整性</w:t>
            </w:r>
          </w:p>
          <w:p>
            <w:pPr>
              <w:pStyle w:val="38"/>
              <w:spacing w:before="50"/>
              <w:ind w:left="102"/>
              <w:rPr>
                <w:rFonts w:ascii="宋体" w:hAnsi="宋体" w:eastAsia="宋体" w:cs="宋体"/>
                <w:sz w:val="20"/>
                <w:szCs w:val="20"/>
              </w:rPr>
            </w:pPr>
            <w:r>
              <w:rPr>
                <w:rFonts w:ascii="宋体" w:hAnsi="宋体" w:eastAsia="宋体" w:cs="宋体"/>
                <w:sz w:val="20"/>
                <w:szCs w:val="20"/>
              </w:rPr>
              <w:t>（15%）</w:t>
            </w:r>
          </w:p>
        </w:tc>
        <w:tc>
          <w:tcPr>
            <w:tcW w:w="548" w:type="dxa"/>
            <w:tcBorders>
              <w:top w:val="single" w:color="000000" w:sz="4" w:space="0"/>
              <w:left w:val="single" w:color="000000" w:sz="4" w:space="0"/>
              <w:bottom w:val="single" w:color="000000" w:sz="4" w:space="0"/>
              <w:right w:val="single" w:color="000000" w:sz="4" w:space="0"/>
            </w:tcBorders>
          </w:tcPr>
          <w:p>
            <w:pPr>
              <w:pStyle w:val="38"/>
              <w:spacing w:line="258" w:lineRule="exact"/>
              <w:ind w:left="169"/>
              <w:rPr>
                <w:rFonts w:ascii="宋体" w:hAnsi="宋体" w:eastAsia="宋体" w:cs="宋体"/>
                <w:sz w:val="20"/>
                <w:szCs w:val="20"/>
              </w:rPr>
            </w:pPr>
            <w:r>
              <w:rPr>
                <w:rFonts w:ascii="宋体"/>
                <w:sz w:val="20"/>
              </w:rPr>
              <w:t>5%</w:t>
            </w:r>
          </w:p>
        </w:tc>
        <w:tc>
          <w:tcPr>
            <w:tcW w:w="1635" w:type="dxa"/>
            <w:tcBorders>
              <w:top w:val="single" w:color="000000" w:sz="4" w:space="0"/>
              <w:left w:val="single" w:color="000000" w:sz="4" w:space="0"/>
              <w:bottom w:val="single" w:color="000000" w:sz="4" w:space="0"/>
              <w:right w:val="single" w:color="000000" w:sz="4" w:space="0"/>
            </w:tcBorders>
          </w:tcPr>
          <w:p>
            <w:pPr>
              <w:pStyle w:val="38"/>
              <w:spacing w:line="258" w:lineRule="exact"/>
              <w:ind w:left="111"/>
              <w:rPr>
                <w:rFonts w:ascii="宋体" w:hAnsi="宋体" w:eastAsia="宋体" w:cs="宋体"/>
                <w:sz w:val="20"/>
                <w:szCs w:val="20"/>
              </w:rPr>
            </w:pPr>
            <w:r>
              <w:rPr>
                <w:rFonts w:ascii="宋体" w:hAnsi="宋体" w:eastAsia="宋体" w:cs="宋体"/>
                <w:sz w:val="20"/>
                <w:szCs w:val="20"/>
              </w:rPr>
              <w:t>节水意识及行为</w:t>
            </w:r>
          </w:p>
        </w:tc>
        <w:tc>
          <w:tcPr>
            <w:tcW w:w="1241" w:type="dxa"/>
            <w:tcBorders>
              <w:top w:val="single" w:color="000000" w:sz="4" w:space="0"/>
              <w:left w:val="single" w:color="000000" w:sz="4" w:space="0"/>
              <w:bottom w:val="single" w:color="000000" w:sz="4" w:space="0"/>
              <w:right w:val="single" w:color="000000" w:sz="4" w:space="0"/>
            </w:tcBorders>
          </w:tcPr>
          <w:p>
            <w:pPr>
              <w:pStyle w:val="38"/>
              <w:spacing w:line="285" w:lineRule="auto"/>
              <w:ind w:left="115" w:right="115"/>
              <w:jc w:val="center"/>
              <w:rPr>
                <w:rFonts w:ascii="宋体" w:hAnsi="宋体" w:eastAsia="宋体" w:cs="宋体"/>
                <w:sz w:val="20"/>
                <w:szCs w:val="20"/>
                <w:lang w:eastAsia="zh-CN"/>
              </w:rPr>
            </w:pPr>
            <w:r>
              <w:rPr>
                <w:rFonts w:ascii="宋体" w:hAnsi="宋体" w:eastAsia="宋体" w:cs="宋体"/>
                <w:sz w:val="20"/>
                <w:szCs w:val="20"/>
                <w:lang w:eastAsia="zh-CN"/>
              </w:rPr>
              <w:t>每发生一次</w:t>
            </w:r>
            <w:r>
              <w:rPr>
                <w:rFonts w:ascii="宋体" w:hAnsi="宋体" w:eastAsia="宋体" w:cs="宋体"/>
                <w:w w:val="99"/>
                <w:sz w:val="20"/>
                <w:szCs w:val="20"/>
                <w:lang w:eastAsia="zh-CN"/>
              </w:rPr>
              <w:t xml:space="preserve"> </w:t>
            </w:r>
            <w:r>
              <w:rPr>
                <w:rFonts w:ascii="宋体" w:hAnsi="宋体" w:eastAsia="宋体" w:cs="宋体"/>
                <w:sz w:val="20"/>
                <w:szCs w:val="20"/>
                <w:lang w:eastAsia="zh-CN"/>
              </w:rPr>
              <w:t>因阀门未关</w:t>
            </w:r>
            <w:r>
              <w:rPr>
                <w:rFonts w:ascii="宋体" w:hAnsi="宋体" w:eastAsia="宋体" w:cs="宋体"/>
                <w:w w:val="99"/>
                <w:sz w:val="20"/>
                <w:szCs w:val="20"/>
                <w:lang w:eastAsia="zh-CN"/>
              </w:rPr>
              <w:t xml:space="preserve"> </w:t>
            </w:r>
            <w:r>
              <w:rPr>
                <w:rFonts w:ascii="宋体" w:hAnsi="宋体" w:eastAsia="宋体" w:cs="宋体"/>
                <w:sz w:val="20"/>
                <w:szCs w:val="20"/>
                <w:lang w:eastAsia="zh-CN"/>
              </w:rPr>
              <w:t>漏水或管道</w:t>
            </w:r>
            <w:r>
              <w:rPr>
                <w:rFonts w:ascii="宋体" w:hAnsi="宋体" w:eastAsia="宋体" w:cs="宋体"/>
                <w:w w:val="99"/>
                <w:sz w:val="20"/>
                <w:szCs w:val="20"/>
                <w:lang w:eastAsia="zh-CN"/>
              </w:rPr>
              <w:t xml:space="preserve"> </w:t>
            </w:r>
            <w:r>
              <w:rPr>
                <w:rFonts w:ascii="宋体" w:hAnsi="宋体" w:eastAsia="宋体" w:cs="宋体"/>
                <w:sz w:val="20"/>
                <w:szCs w:val="20"/>
                <w:lang w:eastAsia="zh-CN"/>
              </w:rPr>
              <w:t>爆管</w:t>
            </w:r>
          </w:p>
        </w:tc>
        <w:tc>
          <w:tcPr>
            <w:tcW w:w="1231" w:type="dxa"/>
            <w:tcBorders>
              <w:top w:val="single" w:color="000000" w:sz="4" w:space="0"/>
              <w:left w:val="single" w:color="000000" w:sz="4" w:space="0"/>
              <w:bottom w:val="single" w:color="000000" w:sz="4" w:space="0"/>
              <w:right w:val="single" w:color="000000" w:sz="4" w:space="0"/>
            </w:tcBorders>
          </w:tcPr>
          <w:p>
            <w:pPr>
              <w:pStyle w:val="38"/>
              <w:spacing w:line="285" w:lineRule="auto"/>
              <w:ind w:left="309" w:right="110" w:hanging="200"/>
              <w:rPr>
                <w:rFonts w:ascii="宋体" w:hAnsi="宋体" w:eastAsia="宋体" w:cs="宋体"/>
                <w:sz w:val="20"/>
                <w:szCs w:val="20"/>
              </w:rPr>
            </w:pPr>
            <w:r>
              <w:rPr>
                <w:rFonts w:ascii="宋体" w:hAnsi="宋体" w:eastAsia="宋体" w:cs="宋体"/>
                <w:sz w:val="20"/>
                <w:szCs w:val="20"/>
              </w:rPr>
              <w:t>每发生一次</w:t>
            </w:r>
            <w:r>
              <w:rPr>
                <w:rFonts w:ascii="宋体" w:hAnsi="宋体" w:eastAsia="宋体" w:cs="宋体"/>
                <w:w w:val="99"/>
                <w:sz w:val="20"/>
                <w:szCs w:val="20"/>
              </w:rPr>
              <w:t xml:space="preserve"> </w:t>
            </w:r>
            <w:r>
              <w:rPr>
                <w:rFonts w:ascii="宋体" w:hAnsi="宋体" w:eastAsia="宋体" w:cs="宋体"/>
                <w:sz w:val="20"/>
                <w:szCs w:val="20"/>
              </w:rPr>
              <w:t>扣</w:t>
            </w:r>
            <w:r>
              <w:rPr>
                <w:rFonts w:ascii="宋体" w:hAnsi="宋体" w:eastAsia="宋体" w:cs="宋体"/>
                <w:spacing w:val="-52"/>
                <w:sz w:val="20"/>
                <w:szCs w:val="20"/>
              </w:rPr>
              <w:t xml:space="preserve"> </w:t>
            </w:r>
            <w:r>
              <w:rPr>
                <w:rFonts w:ascii="宋体" w:hAnsi="宋体" w:eastAsia="宋体" w:cs="宋体"/>
                <w:sz w:val="20"/>
                <w:szCs w:val="20"/>
              </w:rPr>
              <w:t>5</w:t>
            </w:r>
            <w:r>
              <w:rPr>
                <w:rFonts w:ascii="宋体" w:hAnsi="宋体" w:eastAsia="宋体" w:cs="宋体"/>
                <w:spacing w:val="-51"/>
                <w:sz w:val="20"/>
                <w:szCs w:val="20"/>
              </w:rPr>
              <w:t xml:space="preserve"> </w:t>
            </w:r>
            <w:r>
              <w:rPr>
                <w:rFonts w:ascii="宋体" w:hAnsi="宋体" w:eastAsia="宋体" w:cs="宋体"/>
                <w:sz w:val="20"/>
                <w:szCs w:val="20"/>
              </w:rPr>
              <w:t>分</w:t>
            </w:r>
          </w:p>
        </w:tc>
        <w:tc>
          <w:tcPr>
            <w:tcW w:w="1211" w:type="dxa"/>
            <w:tcBorders>
              <w:top w:val="single" w:color="000000" w:sz="4" w:space="0"/>
              <w:left w:val="single" w:color="000000" w:sz="4" w:space="0"/>
              <w:bottom w:val="single" w:color="000000" w:sz="4" w:space="0"/>
              <w:right w:val="single" w:color="000000" w:sz="4" w:space="0"/>
            </w:tcBorders>
          </w:tcPr>
          <w:p>
            <w:pPr>
              <w:pStyle w:val="38"/>
              <w:spacing w:line="285" w:lineRule="auto"/>
              <w:ind w:left="199" w:right="201"/>
              <w:jc w:val="center"/>
              <w:rPr>
                <w:rFonts w:ascii="宋体" w:hAnsi="宋体" w:eastAsia="宋体" w:cs="宋体"/>
                <w:sz w:val="20"/>
                <w:szCs w:val="20"/>
                <w:lang w:eastAsia="zh-CN"/>
              </w:rPr>
            </w:pPr>
            <w:r>
              <w:rPr>
                <w:rFonts w:ascii="宋体" w:hAnsi="宋体" w:eastAsia="宋体" w:cs="宋体"/>
                <w:sz w:val="20"/>
                <w:szCs w:val="20"/>
                <w:lang w:eastAsia="zh-CN"/>
              </w:rPr>
              <w:t>工作单签</w:t>
            </w:r>
            <w:r>
              <w:rPr>
                <w:rFonts w:ascii="宋体" w:hAnsi="宋体" w:eastAsia="宋体" w:cs="宋体"/>
                <w:w w:val="99"/>
                <w:sz w:val="20"/>
                <w:szCs w:val="20"/>
                <w:lang w:eastAsia="zh-CN"/>
              </w:rPr>
              <w:t xml:space="preserve"> </w:t>
            </w:r>
            <w:r>
              <w:rPr>
                <w:rFonts w:ascii="宋体" w:hAnsi="宋体" w:eastAsia="宋体" w:cs="宋体"/>
                <w:sz w:val="20"/>
                <w:szCs w:val="20"/>
                <w:lang w:eastAsia="zh-CN"/>
              </w:rPr>
              <w:t>核现场检</w:t>
            </w:r>
            <w:r>
              <w:rPr>
                <w:rFonts w:ascii="宋体" w:hAnsi="宋体" w:eastAsia="宋体" w:cs="宋体"/>
                <w:w w:val="99"/>
                <w:sz w:val="20"/>
                <w:szCs w:val="20"/>
                <w:lang w:eastAsia="zh-CN"/>
              </w:rPr>
              <w:t xml:space="preserve"> </w:t>
            </w:r>
            <w:r>
              <w:rPr>
                <w:rFonts w:ascii="宋体" w:hAnsi="宋体" w:eastAsia="宋体" w:cs="宋体"/>
                <w:sz w:val="20"/>
                <w:szCs w:val="20"/>
                <w:lang w:eastAsia="zh-CN"/>
              </w:rPr>
              <w:t>查与水质</w:t>
            </w:r>
            <w:r>
              <w:rPr>
                <w:rFonts w:ascii="宋体" w:hAnsi="宋体" w:eastAsia="宋体" w:cs="宋体"/>
                <w:w w:val="99"/>
                <w:sz w:val="20"/>
                <w:szCs w:val="20"/>
                <w:lang w:eastAsia="zh-CN"/>
              </w:rPr>
              <w:t xml:space="preserve"> </w:t>
            </w:r>
            <w:r>
              <w:rPr>
                <w:rFonts w:ascii="宋体" w:hAnsi="宋体" w:eastAsia="宋体" w:cs="宋体"/>
                <w:sz w:val="20"/>
                <w:szCs w:val="20"/>
                <w:lang w:eastAsia="zh-CN"/>
              </w:rPr>
              <w:t>报告</w:t>
            </w:r>
          </w:p>
        </w:tc>
        <w:tc>
          <w:tcPr>
            <w:tcW w:w="485"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1263"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434"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1149"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r>
      <w:tr>
        <w:tblPrEx>
          <w:tblCellMar>
            <w:top w:w="0" w:type="dxa"/>
            <w:left w:w="0" w:type="dxa"/>
            <w:bottom w:w="0" w:type="dxa"/>
            <w:right w:w="0" w:type="dxa"/>
          </w:tblCellMar>
        </w:tblPrEx>
        <w:trPr>
          <w:trHeight w:val="946" w:hRule="exact"/>
        </w:trPr>
        <w:tc>
          <w:tcPr>
            <w:tcW w:w="859" w:type="dxa"/>
            <w:vMerge w:val="continue"/>
            <w:tcBorders>
              <w:left w:val="single" w:color="000000" w:sz="4" w:space="0"/>
              <w:right w:val="single" w:color="000000" w:sz="4" w:space="0"/>
            </w:tcBorders>
          </w:tcPr>
          <w:p>
            <w:pPr>
              <w:rPr>
                <w:rFonts w:eastAsiaTheme="minorEastAsia" w:cstheme="minorBidi"/>
                <w:lang w:eastAsia="zh-CN"/>
              </w:rPr>
            </w:pPr>
          </w:p>
        </w:tc>
        <w:tc>
          <w:tcPr>
            <w:tcW w:w="548" w:type="dxa"/>
            <w:tcBorders>
              <w:top w:val="single" w:color="000000" w:sz="4" w:space="0"/>
              <w:left w:val="single" w:color="000000" w:sz="4" w:space="0"/>
              <w:bottom w:val="single" w:color="000000" w:sz="4" w:space="0"/>
              <w:right w:val="single" w:color="000000" w:sz="4" w:space="0"/>
            </w:tcBorders>
          </w:tcPr>
          <w:p>
            <w:pPr>
              <w:pStyle w:val="38"/>
              <w:spacing w:line="257" w:lineRule="exact"/>
              <w:ind w:left="169"/>
              <w:rPr>
                <w:rFonts w:ascii="宋体" w:hAnsi="宋体" w:eastAsia="宋体" w:cs="宋体"/>
                <w:sz w:val="20"/>
                <w:szCs w:val="20"/>
              </w:rPr>
            </w:pPr>
            <w:r>
              <w:rPr>
                <w:rFonts w:ascii="宋体"/>
                <w:sz w:val="20"/>
              </w:rPr>
              <w:t>4%</w:t>
            </w:r>
          </w:p>
        </w:tc>
        <w:tc>
          <w:tcPr>
            <w:tcW w:w="1635" w:type="dxa"/>
            <w:tcBorders>
              <w:top w:val="single" w:color="000000" w:sz="4" w:space="0"/>
              <w:left w:val="single" w:color="000000" w:sz="4" w:space="0"/>
              <w:bottom w:val="single" w:color="000000" w:sz="4" w:space="0"/>
              <w:right w:val="single" w:color="000000" w:sz="4" w:space="0"/>
            </w:tcBorders>
          </w:tcPr>
          <w:p>
            <w:pPr>
              <w:pStyle w:val="38"/>
              <w:spacing w:line="257" w:lineRule="exact"/>
              <w:ind w:left="312"/>
              <w:rPr>
                <w:rFonts w:ascii="宋体" w:hAnsi="宋体" w:eastAsia="宋体" w:cs="宋体"/>
                <w:sz w:val="20"/>
                <w:szCs w:val="20"/>
              </w:rPr>
            </w:pPr>
            <w:r>
              <w:rPr>
                <w:rFonts w:ascii="宋体" w:hAnsi="宋体" w:eastAsia="宋体" w:cs="宋体"/>
                <w:sz w:val="20"/>
                <w:szCs w:val="20"/>
              </w:rPr>
              <w:t>工作覆盖率</w:t>
            </w:r>
          </w:p>
        </w:tc>
        <w:tc>
          <w:tcPr>
            <w:tcW w:w="1241" w:type="dxa"/>
            <w:tcBorders>
              <w:top w:val="single" w:color="000000" w:sz="4" w:space="0"/>
              <w:left w:val="single" w:color="000000" w:sz="4" w:space="0"/>
              <w:bottom w:val="single" w:color="000000" w:sz="4" w:space="0"/>
              <w:right w:val="single" w:color="000000" w:sz="4" w:space="0"/>
            </w:tcBorders>
          </w:tcPr>
          <w:p>
            <w:pPr>
              <w:pStyle w:val="38"/>
              <w:spacing w:line="257" w:lineRule="exact"/>
              <w:ind w:left="240"/>
              <w:rPr>
                <w:rFonts w:ascii="宋体" w:hAnsi="宋体" w:eastAsia="宋体" w:cs="宋体"/>
                <w:sz w:val="20"/>
                <w:szCs w:val="20"/>
              </w:rPr>
            </w:pPr>
            <w:r>
              <w:rPr>
                <w:rFonts w:ascii="宋体" w:hAnsi="宋体" w:eastAsia="宋体" w:cs="宋体"/>
                <w:sz w:val="20"/>
                <w:szCs w:val="20"/>
              </w:rPr>
              <w:t>大于</w:t>
            </w:r>
            <w:r>
              <w:rPr>
                <w:rFonts w:ascii="宋体" w:hAnsi="宋体" w:eastAsia="宋体" w:cs="宋体"/>
                <w:spacing w:val="-52"/>
                <w:sz w:val="20"/>
                <w:szCs w:val="20"/>
              </w:rPr>
              <w:t xml:space="preserve"> </w:t>
            </w:r>
            <w:r>
              <w:rPr>
                <w:rFonts w:ascii="宋体" w:hAnsi="宋体" w:eastAsia="宋体" w:cs="宋体"/>
                <w:sz w:val="20"/>
                <w:szCs w:val="20"/>
              </w:rPr>
              <w:t>90%</w:t>
            </w:r>
          </w:p>
        </w:tc>
        <w:tc>
          <w:tcPr>
            <w:tcW w:w="1231" w:type="dxa"/>
            <w:tcBorders>
              <w:top w:val="single" w:color="000000" w:sz="4" w:space="0"/>
              <w:left w:val="single" w:color="000000" w:sz="4" w:space="0"/>
              <w:bottom w:val="single" w:color="000000" w:sz="4" w:space="0"/>
              <w:right w:val="single" w:color="000000" w:sz="4" w:space="0"/>
            </w:tcBorders>
          </w:tcPr>
          <w:p>
            <w:pPr>
              <w:pStyle w:val="38"/>
              <w:spacing w:line="285" w:lineRule="auto"/>
              <w:ind w:left="110" w:right="110"/>
              <w:jc w:val="center"/>
              <w:rPr>
                <w:rFonts w:ascii="宋体" w:hAnsi="宋体" w:eastAsia="宋体" w:cs="宋体"/>
                <w:sz w:val="20"/>
                <w:szCs w:val="20"/>
                <w:lang w:eastAsia="zh-CN"/>
              </w:rPr>
            </w:pPr>
            <w:r>
              <w:rPr>
                <w:rFonts w:ascii="宋体" w:hAnsi="宋体" w:eastAsia="宋体" w:cs="宋体"/>
                <w:sz w:val="20"/>
                <w:szCs w:val="20"/>
                <w:lang w:eastAsia="zh-CN"/>
              </w:rPr>
              <w:t>工作的设备</w:t>
            </w:r>
            <w:r>
              <w:rPr>
                <w:rFonts w:ascii="宋体" w:hAnsi="宋体" w:eastAsia="宋体" w:cs="宋体"/>
                <w:w w:val="99"/>
                <w:sz w:val="20"/>
                <w:szCs w:val="20"/>
                <w:lang w:eastAsia="zh-CN"/>
              </w:rPr>
              <w:t xml:space="preserve"> </w:t>
            </w:r>
            <w:r>
              <w:rPr>
                <w:rFonts w:ascii="宋体" w:hAnsi="宋体" w:eastAsia="宋体" w:cs="宋体"/>
                <w:sz w:val="20"/>
                <w:szCs w:val="20"/>
                <w:lang w:eastAsia="zh-CN"/>
              </w:rPr>
              <w:t>数量/总设</w:t>
            </w:r>
            <w:r>
              <w:rPr>
                <w:rFonts w:ascii="宋体" w:hAnsi="宋体" w:eastAsia="宋体" w:cs="宋体"/>
                <w:w w:val="99"/>
                <w:sz w:val="20"/>
                <w:szCs w:val="20"/>
                <w:lang w:eastAsia="zh-CN"/>
              </w:rPr>
              <w:t xml:space="preserve"> </w:t>
            </w:r>
            <w:r>
              <w:rPr>
                <w:rFonts w:ascii="宋体" w:hAnsi="宋体" w:eastAsia="宋体" w:cs="宋体"/>
                <w:sz w:val="20"/>
                <w:szCs w:val="20"/>
                <w:lang w:eastAsia="zh-CN"/>
              </w:rPr>
              <w:t>备数量</w:t>
            </w:r>
          </w:p>
        </w:tc>
        <w:tc>
          <w:tcPr>
            <w:tcW w:w="1211" w:type="dxa"/>
            <w:tcBorders>
              <w:top w:val="single" w:color="000000" w:sz="4" w:space="0"/>
              <w:left w:val="single" w:color="000000" w:sz="4" w:space="0"/>
              <w:bottom w:val="single" w:color="000000" w:sz="4" w:space="0"/>
              <w:right w:val="single" w:color="000000" w:sz="4" w:space="0"/>
            </w:tcBorders>
          </w:tcPr>
          <w:p>
            <w:pPr>
              <w:pStyle w:val="38"/>
              <w:spacing w:line="285" w:lineRule="auto"/>
              <w:ind w:left="199" w:right="201"/>
              <w:rPr>
                <w:rFonts w:ascii="宋体" w:hAnsi="宋体" w:eastAsia="宋体" w:cs="宋体"/>
                <w:sz w:val="20"/>
                <w:szCs w:val="20"/>
              </w:rPr>
            </w:pPr>
            <w:r>
              <w:rPr>
                <w:rFonts w:ascii="宋体" w:hAnsi="宋体" w:eastAsia="宋体" w:cs="宋体"/>
                <w:sz w:val="20"/>
                <w:szCs w:val="20"/>
              </w:rPr>
              <w:t>每季度总</w:t>
            </w:r>
            <w:r>
              <w:rPr>
                <w:rFonts w:ascii="宋体" w:hAnsi="宋体" w:eastAsia="宋体" w:cs="宋体"/>
                <w:w w:val="99"/>
                <w:sz w:val="20"/>
                <w:szCs w:val="20"/>
              </w:rPr>
              <w:t xml:space="preserve"> </w:t>
            </w:r>
            <w:r>
              <w:rPr>
                <w:rFonts w:ascii="宋体" w:hAnsi="宋体" w:eastAsia="宋体" w:cs="宋体"/>
                <w:sz w:val="20"/>
                <w:szCs w:val="20"/>
              </w:rPr>
              <w:t>结加抽查</w:t>
            </w:r>
          </w:p>
        </w:tc>
        <w:tc>
          <w:tcPr>
            <w:tcW w:w="485"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c>
          <w:tcPr>
            <w:tcW w:w="1263"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c>
          <w:tcPr>
            <w:tcW w:w="434"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c>
          <w:tcPr>
            <w:tcW w:w="1149"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944" w:hRule="exact"/>
        </w:trPr>
        <w:tc>
          <w:tcPr>
            <w:tcW w:w="859"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548" w:type="dxa"/>
            <w:tcBorders>
              <w:top w:val="single" w:color="000000" w:sz="4" w:space="0"/>
              <w:left w:val="single" w:color="000000" w:sz="4" w:space="0"/>
              <w:bottom w:val="single" w:color="000000" w:sz="4" w:space="0"/>
              <w:right w:val="single" w:color="000000" w:sz="4" w:space="0"/>
            </w:tcBorders>
          </w:tcPr>
          <w:p>
            <w:pPr>
              <w:pStyle w:val="38"/>
              <w:spacing w:line="257" w:lineRule="exact"/>
              <w:ind w:left="169"/>
              <w:rPr>
                <w:rFonts w:ascii="宋体" w:hAnsi="宋体" w:eastAsia="宋体" w:cs="宋体"/>
                <w:sz w:val="20"/>
                <w:szCs w:val="20"/>
              </w:rPr>
            </w:pPr>
            <w:r>
              <w:rPr>
                <w:rFonts w:ascii="宋体"/>
                <w:sz w:val="20"/>
              </w:rPr>
              <w:t>3%</w:t>
            </w:r>
          </w:p>
        </w:tc>
        <w:tc>
          <w:tcPr>
            <w:tcW w:w="1635" w:type="dxa"/>
            <w:tcBorders>
              <w:top w:val="single" w:color="000000" w:sz="4" w:space="0"/>
              <w:left w:val="single" w:color="000000" w:sz="4" w:space="0"/>
              <w:bottom w:val="single" w:color="000000" w:sz="4" w:space="0"/>
              <w:right w:val="single" w:color="000000" w:sz="4" w:space="0"/>
            </w:tcBorders>
          </w:tcPr>
          <w:p>
            <w:pPr>
              <w:pStyle w:val="38"/>
              <w:spacing w:line="285" w:lineRule="auto"/>
              <w:ind w:left="111" w:right="113"/>
              <w:jc w:val="center"/>
              <w:rPr>
                <w:rFonts w:ascii="宋体" w:hAnsi="宋体" w:eastAsia="宋体" w:cs="宋体"/>
                <w:sz w:val="20"/>
                <w:szCs w:val="20"/>
                <w:lang w:eastAsia="zh-CN"/>
              </w:rPr>
            </w:pPr>
            <w:r>
              <w:rPr>
                <w:rFonts w:ascii="宋体" w:hAnsi="宋体" w:eastAsia="宋体" w:cs="宋体"/>
                <w:sz w:val="20"/>
                <w:szCs w:val="20"/>
                <w:lang w:eastAsia="zh-CN"/>
              </w:rPr>
              <w:t>按要求提交计划</w:t>
            </w:r>
            <w:r>
              <w:rPr>
                <w:rFonts w:ascii="宋体" w:hAnsi="宋体" w:eastAsia="宋体" w:cs="宋体"/>
                <w:w w:val="99"/>
                <w:sz w:val="20"/>
                <w:szCs w:val="20"/>
                <w:lang w:eastAsia="zh-CN"/>
              </w:rPr>
              <w:t xml:space="preserve"> </w:t>
            </w:r>
            <w:r>
              <w:rPr>
                <w:rFonts w:ascii="宋体" w:hAnsi="宋体" w:eastAsia="宋体" w:cs="宋体"/>
                <w:sz w:val="20"/>
                <w:szCs w:val="20"/>
                <w:lang w:eastAsia="zh-CN"/>
              </w:rPr>
              <w:t>报告完成率与及</w:t>
            </w:r>
            <w:r>
              <w:rPr>
                <w:rFonts w:ascii="宋体" w:hAnsi="宋体" w:eastAsia="宋体" w:cs="宋体"/>
                <w:w w:val="99"/>
                <w:sz w:val="20"/>
                <w:szCs w:val="20"/>
                <w:lang w:eastAsia="zh-CN"/>
              </w:rPr>
              <w:t xml:space="preserve"> </w:t>
            </w:r>
            <w:r>
              <w:rPr>
                <w:rFonts w:ascii="宋体" w:hAnsi="宋体" w:eastAsia="宋体" w:cs="宋体"/>
                <w:sz w:val="20"/>
                <w:szCs w:val="20"/>
                <w:lang w:eastAsia="zh-CN"/>
              </w:rPr>
              <w:t>时率</w:t>
            </w:r>
          </w:p>
        </w:tc>
        <w:tc>
          <w:tcPr>
            <w:tcW w:w="1241" w:type="dxa"/>
            <w:tcBorders>
              <w:top w:val="single" w:color="000000" w:sz="4" w:space="0"/>
              <w:left w:val="single" w:color="000000" w:sz="4" w:space="0"/>
              <w:bottom w:val="single" w:color="000000" w:sz="4" w:space="0"/>
              <w:right w:val="single" w:color="000000" w:sz="4" w:space="0"/>
            </w:tcBorders>
          </w:tcPr>
          <w:p>
            <w:pPr>
              <w:pStyle w:val="38"/>
              <w:spacing w:line="285" w:lineRule="auto"/>
              <w:ind w:left="115" w:right="101" w:hanging="12"/>
              <w:jc w:val="both"/>
              <w:rPr>
                <w:rFonts w:ascii="宋体" w:hAnsi="宋体" w:eastAsia="宋体" w:cs="宋体"/>
                <w:sz w:val="20"/>
                <w:szCs w:val="20"/>
                <w:lang w:eastAsia="zh-CN"/>
              </w:rPr>
            </w:pPr>
            <w:r>
              <w:rPr>
                <w:rFonts w:ascii="宋体" w:hAnsi="宋体" w:eastAsia="宋体" w:cs="宋体"/>
                <w:sz w:val="20"/>
                <w:szCs w:val="20"/>
                <w:lang w:eastAsia="zh-CN"/>
              </w:rPr>
              <w:t>30</w:t>
            </w:r>
            <w:r>
              <w:rPr>
                <w:rFonts w:ascii="宋体" w:hAnsi="宋体" w:eastAsia="宋体" w:cs="宋体"/>
                <w:spacing w:val="-77"/>
                <w:sz w:val="20"/>
                <w:szCs w:val="20"/>
                <w:lang w:eastAsia="zh-CN"/>
              </w:rPr>
              <w:t xml:space="preserve"> </w:t>
            </w:r>
            <w:r>
              <w:rPr>
                <w:rFonts w:ascii="宋体" w:hAnsi="宋体" w:eastAsia="宋体" w:cs="宋体"/>
                <w:sz w:val="20"/>
                <w:szCs w:val="20"/>
                <w:lang w:eastAsia="zh-CN"/>
              </w:rPr>
              <w:t>日前提交</w:t>
            </w:r>
            <w:r>
              <w:rPr>
                <w:rFonts w:ascii="宋体" w:hAnsi="宋体" w:eastAsia="宋体" w:cs="宋体"/>
                <w:w w:val="99"/>
                <w:sz w:val="20"/>
                <w:szCs w:val="20"/>
                <w:lang w:eastAsia="zh-CN"/>
              </w:rPr>
              <w:t xml:space="preserve"> </w:t>
            </w:r>
            <w:r>
              <w:rPr>
                <w:rFonts w:ascii="宋体" w:hAnsi="宋体" w:eastAsia="宋体" w:cs="宋体"/>
                <w:sz w:val="20"/>
                <w:szCs w:val="20"/>
                <w:lang w:eastAsia="zh-CN"/>
              </w:rPr>
              <w:t>下月计划完</w:t>
            </w:r>
            <w:r>
              <w:rPr>
                <w:rFonts w:ascii="宋体" w:hAnsi="宋体" w:eastAsia="宋体" w:cs="宋体"/>
                <w:w w:val="99"/>
                <w:sz w:val="20"/>
                <w:szCs w:val="20"/>
                <w:lang w:eastAsia="zh-CN"/>
              </w:rPr>
              <w:t xml:space="preserve"> </w:t>
            </w:r>
            <w:r>
              <w:rPr>
                <w:rFonts w:ascii="宋体" w:hAnsi="宋体" w:eastAsia="宋体" w:cs="宋体"/>
                <w:sz w:val="20"/>
                <w:szCs w:val="20"/>
                <w:lang w:eastAsia="zh-CN"/>
              </w:rPr>
              <w:t>成的报告</w:t>
            </w:r>
          </w:p>
        </w:tc>
        <w:tc>
          <w:tcPr>
            <w:tcW w:w="1231" w:type="dxa"/>
            <w:tcBorders>
              <w:top w:val="single" w:color="000000" w:sz="4" w:space="0"/>
              <w:left w:val="single" w:color="000000" w:sz="4" w:space="0"/>
              <w:bottom w:val="single" w:color="000000" w:sz="4" w:space="0"/>
              <w:right w:val="single" w:color="000000" w:sz="4" w:space="0"/>
            </w:tcBorders>
          </w:tcPr>
          <w:p>
            <w:pPr>
              <w:pStyle w:val="38"/>
              <w:spacing w:line="285" w:lineRule="auto"/>
              <w:ind w:left="110" w:right="110"/>
              <w:jc w:val="center"/>
              <w:rPr>
                <w:rFonts w:ascii="宋体" w:hAnsi="宋体" w:eastAsia="宋体" w:cs="宋体"/>
                <w:sz w:val="20"/>
                <w:szCs w:val="20"/>
                <w:lang w:eastAsia="zh-CN"/>
              </w:rPr>
            </w:pPr>
            <w:r>
              <w:rPr>
                <w:rFonts w:ascii="宋体" w:hAnsi="宋体" w:eastAsia="宋体" w:cs="宋体"/>
                <w:sz w:val="20"/>
                <w:szCs w:val="20"/>
                <w:lang w:eastAsia="zh-CN"/>
              </w:rPr>
              <w:t>每减少一份</w:t>
            </w:r>
            <w:r>
              <w:rPr>
                <w:rFonts w:ascii="宋体" w:hAnsi="宋体" w:eastAsia="宋体" w:cs="宋体"/>
                <w:w w:val="99"/>
                <w:sz w:val="20"/>
                <w:szCs w:val="20"/>
                <w:lang w:eastAsia="zh-CN"/>
              </w:rPr>
              <w:t xml:space="preserve"> </w:t>
            </w:r>
            <w:r>
              <w:rPr>
                <w:rFonts w:ascii="宋体" w:hAnsi="宋体" w:eastAsia="宋体" w:cs="宋体"/>
                <w:sz w:val="20"/>
                <w:szCs w:val="20"/>
                <w:lang w:eastAsia="zh-CN"/>
              </w:rPr>
              <w:t>或延迟一天</w:t>
            </w:r>
            <w:r>
              <w:rPr>
                <w:rFonts w:ascii="宋体" w:hAnsi="宋体" w:eastAsia="宋体" w:cs="宋体"/>
                <w:w w:val="99"/>
                <w:sz w:val="20"/>
                <w:szCs w:val="20"/>
                <w:lang w:eastAsia="zh-CN"/>
              </w:rPr>
              <w:t xml:space="preserve"> </w:t>
            </w:r>
            <w:r>
              <w:rPr>
                <w:rFonts w:ascii="宋体" w:hAnsi="宋体" w:eastAsia="宋体" w:cs="宋体"/>
                <w:sz w:val="20"/>
                <w:szCs w:val="20"/>
                <w:lang w:eastAsia="zh-CN"/>
              </w:rPr>
              <w:t>扣</w:t>
            </w:r>
            <w:r>
              <w:rPr>
                <w:rFonts w:ascii="宋体" w:hAnsi="宋体" w:eastAsia="宋体" w:cs="宋体"/>
                <w:spacing w:val="-52"/>
                <w:sz w:val="20"/>
                <w:szCs w:val="20"/>
                <w:lang w:eastAsia="zh-CN"/>
              </w:rPr>
              <w:t xml:space="preserve"> </w:t>
            </w:r>
            <w:r>
              <w:rPr>
                <w:rFonts w:ascii="宋体" w:hAnsi="宋体" w:eastAsia="宋体" w:cs="宋体"/>
                <w:sz w:val="20"/>
                <w:szCs w:val="20"/>
                <w:lang w:eastAsia="zh-CN"/>
              </w:rPr>
              <w:t>1</w:t>
            </w:r>
            <w:r>
              <w:rPr>
                <w:rFonts w:ascii="宋体" w:hAnsi="宋体" w:eastAsia="宋体" w:cs="宋体"/>
                <w:spacing w:val="-51"/>
                <w:sz w:val="20"/>
                <w:szCs w:val="20"/>
                <w:lang w:eastAsia="zh-CN"/>
              </w:rPr>
              <w:t xml:space="preserve"> </w:t>
            </w:r>
            <w:r>
              <w:rPr>
                <w:rFonts w:ascii="宋体" w:hAnsi="宋体" w:eastAsia="宋体" w:cs="宋体"/>
                <w:sz w:val="20"/>
                <w:szCs w:val="20"/>
                <w:lang w:eastAsia="zh-CN"/>
              </w:rPr>
              <w:t>分</w:t>
            </w:r>
          </w:p>
        </w:tc>
        <w:tc>
          <w:tcPr>
            <w:tcW w:w="1211" w:type="dxa"/>
            <w:tcBorders>
              <w:top w:val="single" w:color="000000" w:sz="4" w:space="0"/>
              <w:left w:val="single" w:color="000000" w:sz="4" w:space="0"/>
              <w:bottom w:val="single" w:color="000000" w:sz="4" w:space="0"/>
              <w:right w:val="single" w:color="000000" w:sz="4" w:space="0"/>
            </w:tcBorders>
          </w:tcPr>
          <w:p>
            <w:pPr>
              <w:pStyle w:val="38"/>
              <w:spacing w:line="285" w:lineRule="auto"/>
              <w:ind w:left="199" w:right="201"/>
              <w:jc w:val="both"/>
              <w:rPr>
                <w:rFonts w:ascii="宋体" w:hAnsi="宋体" w:eastAsia="宋体" w:cs="宋体"/>
                <w:sz w:val="20"/>
                <w:szCs w:val="20"/>
                <w:lang w:eastAsia="zh-CN"/>
              </w:rPr>
            </w:pPr>
            <w:r>
              <w:rPr>
                <w:rFonts w:ascii="宋体" w:hAnsi="宋体" w:eastAsia="宋体" w:cs="宋体"/>
                <w:sz w:val="20"/>
                <w:szCs w:val="20"/>
                <w:lang w:eastAsia="zh-CN"/>
              </w:rPr>
              <w:t>月度维保</w:t>
            </w:r>
            <w:r>
              <w:rPr>
                <w:rFonts w:ascii="宋体" w:hAnsi="宋体" w:eastAsia="宋体" w:cs="宋体"/>
                <w:w w:val="99"/>
                <w:sz w:val="20"/>
                <w:szCs w:val="20"/>
                <w:lang w:eastAsia="zh-CN"/>
              </w:rPr>
              <w:t xml:space="preserve"> </w:t>
            </w:r>
            <w:r>
              <w:rPr>
                <w:rFonts w:ascii="宋体" w:hAnsi="宋体" w:eastAsia="宋体" w:cs="宋体"/>
                <w:sz w:val="20"/>
                <w:szCs w:val="20"/>
                <w:lang w:eastAsia="zh-CN"/>
              </w:rPr>
              <w:t>总结与下</w:t>
            </w:r>
            <w:r>
              <w:rPr>
                <w:rFonts w:ascii="宋体" w:hAnsi="宋体" w:eastAsia="宋体" w:cs="宋体"/>
                <w:w w:val="99"/>
                <w:sz w:val="20"/>
                <w:szCs w:val="20"/>
                <w:lang w:eastAsia="zh-CN"/>
              </w:rPr>
              <w:t xml:space="preserve"> </w:t>
            </w:r>
            <w:r>
              <w:rPr>
                <w:rFonts w:ascii="宋体" w:hAnsi="宋体" w:eastAsia="宋体" w:cs="宋体"/>
                <w:sz w:val="20"/>
                <w:szCs w:val="20"/>
                <w:lang w:eastAsia="zh-CN"/>
              </w:rPr>
              <w:t>月计划</w:t>
            </w:r>
          </w:p>
        </w:tc>
        <w:tc>
          <w:tcPr>
            <w:tcW w:w="485"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1263"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434"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1149"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r>
    </w:tbl>
    <w:p>
      <w:pPr>
        <w:spacing w:before="160"/>
        <w:ind w:left="0"/>
        <w:rPr>
          <w:rFonts w:hint="eastAsia" w:ascii="宋体" w:hAnsi="宋体" w:cs="宋体"/>
          <w:sz w:val="24"/>
        </w:rPr>
      </w:pPr>
    </w:p>
    <w:p>
      <w:pPr>
        <w:sectPr>
          <w:pgSz w:w="11910" w:h="16840"/>
          <w:pgMar w:top="1000" w:right="500" w:bottom="280" w:left="1120" w:header="720" w:footer="720" w:gutter="0"/>
          <w:cols w:space="720" w:num="1"/>
        </w:sectPr>
      </w:pPr>
    </w:p>
    <w:p>
      <w:pPr>
        <w:spacing w:before="2"/>
        <w:rPr>
          <w:rFonts w:ascii="Times New Roman" w:hAnsi="Times New Roman" w:eastAsia="Times New Roman"/>
          <w:sz w:val="29"/>
          <w:szCs w:val="29"/>
        </w:rPr>
      </w:pPr>
    </w:p>
    <w:tbl>
      <w:tblPr>
        <w:tblStyle w:val="37"/>
        <w:tblW w:w="0" w:type="auto"/>
        <w:tblInd w:w="100" w:type="dxa"/>
        <w:tblLayout w:type="fixed"/>
        <w:tblCellMar>
          <w:top w:w="0" w:type="dxa"/>
          <w:left w:w="0" w:type="dxa"/>
          <w:bottom w:w="0" w:type="dxa"/>
          <w:right w:w="0" w:type="dxa"/>
        </w:tblCellMar>
      </w:tblPr>
      <w:tblGrid>
        <w:gridCol w:w="859"/>
        <w:gridCol w:w="548"/>
        <w:gridCol w:w="1635"/>
        <w:gridCol w:w="1241"/>
        <w:gridCol w:w="1231"/>
        <w:gridCol w:w="1211"/>
        <w:gridCol w:w="485"/>
        <w:gridCol w:w="1263"/>
        <w:gridCol w:w="434"/>
        <w:gridCol w:w="1149"/>
      </w:tblGrid>
      <w:tr>
        <w:tblPrEx>
          <w:tblCellMar>
            <w:top w:w="0" w:type="dxa"/>
            <w:left w:w="0" w:type="dxa"/>
            <w:bottom w:w="0" w:type="dxa"/>
            <w:right w:w="0" w:type="dxa"/>
          </w:tblCellMar>
        </w:tblPrEx>
        <w:trPr>
          <w:trHeight w:val="946" w:hRule="exact"/>
        </w:trPr>
        <w:tc>
          <w:tcPr>
            <w:tcW w:w="859"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548" w:type="dxa"/>
            <w:tcBorders>
              <w:top w:val="single" w:color="000000" w:sz="4" w:space="0"/>
              <w:left w:val="single" w:color="000000" w:sz="4" w:space="0"/>
              <w:bottom w:val="single" w:color="000000" w:sz="4" w:space="0"/>
              <w:right w:val="single" w:color="000000" w:sz="4" w:space="0"/>
            </w:tcBorders>
          </w:tcPr>
          <w:p>
            <w:pPr>
              <w:pStyle w:val="38"/>
              <w:spacing w:line="257" w:lineRule="exact"/>
              <w:ind w:left="169"/>
              <w:rPr>
                <w:rFonts w:ascii="宋体" w:hAnsi="宋体" w:eastAsia="宋体" w:cs="宋体"/>
                <w:sz w:val="20"/>
                <w:szCs w:val="20"/>
              </w:rPr>
            </w:pPr>
            <w:r>
              <w:rPr>
                <w:rFonts w:ascii="宋体"/>
                <w:sz w:val="20"/>
              </w:rPr>
              <w:t>3%</w:t>
            </w:r>
          </w:p>
        </w:tc>
        <w:tc>
          <w:tcPr>
            <w:tcW w:w="1635" w:type="dxa"/>
            <w:tcBorders>
              <w:top w:val="single" w:color="000000" w:sz="4" w:space="0"/>
              <w:left w:val="single" w:color="000000" w:sz="4" w:space="0"/>
              <w:bottom w:val="single" w:color="000000" w:sz="4" w:space="0"/>
              <w:right w:val="single" w:color="000000" w:sz="4" w:space="0"/>
            </w:tcBorders>
          </w:tcPr>
          <w:p>
            <w:pPr>
              <w:pStyle w:val="38"/>
              <w:spacing w:line="285" w:lineRule="auto"/>
              <w:ind w:left="137" w:right="120" w:hanging="34"/>
              <w:jc w:val="both"/>
              <w:rPr>
                <w:rFonts w:ascii="宋体" w:hAnsi="宋体" w:eastAsia="宋体" w:cs="宋体"/>
                <w:sz w:val="20"/>
                <w:szCs w:val="20"/>
                <w:lang w:eastAsia="zh-CN"/>
              </w:rPr>
            </w:pPr>
            <w:r>
              <w:rPr>
                <w:rFonts w:ascii="宋体" w:hAnsi="宋体" w:eastAsia="宋体" w:cs="宋体"/>
                <w:sz w:val="20"/>
                <w:szCs w:val="20"/>
                <w:lang w:eastAsia="zh-CN"/>
              </w:rPr>
              <w:t>按要求提交月度</w:t>
            </w:r>
            <w:r>
              <w:rPr>
                <w:rFonts w:ascii="宋体" w:hAnsi="宋体" w:eastAsia="宋体" w:cs="宋体"/>
                <w:w w:val="99"/>
                <w:sz w:val="20"/>
                <w:szCs w:val="20"/>
                <w:lang w:eastAsia="zh-CN"/>
              </w:rPr>
              <w:t xml:space="preserve"> </w:t>
            </w:r>
            <w:r>
              <w:rPr>
                <w:rFonts w:ascii="宋体" w:hAnsi="宋体" w:eastAsia="宋体" w:cs="宋体"/>
                <w:sz w:val="20"/>
                <w:szCs w:val="20"/>
                <w:lang w:eastAsia="zh-CN"/>
              </w:rPr>
              <w:t>KPI</w:t>
            </w:r>
            <w:r>
              <w:rPr>
                <w:rFonts w:ascii="宋体" w:hAnsi="宋体" w:eastAsia="宋体" w:cs="宋体"/>
                <w:spacing w:val="-53"/>
                <w:sz w:val="20"/>
                <w:szCs w:val="20"/>
                <w:lang w:eastAsia="zh-CN"/>
              </w:rPr>
              <w:t xml:space="preserve"> </w:t>
            </w:r>
            <w:r>
              <w:rPr>
                <w:rFonts w:ascii="宋体" w:hAnsi="宋体" w:eastAsia="宋体" w:cs="宋体"/>
                <w:sz w:val="20"/>
                <w:szCs w:val="20"/>
                <w:lang w:eastAsia="zh-CN"/>
              </w:rPr>
              <w:t>考评，季度</w:t>
            </w:r>
            <w:r>
              <w:rPr>
                <w:rFonts w:ascii="宋体" w:hAnsi="宋体" w:eastAsia="宋体" w:cs="宋体"/>
                <w:w w:val="99"/>
                <w:sz w:val="20"/>
                <w:szCs w:val="20"/>
                <w:lang w:eastAsia="zh-CN"/>
              </w:rPr>
              <w:t xml:space="preserve"> </w:t>
            </w:r>
            <w:r>
              <w:rPr>
                <w:rFonts w:ascii="宋体" w:hAnsi="宋体" w:eastAsia="宋体" w:cs="宋体"/>
                <w:sz w:val="20"/>
                <w:szCs w:val="20"/>
                <w:lang w:eastAsia="zh-CN"/>
              </w:rPr>
              <w:t>费用申付资料</w:t>
            </w:r>
          </w:p>
        </w:tc>
        <w:tc>
          <w:tcPr>
            <w:tcW w:w="1241" w:type="dxa"/>
            <w:tcBorders>
              <w:top w:val="single" w:color="000000" w:sz="4" w:space="0"/>
              <w:left w:val="single" w:color="000000" w:sz="4" w:space="0"/>
              <w:bottom w:val="single" w:color="000000" w:sz="4" w:space="0"/>
              <w:right w:val="single" w:color="000000" w:sz="4" w:space="0"/>
            </w:tcBorders>
          </w:tcPr>
          <w:p>
            <w:pPr>
              <w:pStyle w:val="38"/>
              <w:spacing w:line="285" w:lineRule="auto"/>
              <w:ind w:left="240" w:right="101" w:hanging="137"/>
              <w:rPr>
                <w:rFonts w:ascii="宋体" w:hAnsi="宋体" w:eastAsia="宋体" w:cs="宋体"/>
                <w:sz w:val="20"/>
                <w:szCs w:val="20"/>
              </w:rPr>
            </w:pPr>
            <w:r>
              <w:rPr>
                <w:rFonts w:ascii="宋体" w:hAnsi="宋体" w:eastAsia="宋体" w:cs="宋体"/>
                <w:sz w:val="20"/>
                <w:szCs w:val="20"/>
              </w:rPr>
              <w:t>30</w:t>
            </w:r>
            <w:r>
              <w:rPr>
                <w:rFonts w:ascii="宋体" w:hAnsi="宋体" w:eastAsia="宋体" w:cs="宋体"/>
                <w:spacing w:val="-77"/>
                <w:sz w:val="20"/>
                <w:szCs w:val="20"/>
              </w:rPr>
              <w:t xml:space="preserve"> </w:t>
            </w:r>
            <w:r>
              <w:rPr>
                <w:rFonts w:ascii="宋体" w:hAnsi="宋体" w:eastAsia="宋体" w:cs="宋体"/>
                <w:sz w:val="20"/>
                <w:szCs w:val="20"/>
              </w:rPr>
              <w:t>日前提交</w:t>
            </w:r>
            <w:r>
              <w:rPr>
                <w:rFonts w:ascii="宋体" w:hAnsi="宋体" w:eastAsia="宋体" w:cs="宋体"/>
                <w:w w:val="99"/>
                <w:sz w:val="20"/>
                <w:szCs w:val="20"/>
              </w:rPr>
              <w:t xml:space="preserve"> </w:t>
            </w:r>
            <w:r>
              <w:rPr>
                <w:rFonts w:ascii="宋体" w:hAnsi="宋体" w:eastAsia="宋体" w:cs="宋体"/>
                <w:sz w:val="20"/>
                <w:szCs w:val="20"/>
              </w:rPr>
              <w:t>当月</w:t>
            </w:r>
            <w:r>
              <w:rPr>
                <w:rFonts w:ascii="宋体" w:hAnsi="宋体" w:eastAsia="宋体" w:cs="宋体"/>
                <w:spacing w:val="-52"/>
                <w:sz w:val="20"/>
                <w:szCs w:val="20"/>
              </w:rPr>
              <w:t xml:space="preserve"> </w:t>
            </w:r>
            <w:r>
              <w:rPr>
                <w:rFonts w:ascii="宋体" w:hAnsi="宋体" w:eastAsia="宋体" w:cs="宋体"/>
                <w:sz w:val="20"/>
                <w:szCs w:val="20"/>
              </w:rPr>
              <w:t>KPI</w:t>
            </w:r>
          </w:p>
        </w:tc>
        <w:tc>
          <w:tcPr>
            <w:tcW w:w="1231" w:type="dxa"/>
            <w:tcBorders>
              <w:top w:val="single" w:color="000000" w:sz="4" w:space="0"/>
              <w:left w:val="single" w:color="000000" w:sz="4" w:space="0"/>
              <w:bottom w:val="single" w:color="000000" w:sz="4" w:space="0"/>
              <w:right w:val="single" w:color="000000" w:sz="4" w:space="0"/>
            </w:tcBorders>
          </w:tcPr>
          <w:p>
            <w:pPr>
              <w:pStyle w:val="38"/>
              <w:spacing w:line="285" w:lineRule="auto"/>
              <w:ind w:left="211" w:right="110" w:hanging="101"/>
              <w:rPr>
                <w:rFonts w:ascii="宋体" w:hAnsi="宋体" w:eastAsia="宋体" w:cs="宋体"/>
                <w:sz w:val="20"/>
                <w:szCs w:val="20"/>
              </w:rPr>
            </w:pPr>
            <w:r>
              <w:rPr>
                <w:rFonts w:ascii="宋体" w:hAnsi="宋体" w:eastAsia="宋体" w:cs="宋体"/>
                <w:sz w:val="20"/>
                <w:szCs w:val="20"/>
              </w:rPr>
              <w:t>每推迟</w:t>
            </w:r>
            <w:r>
              <w:rPr>
                <w:rFonts w:ascii="宋体" w:hAnsi="宋体" w:eastAsia="宋体" w:cs="宋体"/>
                <w:spacing w:val="-52"/>
                <w:sz w:val="20"/>
                <w:szCs w:val="20"/>
              </w:rPr>
              <w:t xml:space="preserve"> </w:t>
            </w:r>
            <w:r>
              <w:rPr>
                <w:rFonts w:ascii="宋体" w:hAnsi="宋体" w:eastAsia="宋体" w:cs="宋体"/>
                <w:sz w:val="20"/>
                <w:szCs w:val="20"/>
              </w:rPr>
              <w:t>1</w:t>
            </w:r>
            <w:r>
              <w:rPr>
                <w:rFonts w:ascii="宋体" w:hAnsi="宋体" w:eastAsia="宋体" w:cs="宋体"/>
                <w:spacing w:val="-53"/>
                <w:sz w:val="20"/>
                <w:szCs w:val="20"/>
              </w:rPr>
              <w:t xml:space="preserve"> </w:t>
            </w:r>
            <w:r>
              <w:rPr>
                <w:rFonts w:ascii="宋体" w:hAnsi="宋体" w:eastAsia="宋体" w:cs="宋体"/>
                <w:sz w:val="20"/>
                <w:szCs w:val="20"/>
              </w:rPr>
              <w:t>天</w:t>
            </w:r>
            <w:r>
              <w:rPr>
                <w:rFonts w:ascii="宋体" w:hAnsi="宋体" w:eastAsia="宋体" w:cs="宋体"/>
                <w:w w:val="99"/>
                <w:sz w:val="20"/>
                <w:szCs w:val="20"/>
              </w:rPr>
              <w:t xml:space="preserve"> </w:t>
            </w:r>
            <w:r>
              <w:rPr>
                <w:rFonts w:ascii="宋体" w:hAnsi="宋体" w:eastAsia="宋体" w:cs="宋体"/>
                <w:sz w:val="20"/>
                <w:szCs w:val="20"/>
              </w:rPr>
              <w:t>扣</w:t>
            </w:r>
            <w:r>
              <w:rPr>
                <w:rFonts w:ascii="宋体" w:hAnsi="宋体" w:eastAsia="宋体" w:cs="宋体"/>
                <w:spacing w:val="-51"/>
                <w:sz w:val="20"/>
                <w:szCs w:val="20"/>
              </w:rPr>
              <w:t xml:space="preserve"> </w:t>
            </w:r>
            <w:r>
              <w:rPr>
                <w:rFonts w:ascii="宋体" w:hAnsi="宋体" w:eastAsia="宋体" w:cs="宋体"/>
                <w:sz w:val="20"/>
                <w:szCs w:val="20"/>
              </w:rPr>
              <w:t>0.5</w:t>
            </w:r>
            <w:r>
              <w:rPr>
                <w:rFonts w:ascii="宋体" w:hAnsi="宋体" w:eastAsia="宋体" w:cs="宋体"/>
                <w:spacing w:val="-52"/>
                <w:sz w:val="20"/>
                <w:szCs w:val="20"/>
              </w:rPr>
              <w:t xml:space="preserve"> </w:t>
            </w:r>
            <w:r>
              <w:rPr>
                <w:rFonts w:ascii="宋体" w:hAnsi="宋体" w:eastAsia="宋体" w:cs="宋体"/>
                <w:sz w:val="20"/>
                <w:szCs w:val="20"/>
              </w:rPr>
              <w:t>分</w:t>
            </w:r>
          </w:p>
        </w:tc>
        <w:tc>
          <w:tcPr>
            <w:tcW w:w="1211" w:type="dxa"/>
            <w:tcBorders>
              <w:top w:val="single" w:color="000000" w:sz="4" w:space="0"/>
              <w:left w:val="single" w:color="000000" w:sz="4" w:space="0"/>
              <w:bottom w:val="single" w:color="000000" w:sz="4" w:space="0"/>
              <w:right w:val="single" w:color="000000" w:sz="4" w:space="0"/>
            </w:tcBorders>
          </w:tcPr>
          <w:p>
            <w:pPr>
              <w:pStyle w:val="38"/>
              <w:spacing w:line="285" w:lineRule="auto"/>
              <w:ind w:left="125" w:right="124"/>
              <w:jc w:val="center"/>
              <w:rPr>
                <w:rFonts w:ascii="宋体" w:hAnsi="宋体" w:eastAsia="宋体" w:cs="宋体"/>
                <w:sz w:val="20"/>
                <w:szCs w:val="20"/>
                <w:lang w:eastAsia="zh-CN"/>
              </w:rPr>
            </w:pPr>
            <w:r>
              <w:rPr>
                <w:rFonts w:ascii="宋体" w:hAnsi="宋体" w:eastAsia="宋体" w:cs="宋体"/>
                <w:sz w:val="20"/>
                <w:szCs w:val="20"/>
                <w:lang w:eastAsia="zh-CN"/>
              </w:rPr>
              <w:t>KPI</w:t>
            </w:r>
            <w:r>
              <w:rPr>
                <w:rFonts w:ascii="宋体" w:hAnsi="宋体" w:eastAsia="宋体" w:cs="宋体"/>
                <w:spacing w:val="-52"/>
                <w:sz w:val="20"/>
                <w:szCs w:val="20"/>
                <w:lang w:eastAsia="zh-CN"/>
              </w:rPr>
              <w:t xml:space="preserve"> </w:t>
            </w:r>
            <w:r>
              <w:rPr>
                <w:rFonts w:ascii="宋体" w:hAnsi="宋体" w:eastAsia="宋体" w:cs="宋体"/>
                <w:sz w:val="20"/>
                <w:szCs w:val="20"/>
                <w:lang w:eastAsia="zh-CN"/>
              </w:rPr>
              <w:t>考评表</w:t>
            </w:r>
            <w:r>
              <w:rPr>
                <w:rFonts w:ascii="宋体" w:hAnsi="宋体" w:eastAsia="宋体" w:cs="宋体"/>
                <w:w w:val="99"/>
                <w:sz w:val="20"/>
                <w:szCs w:val="20"/>
                <w:lang w:eastAsia="zh-CN"/>
              </w:rPr>
              <w:t xml:space="preserve"> </w:t>
            </w:r>
            <w:r>
              <w:rPr>
                <w:rFonts w:ascii="宋体" w:hAnsi="宋体" w:eastAsia="宋体" w:cs="宋体"/>
                <w:sz w:val="20"/>
                <w:szCs w:val="20"/>
                <w:lang w:eastAsia="zh-CN"/>
              </w:rPr>
              <w:t>与申付资</w:t>
            </w:r>
            <w:r>
              <w:rPr>
                <w:rFonts w:ascii="宋体" w:hAnsi="宋体" w:eastAsia="宋体" w:cs="宋体"/>
                <w:w w:val="99"/>
                <w:sz w:val="20"/>
                <w:szCs w:val="20"/>
                <w:lang w:eastAsia="zh-CN"/>
              </w:rPr>
              <w:t xml:space="preserve"> </w:t>
            </w:r>
            <w:r>
              <w:rPr>
                <w:rFonts w:ascii="宋体" w:hAnsi="宋体" w:eastAsia="宋体" w:cs="宋体"/>
                <w:sz w:val="20"/>
                <w:szCs w:val="20"/>
                <w:lang w:eastAsia="zh-CN"/>
              </w:rPr>
              <w:t>料</w:t>
            </w:r>
          </w:p>
        </w:tc>
        <w:tc>
          <w:tcPr>
            <w:tcW w:w="485"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1263"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434"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c>
          <w:tcPr>
            <w:tcW w:w="1149" w:type="dxa"/>
            <w:tcBorders>
              <w:top w:val="single" w:color="000000" w:sz="4" w:space="0"/>
              <w:left w:val="single" w:color="000000" w:sz="4" w:space="0"/>
              <w:bottom w:val="single" w:color="000000" w:sz="4" w:space="0"/>
              <w:right w:val="single" w:color="000000" w:sz="4" w:space="0"/>
            </w:tcBorders>
          </w:tcPr>
          <w:p>
            <w:pPr>
              <w:rPr>
                <w:rFonts w:eastAsiaTheme="minorEastAsia" w:cstheme="minorBidi"/>
                <w:lang w:eastAsia="zh-CN"/>
              </w:rPr>
            </w:pPr>
          </w:p>
        </w:tc>
      </w:tr>
      <w:tr>
        <w:tblPrEx>
          <w:tblCellMar>
            <w:top w:w="0" w:type="dxa"/>
            <w:left w:w="0" w:type="dxa"/>
            <w:bottom w:w="0" w:type="dxa"/>
            <w:right w:w="0" w:type="dxa"/>
          </w:tblCellMar>
        </w:tblPrEx>
        <w:trPr>
          <w:trHeight w:val="318" w:hRule="exact"/>
        </w:trPr>
        <w:tc>
          <w:tcPr>
            <w:tcW w:w="859" w:type="dxa"/>
            <w:vMerge w:val="restart"/>
            <w:tcBorders>
              <w:top w:val="single" w:color="000000" w:sz="4" w:space="0"/>
              <w:left w:val="single" w:color="000000" w:sz="4" w:space="0"/>
              <w:right w:val="single" w:color="000000" w:sz="4" w:space="0"/>
            </w:tcBorders>
          </w:tcPr>
          <w:p>
            <w:pPr>
              <w:pStyle w:val="38"/>
              <w:rPr>
                <w:rFonts w:ascii="Times New Roman" w:hAnsi="Times New Roman" w:eastAsia="Times New Roman" w:cs="Times New Roman"/>
                <w:sz w:val="20"/>
                <w:szCs w:val="20"/>
                <w:lang w:eastAsia="zh-CN"/>
              </w:rPr>
            </w:pPr>
          </w:p>
          <w:p>
            <w:pPr>
              <w:pStyle w:val="38"/>
              <w:rPr>
                <w:rFonts w:ascii="Times New Roman" w:hAnsi="Times New Roman" w:eastAsia="Times New Roman" w:cs="Times New Roman"/>
                <w:sz w:val="20"/>
                <w:szCs w:val="20"/>
                <w:lang w:eastAsia="zh-CN"/>
              </w:rPr>
            </w:pPr>
          </w:p>
          <w:p>
            <w:pPr>
              <w:pStyle w:val="38"/>
              <w:spacing w:before="159"/>
              <w:ind w:left="123"/>
              <w:rPr>
                <w:rFonts w:ascii="宋体" w:hAnsi="宋体" w:eastAsia="宋体" w:cs="宋体"/>
                <w:sz w:val="20"/>
                <w:szCs w:val="20"/>
              </w:rPr>
            </w:pPr>
            <w:r>
              <w:rPr>
                <w:rFonts w:ascii="宋体" w:hAnsi="宋体" w:eastAsia="宋体" w:cs="宋体"/>
                <w:sz w:val="20"/>
                <w:szCs w:val="20"/>
              </w:rPr>
              <w:t>客户满</w:t>
            </w:r>
          </w:p>
        </w:tc>
        <w:tc>
          <w:tcPr>
            <w:tcW w:w="548" w:type="dxa"/>
            <w:vMerge w:val="restart"/>
            <w:tcBorders>
              <w:top w:val="single" w:color="000000" w:sz="4" w:space="0"/>
              <w:left w:val="single" w:color="000000" w:sz="4" w:space="0"/>
              <w:right w:val="single" w:color="000000" w:sz="4" w:space="0"/>
            </w:tcBorders>
          </w:tcPr>
          <w:p>
            <w:pPr>
              <w:pStyle w:val="38"/>
              <w:spacing w:line="257" w:lineRule="exact"/>
              <w:ind w:left="119"/>
              <w:rPr>
                <w:rFonts w:ascii="宋体" w:hAnsi="宋体" w:eastAsia="宋体" w:cs="宋体"/>
                <w:sz w:val="20"/>
                <w:szCs w:val="20"/>
              </w:rPr>
            </w:pPr>
            <w:r>
              <w:rPr>
                <w:rFonts w:ascii="宋体"/>
                <w:sz w:val="20"/>
              </w:rPr>
              <w:t>10%</w:t>
            </w:r>
          </w:p>
        </w:tc>
        <w:tc>
          <w:tcPr>
            <w:tcW w:w="1635" w:type="dxa"/>
            <w:vMerge w:val="restart"/>
            <w:tcBorders>
              <w:top w:val="single" w:color="000000" w:sz="4" w:space="0"/>
              <w:left w:val="single" w:color="000000" w:sz="4" w:space="0"/>
              <w:right w:val="single" w:color="000000" w:sz="4" w:space="0"/>
            </w:tcBorders>
          </w:tcPr>
          <w:p>
            <w:pPr>
              <w:pStyle w:val="38"/>
              <w:spacing w:line="257" w:lineRule="exact"/>
              <w:ind w:left="411"/>
              <w:rPr>
                <w:rFonts w:ascii="宋体" w:hAnsi="宋体" w:eastAsia="宋体" w:cs="宋体"/>
                <w:sz w:val="20"/>
                <w:szCs w:val="20"/>
              </w:rPr>
            </w:pPr>
            <w:r>
              <w:rPr>
                <w:rFonts w:ascii="宋体" w:hAnsi="宋体" w:eastAsia="宋体" w:cs="宋体"/>
                <w:sz w:val="20"/>
                <w:szCs w:val="20"/>
              </w:rPr>
              <w:t>有效投诉</w:t>
            </w:r>
          </w:p>
        </w:tc>
        <w:tc>
          <w:tcPr>
            <w:tcW w:w="1241" w:type="dxa"/>
            <w:tcBorders>
              <w:top w:val="single" w:color="000000" w:sz="4" w:space="0"/>
              <w:left w:val="single" w:color="000000" w:sz="4" w:space="0"/>
              <w:bottom w:val="nil"/>
              <w:right w:val="single" w:color="000000" w:sz="4" w:space="0"/>
            </w:tcBorders>
          </w:tcPr>
          <w:p>
            <w:pPr>
              <w:pStyle w:val="38"/>
              <w:spacing w:line="257" w:lineRule="exact"/>
              <w:ind w:left="115"/>
              <w:rPr>
                <w:rFonts w:ascii="宋体" w:hAnsi="宋体" w:eastAsia="宋体" w:cs="宋体"/>
                <w:sz w:val="20"/>
                <w:szCs w:val="20"/>
              </w:rPr>
            </w:pPr>
            <w:r>
              <w:rPr>
                <w:rFonts w:ascii="宋体" w:hAnsi="宋体" w:eastAsia="宋体" w:cs="宋体"/>
                <w:sz w:val="20"/>
                <w:szCs w:val="20"/>
              </w:rPr>
              <w:t>客户投诉与</w:t>
            </w:r>
          </w:p>
        </w:tc>
        <w:tc>
          <w:tcPr>
            <w:tcW w:w="1231" w:type="dxa"/>
            <w:tcBorders>
              <w:top w:val="single" w:color="000000" w:sz="4" w:space="0"/>
              <w:left w:val="single" w:color="000000" w:sz="4" w:space="0"/>
              <w:bottom w:val="nil"/>
              <w:right w:val="single" w:color="000000" w:sz="4" w:space="0"/>
            </w:tcBorders>
          </w:tcPr>
          <w:p>
            <w:pPr>
              <w:pStyle w:val="38"/>
              <w:spacing w:line="257" w:lineRule="exact"/>
              <w:ind w:left="235"/>
              <w:rPr>
                <w:rFonts w:ascii="宋体" w:hAnsi="宋体" w:eastAsia="宋体" w:cs="宋体"/>
                <w:sz w:val="20"/>
                <w:szCs w:val="20"/>
              </w:rPr>
            </w:pPr>
            <w:r>
              <w:rPr>
                <w:rFonts w:ascii="宋体" w:hAnsi="宋体" w:eastAsia="宋体" w:cs="宋体"/>
                <w:sz w:val="20"/>
                <w:szCs w:val="20"/>
              </w:rPr>
              <w:t>每次扣</w:t>
            </w:r>
            <w:r>
              <w:rPr>
                <w:rFonts w:ascii="宋体" w:hAnsi="宋体" w:eastAsia="宋体" w:cs="宋体"/>
                <w:spacing w:val="-52"/>
                <w:sz w:val="20"/>
                <w:szCs w:val="20"/>
              </w:rPr>
              <w:t xml:space="preserve"> </w:t>
            </w:r>
            <w:r>
              <w:rPr>
                <w:rFonts w:ascii="宋体" w:hAnsi="宋体" w:eastAsia="宋体" w:cs="宋体"/>
                <w:sz w:val="20"/>
                <w:szCs w:val="20"/>
              </w:rPr>
              <w:t>5</w:t>
            </w:r>
          </w:p>
        </w:tc>
        <w:tc>
          <w:tcPr>
            <w:tcW w:w="1211" w:type="dxa"/>
            <w:tcBorders>
              <w:top w:val="single" w:color="000000" w:sz="4" w:space="0"/>
              <w:left w:val="single" w:color="000000" w:sz="4" w:space="0"/>
              <w:bottom w:val="nil"/>
              <w:right w:val="single" w:color="000000" w:sz="4" w:space="0"/>
            </w:tcBorders>
          </w:tcPr>
          <w:p>
            <w:pPr>
              <w:pStyle w:val="38"/>
              <w:spacing w:line="257" w:lineRule="exact"/>
              <w:ind w:left="199"/>
              <w:rPr>
                <w:rFonts w:ascii="宋体" w:hAnsi="宋体" w:eastAsia="宋体" w:cs="宋体"/>
                <w:sz w:val="20"/>
                <w:szCs w:val="20"/>
              </w:rPr>
            </w:pPr>
            <w:r>
              <w:rPr>
                <w:rFonts w:ascii="宋体" w:hAnsi="宋体" w:eastAsia="宋体" w:cs="宋体"/>
                <w:sz w:val="20"/>
                <w:szCs w:val="20"/>
              </w:rPr>
              <w:t>客户投诉</w:t>
            </w:r>
          </w:p>
        </w:tc>
        <w:tc>
          <w:tcPr>
            <w:tcW w:w="485"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1263"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434"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1149"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2" w:hRule="exact"/>
        </w:trPr>
        <w:tc>
          <w:tcPr>
            <w:tcW w:w="859" w:type="dxa"/>
            <w:vMerge w:val="continue"/>
            <w:tcBorders>
              <w:left w:val="single" w:color="000000" w:sz="4" w:space="0"/>
              <w:right w:val="single" w:color="000000" w:sz="4" w:space="0"/>
            </w:tcBorders>
          </w:tcPr>
          <w:p>
            <w:pPr>
              <w:rPr>
                <w:rFonts w:eastAsiaTheme="minorEastAsia" w:cstheme="minorBidi"/>
                <w:lang w:eastAsia="en-US"/>
              </w:rPr>
            </w:pPr>
          </w:p>
        </w:tc>
        <w:tc>
          <w:tcPr>
            <w:tcW w:w="548" w:type="dxa"/>
            <w:vMerge w:val="continue"/>
            <w:tcBorders>
              <w:left w:val="single" w:color="000000" w:sz="4" w:space="0"/>
              <w:right w:val="single" w:color="000000" w:sz="4" w:space="0"/>
            </w:tcBorders>
          </w:tcPr>
          <w:p>
            <w:pPr>
              <w:rPr>
                <w:rFonts w:eastAsiaTheme="minorEastAsia" w:cstheme="minorBidi"/>
                <w:lang w:eastAsia="en-US"/>
              </w:rPr>
            </w:pPr>
          </w:p>
        </w:tc>
        <w:tc>
          <w:tcPr>
            <w:tcW w:w="1635" w:type="dxa"/>
            <w:vMerge w:val="continue"/>
            <w:tcBorders>
              <w:left w:val="single" w:color="000000" w:sz="4" w:space="0"/>
              <w:right w:val="single" w:color="000000" w:sz="4" w:space="0"/>
            </w:tcBorders>
          </w:tcPr>
          <w:p>
            <w:pPr>
              <w:rPr>
                <w:rFonts w:eastAsiaTheme="minorEastAsia" w:cstheme="minorBidi"/>
                <w:lang w:eastAsia="en-US"/>
              </w:rPr>
            </w:pPr>
          </w:p>
        </w:tc>
        <w:tc>
          <w:tcPr>
            <w:tcW w:w="1241" w:type="dxa"/>
            <w:vMerge w:val="restart"/>
            <w:tcBorders>
              <w:top w:val="nil"/>
              <w:left w:val="single" w:color="000000" w:sz="4" w:space="0"/>
              <w:right w:val="single" w:color="000000" w:sz="4" w:space="0"/>
            </w:tcBorders>
          </w:tcPr>
          <w:p>
            <w:pPr>
              <w:pStyle w:val="38"/>
              <w:spacing w:line="256" w:lineRule="exact"/>
              <w:jc w:val="center"/>
              <w:rPr>
                <w:rFonts w:ascii="宋体" w:hAnsi="宋体" w:eastAsia="宋体" w:cs="宋体"/>
                <w:sz w:val="20"/>
                <w:szCs w:val="20"/>
              </w:rPr>
            </w:pPr>
            <w:r>
              <w:rPr>
                <w:rFonts w:ascii="宋体" w:hAnsi="宋体" w:eastAsia="宋体" w:cs="宋体"/>
                <w:sz w:val="20"/>
                <w:szCs w:val="20"/>
              </w:rPr>
              <w:t>罚款</w:t>
            </w:r>
          </w:p>
        </w:tc>
        <w:tc>
          <w:tcPr>
            <w:tcW w:w="1231" w:type="dxa"/>
            <w:tcBorders>
              <w:top w:val="nil"/>
              <w:left w:val="single" w:color="000000" w:sz="4" w:space="0"/>
              <w:bottom w:val="nil"/>
              <w:right w:val="single" w:color="000000" w:sz="4" w:space="0"/>
            </w:tcBorders>
          </w:tcPr>
          <w:p>
            <w:pPr>
              <w:pStyle w:val="38"/>
              <w:spacing w:line="256" w:lineRule="exact"/>
              <w:ind w:left="110"/>
              <w:rPr>
                <w:rFonts w:ascii="宋体" w:hAnsi="宋体" w:eastAsia="宋体" w:cs="宋体"/>
                <w:sz w:val="20"/>
                <w:szCs w:val="20"/>
              </w:rPr>
            </w:pPr>
            <w:r>
              <w:rPr>
                <w:rFonts w:ascii="宋体" w:hAnsi="宋体" w:eastAsia="宋体" w:cs="宋体"/>
                <w:sz w:val="20"/>
                <w:szCs w:val="20"/>
              </w:rPr>
              <w:t>分，涉及物</w:t>
            </w:r>
          </w:p>
        </w:tc>
        <w:tc>
          <w:tcPr>
            <w:tcW w:w="1211" w:type="dxa"/>
            <w:vMerge w:val="restart"/>
            <w:tcBorders>
              <w:top w:val="nil"/>
              <w:left w:val="single" w:color="000000" w:sz="4" w:space="0"/>
              <w:right w:val="single" w:color="000000" w:sz="4" w:space="0"/>
            </w:tcBorders>
          </w:tcPr>
          <w:p>
            <w:pPr>
              <w:pStyle w:val="38"/>
              <w:spacing w:line="256" w:lineRule="exact"/>
              <w:ind w:left="300"/>
              <w:rPr>
                <w:rFonts w:ascii="宋体" w:hAnsi="宋体" w:eastAsia="宋体" w:cs="宋体"/>
                <w:sz w:val="20"/>
                <w:szCs w:val="20"/>
              </w:rPr>
            </w:pPr>
            <w:r>
              <w:rPr>
                <w:rFonts w:ascii="宋体" w:hAnsi="宋体" w:eastAsia="宋体" w:cs="宋体"/>
                <w:sz w:val="20"/>
                <w:szCs w:val="20"/>
              </w:rPr>
              <w:t>记录表</w:t>
            </w:r>
          </w:p>
        </w:tc>
        <w:tc>
          <w:tcPr>
            <w:tcW w:w="485" w:type="dxa"/>
            <w:vMerge w:val="continue"/>
            <w:tcBorders>
              <w:left w:val="single" w:color="000000" w:sz="4" w:space="0"/>
              <w:right w:val="single" w:color="000000" w:sz="4" w:space="0"/>
            </w:tcBorders>
          </w:tcPr>
          <w:p>
            <w:pPr>
              <w:rPr>
                <w:rFonts w:eastAsiaTheme="minorEastAsia" w:cstheme="minorBidi"/>
                <w:lang w:eastAsia="en-US"/>
              </w:rPr>
            </w:pPr>
          </w:p>
        </w:tc>
        <w:tc>
          <w:tcPr>
            <w:tcW w:w="1263" w:type="dxa"/>
            <w:vMerge w:val="continue"/>
            <w:tcBorders>
              <w:left w:val="single" w:color="000000" w:sz="4" w:space="0"/>
              <w:right w:val="single" w:color="000000" w:sz="4" w:space="0"/>
            </w:tcBorders>
          </w:tcPr>
          <w:p>
            <w:pPr>
              <w:rPr>
                <w:rFonts w:eastAsiaTheme="minorEastAsia" w:cstheme="minorBidi"/>
                <w:lang w:eastAsia="en-US"/>
              </w:rPr>
            </w:pPr>
          </w:p>
        </w:tc>
        <w:tc>
          <w:tcPr>
            <w:tcW w:w="434" w:type="dxa"/>
            <w:vMerge w:val="continue"/>
            <w:tcBorders>
              <w:left w:val="single" w:color="000000" w:sz="4" w:space="0"/>
              <w:right w:val="single" w:color="000000" w:sz="4" w:space="0"/>
            </w:tcBorders>
          </w:tcPr>
          <w:p>
            <w:pPr>
              <w:rPr>
                <w:rFonts w:eastAsiaTheme="minorEastAsia" w:cstheme="minorBidi"/>
                <w:lang w:eastAsia="en-US"/>
              </w:rPr>
            </w:pPr>
          </w:p>
        </w:tc>
        <w:tc>
          <w:tcPr>
            <w:tcW w:w="1149" w:type="dxa"/>
            <w:vMerge w:val="continue"/>
            <w:tcBorders>
              <w:left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2" w:hRule="exact"/>
        </w:trPr>
        <w:tc>
          <w:tcPr>
            <w:tcW w:w="859" w:type="dxa"/>
            <w:vMerge w:val="continue"/>
            <w:tcBorders>
              <w:left w:val="single" w:color="000000" w:sz="4" w:space="0"/>
              <w:bottom w:val="nil"/>
              <w:right w:val="single" w:color="000000" w:sz="4" w:space="0"/>
            </w:tcBorders>
          </w:tcPr>
          <w:p>
            <w:pPr>
              <w:rPr>
                <w:rFonts w:eastAsiaTheme="minorEastAsia" w:cstheme="minorBidi"/>
                <w:lang w:eastAsia="en-US"/>
              </w:rPr>
            </w:pPr>
          </w:p>
        </w:tc>
        <w:tc>
          <w:tcPr>
            <w:tcW w:w="548" w:type="dxa"/>
            <w:vMerge w:val="continue"/>
            <w:tcBorders>
              <w:left w:val="single" w:color="000000" w:sz="4" w:space="0"/>
              <w:right w:val="single" w:color="000000" w:sz="4" w:space="0"/>
            </w:tcBorders>
          </w:tcPr>
          <w:p>
            <w:pPr>
              <w:rPr>
                <w:rFonts w:eastAsiaTheme="minorEastAsia" w:cstheme="minorBidi"/>
                <w:lang w:eastAsia="en-US"/>
              </w:rPr>
            </w:pPr>
          </w:p>
        </w:tc>
        <w:tc>
          <w:tcPr>
            <w:tcW w:w="1635" w:type="dxa"/>
            <w:vMerge w:val="continue"/>
            <w:tcBorders>
              <w:left w:val="single" w:color="000000" w:sz="4" w:space="0"/>
              <w:right w:val="single" w:color="000000" w:sz="4" w:space="0"/>
            </w:tcBorders>
          </w:tcPr>
          <w:p>
            <w:pPr>
              <w:rPr>
                <w:rFonts w:eastAsiaTheme="minorEastAsia" w:cstheme="minorBidi"/>
                <w:lang w:eastAsia="en-US"/>
              </w:rPr>
            </w:pPr>
          </w:p>
        </w:tc>
        <w:tc>
          <w:tcPr>
            <w:tcW w:w="1241" w:type="dxa"/>
            <w:vMerge w:val="continue"/>
            <w:tcBorders>
              <w:left w:val="single" w:color="000000" w:sz="4" w:space="0"/>
              <w:right w:val="single" w:color="000000" w:sz="4" w:space="0"/>
            </w:tcBorders>
          </w:tcPr>
          <w:p>
            <w:pPr>
              <w:rPr>
                <w:rFonts w:eastAsiaTheme="minorEastAsia" w:cstheme="minorBidi"/>
                <w:lang w:eastAsia="en-US"/>
              </w:rPr>
            </w:pPr>
          </w:p>
        </w:tc>
        <w:tc>
          <w:tcPr>
            <w:tcW w:w="1231" w:type="dxa"/>
            <w:tcBorders>
              <w:top w:val="nil"/>
              <w:left w:val="single" w:color="000000" w:sz="4" w:space="0"/>
              <w:bottom w:val="nil"/>
              <w:right w:val="single" w:color="000000" w:sz="4" w:space="0"/>
            </w:tcBorders>
          </w:tcPr>
          <w:p>
            <w:pPr>
              <w:pStyle w:val="38"/>
              <w:spacing w:line="256" w:lineRule="exact"/>
              <w:ind w:left="110"/>
              <w:rPr>
                <w:rFonts w:ascii="宋体" w:hAnsi="宋体" w:eastAsia="宋体" w:cs="宋体"/>
                <w:sz w:val="20"/>
                <w:szCs w:val="20"/>
              </w:rPr>
            </w:pPr>
            <w:r>
              <w:rPr>
                <w:rFonts w:ascii="宋体" w:hAnsi="宋体" w:eastAsia="宋体" w:cs="宋体"/>
                <w:sz w:val="20"/>
                <w:szCs w:val="20"/>
              </w:rPr>
              <w:t>业罚款需另</w:t>
            </w:r>
          </w:p>
        </w:tc>
        <w:tc>
          <w:tcPr>
            <w:tcW w:w="1211" w:type="dxa"/>
            <w:vMerge w:val="continue"/>
            <w:tcBorders>
              <w:left w:val="single" w:color="000000" w:sz="4" w:space="0"/>
              <w:right w:val="single" w:color="000000" w:sz="4" w:space="0"/>
            </w:tcBorders>
          </w:tcPr>
          <w:p>
            <w:pPr>
              <w:rPr>
                <w:rFonts w:eastAsiaTheme="minorEastAsia" w:cstheme="minorBidi"/>
                <w:lang w:eastAsia="en-US"/>
              </w:rPr>
            </w:pPr>
          </w:p>
        </w:tc>
        <w:tc>
          <w:tcPr>
            <w:tcW w:w="485" w:type="dxa"/>
            <w:vMerge w:val="continue"/>
            <w:tcBorders>
              <w:left w:val="single" w:color="000000" w:sz="4" w:space="0"/>
              <w:right w:val="single" w:color="000000" w:sz="4" w:space="0"/>
            </w:tcBorders>
          </w:tcPr>
          <w:p>
            <w:pPr>
              <w:rPr>
                <w:rFonts w:eastAsiaTheme="minorEastAsia" w:cstheme="minorBidi"/>
                <w:lang w:eastAsia="en-US"/>
              </w:rPr>
            </w:pPr>
          </w:p>
        </w:tc>
        <w:tc>
          <w:tcPr>
            <w:tcW w:w="1263" w:type="dxa"/>
            <w:vMerge w:val="continue"/>
            <w:tcBorders>
              <w:left w:val="single" w:color="000000" w:sz="4" w:space="0"/>
              <w:right w:val="single" w:color="000000" w:sz="4" w:space="0"/>
            </w:tcBorders>
          </w:tcPr>
          <w:p>
            <w:pPr>
              <w:rPr>
                <w:rFonts w:eastAsiaTheme="minorEastAsia" w:cstheme="minorBidi"/>
                <w:lang w:eastAsia="en-US"/>
              </w:rPr>
            </w:pPr>
          </w:p>
        </w:tc>
        <w:tc>
          <w:tcPr>
            <w:tcW w:w="434" w:type="dxa"/>
            <w:vMerge w:val="continue"/>
            <w:tcBorders>
              <w:left w:val="single" w:color="000000" w:sz="4" w:space="0"/>
              <w:right w:val="single" w:color="000000" w:sz="4" w:space="0"/>
            </w:tcBorders>
          </w:tcPr>
          <w:p>
            <w:pPr>
              <w:rPr>
                <w:rFonts w:eastAsiaTheme="minorEastAsia" w:cstheme="minorBidi"/>
                <w:lang w:eastAsia="en-US"/>
              </w:rPr>
            </w:pPr>
          </w:p>
        </w:tc>
        <w:tc>
          <w:tcPr>
            <w:tcW w:w="1149" w:type="dxa"/>
            <w:vMerge w:val="continue"/>
            <w:tcBorders>
              <w:left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6" w:hRule="exact"/>
        </w:trPr>
        <w:tc>
          <w:tcPr>
            <w:tcW w:w="859" w:type="dxa"/>
            <w:tcBorders>
              <w:top w:val="nil"/>
              <w:left w:val="single" w:color="000000" w:sz="4" w:space="0"/>
              <w:bottom w:val="nil"/>
              <w:right w:val="single" w:color="000000" w:sz="4" w:space="0"/>
            </w:tcBorders>
          </w:tcPr>
          <w:p>
            <w:pPr>
              <w:pStyle w:val="38"/>
              <w:spacing w:line="256" w:lineRule="exact"/>
              <w:ind w:left="224"/>
              <w:rPr>
                <w:rFonts w:ascii="宋体" w:hAnsi="宋体" w:eastAsia="宋体" w:cs="宋体"/>
                <w:sz w:val="20"/>
                <w:szCs w:val="20"/>
              </w:rPr>
            </w:pPr>
            <w:r>
              <w:rPr>
                <w:rFonts w:ascii="宋体" w:hAnsi="宋体" w:eastAsia="宋体" w:cs="宋体"/>
                <w:sz w:val="20"/>
                <w:szCs w:val="20"/>
              </w:rPr>
              <w:t>意度</w:t>
            </w:r>
          </w:p>
        </w:tc>
        <w:tc>
          <w:tcPr>
            <w:tcW w:w="548"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635"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241"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231" w:type="dxa"/>
            <w:tcBorders>
              <w:top w:val="nil"/>
              <w:left w:val="single" w:color="000000" w:sz="4" w:space="0"/>
              <w:bottom w:val="single" w:color="000000" w:sz="4" w:space="0"/>
              <w:right w:val="single" w:color="000000" w:sz="4" w:space="0"/>
            </w:tcBorders>
          </w:tcPr>
          <w:p>
            <w:pPr>
              <w:pStyle w:val="38"/>
              <w:spacing w:line="256" w:lineRule="exact"/>
              <w:ind w:left="110"/>
              <w:rPr>
                <w:rFonts w:ascii="宋体" w:hAnsi="宋体" w:eastAsia="宋体" w:cs="宋体"/>
                <w:sz w:val="20"/>
                <w:szCs w:val="20"/>
              </w:rPr>
            </w:pPr>
            <w:r>
              <w:rPr>
                <w:rFonts w:ascii="宋体" w:hAnsi="宋体" w:eastAsia="宋体" w:cs="宋体"/>
                <w:sz w:val="20"/>
                <w:szCs w:val="20"/>
              </w:rPr>
              <w:t>外支付罚款</w:t>
            </w:r>
          </w:p>
        </w:tc>
        <w:tc>
          <w:tcPr>
            <w:tcW w:w="1211"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485"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263"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434"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149"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7" w:hRule="exact"/>
        </w:trPr>
        <w:tc>
          <w:tcPr>
            <w:tcW w:w="859" w:type="dxa"/>
            <w:vMerge w:val="restart"/>
            <w:tcBorders>
              <w:top w:val="nil"/>
              <w:left w:val="single" w:color="000000" w:sz="4" w:space="0"/>
              <w:right w:val="single" w:color="000000" w:sz="4" w:space="0"/>
            </w:tcBorders>
          </w:tcPr>
          <w:p>
            <w:pPr>
              <w:pStyle w:val="38"/>
              <w:spacing w:line="252" w:lineRule="exact"/>
              <w:ind w:left="174"/>
              <w:rPr>
                <w:rFonts w:ascii="宋体" w:hAnsi="宋体" w:eastAsia="宋体" w:cs="宋体"/>
                <w:sz w:val="20"/>
                <w:szCs w:val="20"/>
              </w:rPr>
            </w:pPr>
            <w:r>
              <w:rPr>
                <w:rFonts w:ascii="宋体"/>
                <w:sz w:val="20"/>
              </w:rPr>
              <w:t>(16%)</w:t>
            </w:r>
          </w:p>
        </w:tc>
        <w:tc>
          <w:tcPr>
            <w:tcW w:w="548" w:type="dxa"/>
            <w:vMerge w:val="restart"/>
            <w:tcBorders>
              <w:top w:val="single" w:color="000000" w:sz="4" w:space="0"/>
              <w:left w:val="single" w:color="000000" w:sz="4" w:space="0"/>
              <w:right w:val="single" w:color="000000" w:sz="4" w:space="0"/>
            </w:tcBorders>
          </w:tcPr>
          <w:p>
            <w:pPr>
              <w:pStyle w:val="38"/>
              <w:spacing w:line="256" w:lineRule="exact"/>
              <w:ind w:left="169"/>
              <w:rPr>
                <w:rFonts w:ascii="宋体" w:hAnsi="宋体" w:eastAsia="宋体" w:cs="宋体"/>
                <w:sz w:val="20"/>
                <w:szCs w:val="20"/>
              </w:rPr>
            </w:pPr>
            <w:r>
              <w:rPr>
                <w:rFonts w:ascii="宋体"/>
                <w:sz w:val="20"/>
              </w:rPr>
              <w:t>3%</w:t>
            </w:r>
          </w:p>
        </w:tc>
        <w:tc>
          <w:tcPr>
            <w:tcW w:w="1635" w:type="dxa"/>
            <w:tcBorders>
              <w:top w:val="single" w:color="000000" w:sz="4" w:space="0"/>
              <w:left w:val="single" w:color="000000" w:sz="4" w:space="0"/>
              <w:bottom w:val="nil"/>
              <w:right w:val="single" w:color="000000" w:sz="4" w:space="0"/>
            </w:tcBorders>
          </w:tcPr>
          <w:p>
            <w:pPr>
              <w:pStyle w:val="38"/>
              <w:spacing w:line="256" w:lineRule="exact"/>
              <w:ind w:left="111"/>
              <w:rPr>
                <w:rFonts w:ascii="宋体" w:hAnsi="宋体" w:eastAsia="宋体" w:cs="宋体"/>
                <w:sz w:val="20"/>
                <w:szCs w:val="20"/>
              </w:rPr>
            </w:pPr>
            <w:r>
              <w:rPr>
                <w:rFonts w:ascii="宋体" w:hAnsi="宋体" w:eastAsia="宋体" w:cs="宋体"/>
                <w:sz w:val="20"/>
                <w:szCs w:val="20"/>
              </w:rPr>
              <w:t>水塔周围环境卫</w:t>
            </w:r>
          </w:p>
        </w:tc>
        <w:tc>
          <w:tcPr>
            <w:tcW w:w="1241" w:type="dxa"/>
            <w:tcBorders>
              <w:top w:val="single" w:color="000000" w:sz="4" w:space="0"/>
              <w:left w:val="single" w:color="000000" w:sz="4" w:space="0"/>
              <w:bottom w:val="nil"/>
              <w:right w:val="single" w:color="000000" w:sz="4" w:space="0"/>
            </w:tcBorders>
          </w:tcPr>
          <w:p>
            <w:pPr>
              <w:pStyle w:val="38"/>
              <w:spacing w:line="256" w:lineRule="exact"/>
              <w:ind w:left="115"/>
              <w:rPr>
                <w:rFonts w:ascii="宋体" w:hAnsi="宋体" w:eastAsia="宋体" w:cs="宋体"/>
                <w:sz w:val="20"/>
                <w:szCs w:val="20"/>
              </w:rPr>
            </w:pPr>
            <w:r>
              <w:rPr>
                <w:rFonts w:ascii="宋体" w:hAnsi="宋体" w:eastAsia="宋体" w:cs="宋体"/>
                <w:sz w:val="20"/>
                <w:szCs w:val="20"/>
              </w:rPr>
              <w:t>现场环境检</w:t>
            </w:r>
          </w:p>
        </w:tc>
        <w:tc>
          <w:tcPr>
            <w:tcW w:w="1231" w:type="dxa"/>
            <w:tcBorders>
              <w:top w:val="single" w:color="000000" w:sz="4" w:space="0"/>
              <w:left w:val="single" w:color="000000" w:sz="4" w:space="0"/>
              <w:bottom w:val="nil"/>
              <w:right w:val="single" w:color="000000" w:sz="4" w:space="0"/>
            </w:tcBorders>
          </w:tcPr>
          <w:p>
            <w:pPr>
              <w:pStyle w:val="38"/>
              <w:spacing w:line="256" w:lineRule="exact"/>
              <w:ind w:left="110"/>
              <w:rPr>
                <w:rFonts w:ascii="宋体" w:hAnsi="宋体" w:eastAsia="宋体" w:cs="宋体"/>
                <w:sz w:val="20"/>
                <w:szCs w:val="20"/>
              </w:rPr>
            </w:pPr>
            <w:r>
              <w:rPr>
                <w:rFonts w:ascii="宋体" w:hAnsi="宋体" w:eastAsia="宋体" w:cs="宋体"/>
                <w:sz w:val="20"/>
                <w:szCs w:val="20"/>
              </w:rPr>
              <w:t>每次不达标</w:t>
            </w:r>
          </w:p>
        </w:tc>
        <w:tc>
          <w:tcPr>
            <w:tcW w:w="1211" w:type="dxa"/>
            <w:tcBorders>
              <w:top w:val="single" w:color="000000" w:sz="4" w:space="0"/>
              <w:left w:val="single" w:color="000000" w:sz="4" w:space="0"/>
              <w:bottom w:val="nil"/>
              <w:right w:val="single" w:color="000000" w:sz="4" w:space="0"/>
            </w:tcBorders>
          </w:tcPr>
          <w:p>
            <w:pPr>
              <w:pStyle w:val="38"/>
              <w:spacing w:line="256" w:lineRule="exact"/>
              <w:ind w:left="199"/>
              <w:rPr>
                <w:rFonts w:ascii="宋体" w:hAnsi="宋体" w:eastAsia="宋体" w:cs="宋体"/>
                <w:sz w:val="20"/>
                <w:szCs w:val="20"/>
              </w:rPr>
            </w:pPr>
            <w:r>
              <w:rPr>
                <w:rFonts w:ascii="宋体" w:hAnsi="宋体" w:eastAsia="宋体" w:cs="宋体"/>
                <w:sz w:val="20"/>
                <w:szCs w:val="20"/>
              </w:rPr>
              <w:t>不定期巡</w:t>
            </w:r>
          </w:p>
        </w:tc>
        <w:tc>
          <w:tcPr>
            <w:tcW w:w="485"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1263"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434"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1149"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2" w:hRule="exact"/>
        </w:trPr>
        <w:tc>
          <w:tcPr>
            <w:tcW w:w="859" w:type="dxa"/>
            <w:vMerge w:val="continue"/>
            <w:tcBorders>
              <w:left w:val="single" w:color="000000" w:sz="4" w:space="0"/>
              <w:right w:val="single" w:color="000000" w:sz="4" w:space="0"/>
            </w:tcBorders>
          </w:tcPr>
          <w:p>
            <w:pPr>
              <w:rPr>
                <w:rFonts w:eastAsiaTheme="minorEastAsia" w:cstheme="minorBidi"/>
                <w:lang w:eastAsia="en-US"/>
              </w:rPr>
            </w:pPr>
          </w:p>
        </w:tc>
        <w:tc>
          <w:tcPr>
            <w:tcW w:w="548" w:type="dxa"/>
            <w:vMerge w:val="continue"/>
            <w:tcBorders>
              <w:left w:val="single" w:color="000000" w:sz="4" w:space="0"/>
              <w:right w:val="single" w:color="000000" w:sz="4" w:space="0"/>
            </w:tcBorders>
          </w:tcPr>
          <w:p>
            <w:pPr>
              <w:rPr>
                <w:rFonts w:eastAsiaTheme="minorEastAsia" w:cstheme="minorBidi"/>
                <w:lang w:eastAsia="en-US"/>
              </w:rPr>
            </w:pPr>
          </w:p>
        </w:tc>
        <w:tc>
          <w:tcPr>
            <w:tcW w:w="1635" w:type="dxa"/>
            <w:tcBorders>
              <w:top w:val="nil"/>
              <w:left w:val="single" w:color="000000" w:sz="4" w:space="0"/>
              <w:bottom w:val="nil"/>
              <w:right w:val="single" w:color="000000" w:sz="4" w:space="0"/>
            </w:tcBorders>
          </w:tcPr>
          <w:p>
            <w:pPr>
              <w:pStyle w:val="38"/>
              <w:spacing w:line="256" w:lineRule="exact"/>
              <w:ind w:left="111"/>
              <w:rPr>
                <w:rFonts w:ascii="宋体" w:hAnsi="宋体" w:eastAsia="宋体" w:cs="宋体"/>
                <w:sz w:val="20"/>
                <w:szCs w:val="20"/>
              </w:rPr>
            </w:pPr>
            <w:r>
              <w:rPr>
                <w:rFonts w:ascii="宋体" w:hAnsi="宋体" w:eastAsia="宋体" w:cs="宋体"/>
                <w:sz w:val="20"/>
                <w:szCs w:val="20"/>
              </w:rPr>
              <w:t>生、清洁整理，</w:t>
            </w:r>
          </w:p>
        </w:tc>
        <w:tc>
          <w:tcPr>
            <w:tcW w:w="1241" w:type="dxa"/>
            <w:vMerge w:val="restart"/>
            <w:tcBorders>
              <w:top w:val="nil"/>
              <w:left w:val="single" w:color="000000" w:sz="4" w:space="0"/>
              <w:right w:val="single" w:color="000000" w:sz="4" w:space="0"/>
            </w:tcBorders>
          </w:tcPr>
          <w:p>
            <w:pPr>
              <w:pStyle w:val="38"/>
              <w:spacing w:line="256" w:lineRule="exact"/>
              <w:jc w:val="center"/>
              <w:rPr>
                <w:rFonts w:ascii="宋体" w:hAnsi="宋体" w:eastAsia="宋体" w:cs="宋体"/>
                <w:sz w:val="20"/>
                <w:szCs w:val="20"/>
              </w:rPr>
            </w:pPr>
            <w:r>
              <w:rPr>
                <w:rFonts w:ascii="宋体" w:hAnsi="宋体" w:eastAsia="宋体" w:cs="宋体"/>
                <w:w w:val="99"/>
                <w:sz w:val="20"/>
                <w:szCs w:val="20"/>
              </w:rPr>
              <w:t>查</w:t>
            </w:r>
          </w:p>
        </w:tc>
        <w:tc>
          <w:tcPr>
            <w:tcW w:w="1231" w:type="dxa"/>
            <w:tcBorders>
              <w:top w:val="nil"/>
              <w:left w:val="single" w:color="000000" w:sz="4" w:space="0"/>
              <w:bottom w:val="nil"/>
              <w:right w:val="single" w:color="000000" w:sz="4" w:space="0"/>
            </w:tcBorders>
          </w:tcPr>
          <w:p>
            <w:pPr>
              <w:pStyle w:val="38"/>
              <w:spacing w:line="256" w:lineRule="exact"/>
              <w:ind w:left="110"/>
              <w:rPr>
                <w:rFonts w:ascii="宋体" w:hAnsi="宋体" w:eastAsia="宋体" w:cs="宋体"/>
                <w:sz w:val="20"/>
                <w:szCs w:val="20"/>
              </w:rPr>
            </w:pPr>
            <w:r>
              <w:rPr>
                <w:rFonts w:ascii="宋体" w:hAnsi="宋体" w:eastAsia="宋体" w:cs="宋体"/>
                <w:sz w:val="20"/>
                <w:szCs w:val="20"/>
              </w:rPr>
              <w:t>扣</w:t>
            </w:r>
            <w:r>
              <w:rPr>
                <w:rFonts w:ascii="宋体" w:hAnsi="宋体" w:eastAsia="宋体" w:cs="宋体"/>
                <w:spacing w:val="-52"/>
                <w:sz w:val="20"/>
                <w:szCs w:val="20"/>
              </w:rPr>
              <w:t xml:space="preserve"> </w:t>
            </w:r>
            <w:r>
              <w:rPr>
                <w:rFonts w:ascii="宋体" w:hAnsi="宋体" w:eastAsia="宋体" w:cs="宋体"/>
                <w:sz w:val="20"/>
                <w:szCs w:val="20"/>
              </w:rPr>
              <w:t>1</w:t>
            </w:r>
            <w:r>
              <w:rPr>
                <w:rFonts w:ascii="宋体" w:hAnsi="宋体" w:eastAsia="宋体" w:cs="宋体"/>
                <w:spacing w:val="-51"/>
                <w:sz w:val="20"/>
                <w:szCs w:val="20"/>
              </w:rPr>
              <w:t xml:space="preserve"> </w:t>
            </w:r>
            <w:r>
              <w:rPr>
                <w:rFonts w:ascii="宋体" w:hAnsi="宋体" w:eastAsia="宋体" w:cs="宋体"/>
                <w:sz w:val="20"/>
                <w:szCs w:val="20"/>
              </w:rPr>
              <w:t>分，扣</w:t>
            </w:r>
          </w:p>
        </w:tc>
        <w:tc>
          <w:tcPr>
            <w:tcW w:w="1211" w:type="dxa"/>
            <w:vMerge w:val="restart"/>
            <w:tcBorders>
              <w:top w:val="nil"/>
              <w:left w:val="single" w:color="000000" w:sz="4" w:space="0"/>
              <w:right w:val="single" w:color="000000" w:sz="4" w:space="0"/>
            </w:tcBorders>
          </w:tcPr>
          <w:p>
            <w:pPr>
              <w:pStyle w:val="38"/>
              <w:spacing w:line="256" w:lineRule="exact"/>
              <w:ind w:right="1"/>
              <w:jc w:val="center"/>
              <w:rPr>
                <w:rFonts w:ascii="宋体" w:hAnsi="宋体" w:eastAsia="宋体" w:cs="宋体"/>
                <w:sz w:val="20"/>
                <w:szCs w:val="20"/>
              </w:rPr>
            </w:pPr>
            <w:r>
              <w:rPr>
                <w:rFonts w:ascii="宋体" w:hAnsi="宋体" w:eastAsia="宋体" w:cs="宋体"/>
                <w:w w:val="99"/>
                <w:sz w:val="20"/>
                <w:szCs w:val="20"/>
              </w:rPr>
              <w:t>查</w:t>
            </w:r>
          </w:p>
        </w:tc>
        <w:tc>
          <w:tcPr>
            <w:tcW w:w="485" w:type="dxa"/>
            <w:vMerge w:val="continue"/>
            <w:tcBorders>
              <w:left w:val="single" w:color="000000" w:sz="4" w:space="0"/>
              <w:right w:val="single" w:color="000000" w:sz="4" w:space="0"/>
            </w:tcBorders>
          </w:tcPr>
          <w:p>
            <w:pPr>
              <w:rPr>
                <w:rFonts w:eastAsiaTheme="minorEastAsia" w:cstheme="minorBidi"/>
                <w:lang w:eastAsia="en-US"/>
              </w:rPr>
            </w:pPr>
          </w:p>
        </w:tc>
        <w:tc>
          <w:tcPr>
            <w:tcW w:w="1263" w:type="dxa"/>
            <w:vMerge w:val="continue"/>
            <w:tcBorders>
              <w:left w:val="single" w:color="000000" w:sz="4" w:space="0"/>
              <w:right w:val="single" w:color="000000" w:sz="4" w:space="0"/>
            </w:tcBorders>
          </w:tcPr>
          <w:p>
            <w:pPr>
              <w:rPr>
                <w:rFonts w:eastAsiaTheme="minorEastAsia" w:cstheme="minorBidi"/>
                <w:lang w:eastAsia="en-US"/>
              </w:rPr>
            </w:pPr>
          </w:p>
        </w:tc>
        <w:tc>
          <w:tcPr>
            <w:tcW w:w="434" w:type="dxa"/>
            <w:vMerge w:val="continue"/>
            <w:tcBorders>
              <w:left w:val="single" w:color="000000" w:sz="4" w:space="0"/>
              <w:right w:val="single" w:color="000000" w:sz="4" w:space="0"/>
            </w:tcBorders>
          </w:tcPr>
          <w:p>
            <w:pPr>
              <w:rPr>
                <w:rFonts w:eastAsiaTheme="minorEastAsia" w:cstheme="minorBidi"/>
                <w:lang w:eastAsia="en-US"/>
              </w:rPr>
            </w:pPr>
          </w:p>
        </w:tc>
        <w:tc>
          <w:tcPr>
            <w:tcW w:w="1149" w:type="dxa"/>
            <w:vMerge w:val="continue"/>
            <w:tcBorders>
              <w:left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2" w:hRule="exact"/>
        </w:trPr>
        <w:tc>
          <w:tcPr>
            <w:tcW w:w="859" w:type="dxa"/>
            <w:vMerge w:val="continue"/>
            <w:tcBorders>
              <w:left w:val="single" w:color="000000" w:sz="4" w:space="0"/>
              <w:right w:val="single" w:color="000000" w:sz="4" w:space="0"/>
            </w:tcBorders>
          </w:tcPr>
          <w:p>
            <w:pPr>
              <w:rPr>
                <w:rFonts w:eastAsiaTheme="minorEastAsia" w:cstheme="minorBidi"/>
                <w:lang w:eastAsia="en-US"/>
              </w:rPr>
            </w:pPr>
          </w:p>
        </w:tc>
        <w:tc>
          <w:tcPr>
            <w:tcW w:w="548" w:type="dxa"/>
            <w:vMerge w:val="continue"/>
            <w:tcBorders>
              <w:left w:val="single" w:color="000000" w:sz="4" w:space="0"/>
              <w:right w:val="single" w:color="000000" w:sz="4" w:space="0"/>
            </w:tcBorders>
          </w:tcPr>
          <w:p>
            <w:pPr>
              <w:rPr>
                <w:rFonts w:eastAsiaTheme="minorEastAsia" w:cstheme="minorBidi"/>
                <w:lang w:eastAsia="en-US"/>
              </w:rPr>
            </w:pPr>
          </w:p>
        </w:tc>
        <w:tc>
          <w:tcPr>
            <w:tcW w:w="1635" w:type="dxa"/>
            <w:tcBorders>
              <w:top w:val="nil"/>
              <w:left w:val="single" w:color="000000" w:sz="4" w:space="0"/>
              <w:bottom w:val="nil"/>
              <w:right w:val="single" w:color="000000" w:sz="4" w:space="0"/>
            </w:tcBorders>
          </w:tcPr>
          <w:p>
            <w:pPr>
              <w:pStyle w:val="38"/>
              <w:spacing w:line="256" w:lineRule="exact"/>
              <w:ind w:left="111"/>
              <w:rPr>
                <w:rFonts w:ascii="宋体" w:hAnsi="宋体" w:eastAsia="宋体" w:cs="宋体"/>
                <w:sz w:val="20"/>
                <w:szCs w:val="20"/>
              </w:rPr>
            </w:pPr>
            <w:r>
              <w:rPr>
                <w:rFonts w:ascii="宋体" w:hAnsi="宋体" w:eastAsia="宋体" w:cs="宋体"/>
                <w:sz w:val="20"/>
                <w:szCs w:val="20"/>
              </w:rPr>
              <w:t>药剂空桶乱放与</w:t>
            </w:r>
          </w:p>
        </w:tc>
        <w:tc>
          <w:tcPr>
            <w:tcW w:w="1241" w:type="dxa"/>
            <w:vMerge w:val="continue"/>
            <w:tcBorders>
              <w:left w:val="single" w:color="000000" w:sz="4" w:space="0"/>
              <w:right w:val="single" w:color="000000" w:sz="4" w:space="0"/>
            </w:tcBorders>
          </w:tcPr>
          <w:p>
            <w:pPr>
              <w:rPr>
                <w:rFonts w:eastAsiaTheme="minorEastAsia" w:cstheme="minorBidi"/>
                <w:lang w:eastAsia="en-US"/>
              </w:rPr>
            </w:pPr>
          </w:p>
        </w:tc>
        <w:tc>
          <w:tcPr>
            <w:tcW w:w="1231" w:type="dxa"/>
            <w:vMerge w:val="restart"/>
            <w:tcBorders>
              <w:top w:val="nil"/>
              <w:left w:val="single" w:color="000000" w:sz="4" w:space="0"/>
              <w:right w:val="single" w:color="000000" w:sz="4" w:space="0"/>
            </w:tcBorders>
          </w:tcPr>
          <w:p>
            <w:pPr>
              <w:pStyle w:val="38"/>
              <w:spacing w:line="256" w:lineRule="exact"/>
              <w:ind w:left="309"/>
              <w:rPr>
                <w:rFonts w:ascii="宋体" w:hAnsi="宋体" w:eastAsia="宋体" w:cs="宋体"/>
                <w:sz w:val="20"/>
                <w:szCs w:val="20"/>
              </w:rPr>
            </w:pPr>
            <w:r>
              <w:rPr>
                <w:rFonts w:ascii="宋体" w:hAnsi="宋体" w:eastAsia="宋体" w:cs="宋体"/>
                <w:sz w:val="20"/>
                <w:szCs w:val="20"/>
              </w:rPr>
              <w:t>完为止</w:t>
            </w:r>
          </w:p>
        </w:tc>
        <w:tc>
          <w:tcPr>
            <w:tcW w:w="1211" w:type="dxa"/>
            <w:vMerge w:val="continue"/>
            <w:tcBorders>
              <w:left w:val="single" w:color="000000" w:sz="4" w:space="0"/>
              <w:right w:val="single" w:color="000000" w:sz="4" w:space="0"/>
            </w:tcBorders>
          </w:tcPr>
          <w:p>
            <w:pPr>
              <w:rPr>
                <w:rFonts w:eastAsiaTheme="minorEastAsia" w:cstheme="minorBidi"/>
                <w:lang w:eastAsia="en-US"/>
              </w:rPr>
            </w:pPr>
          </w:p>
        </w:tc>
        <w:tc>
          <w:tcPr>
            <w:tcW w:w="485" w:type="dxa"/>
            <w:vMerge w:val="continue"/>
            <w:tcBorders>
              <w:left w:val="single" w:color="000000" w:sz="4" w:space="0"/>
              <w:right w:val="single" w:color="000000" w:sz="4" w:space="0"/>
            </w:tcBorders>
          </w:tcPr>
          <w:p>
            <w:pPr>
              <w:rPr>
                <w:rFonts w:eastAsiaTheme="minorEastAsia" w:cstheme="minorBidi"/>
                <w:lang w:eastAsia="en-US"/>
              </w:rPr>
            </w:pPr>
          </w:p>
        </w:tc>
        <w:tc>
          <w:tcPr>
            <w:tcW w:w="1263" w:type="dxa"/>
            <w:vMerge w:val="continue"/>
            <w:tcBorders>
              <w:left w:val="single" w:color="000000" w:sz="4" w:space="0"/>
              <w:right w:val="single" w:color="000000" w:sz="4" w:space="0"/>
            </w:tcBorders>
          </w:tcPr>
          <w:p>
            <w:pPr>
              <w:rPr>
                <w:rFonts w:eastAsiaTheme="minorEastAsia" w:cstheme="minorBidi"/>
                <w:lang w:eastAsia="en-US"/>
              </w:rPr>
            </w:pPr>
          </w:p>
        </w:tc>
        <w:tc>
          <w:tcPr>
            <w:tcW w:w="434" w:type="dxa"/>
            <w:vMerge w:val="continue"/>
            <w:tcBorders>
              <w:left w:val="single" w:color="000000" w:sz="4" w:space="0"/>
              <w:right w:val="single" w:color="000000" w:sz="4" w:space="0"/>
            </w:tcBorders>
          </w:tcPr>
          <w:p>
            <w:pPr>
              <w:rPr>
                <w:rFonts w:eastAsiaTheme="minorEastAsia" w:cstheme="minorBidi"/>
                <w:lang w:eastAsia="en-US"/>
              </w:rPr>
            </w:pPr>
          </w:p>
        </w:tc>
        <w:tc>
          <w:tcPr>
            <w:tcW w:w="1149" w:type="dxa"/>
            <w:vMerge w:val="continue"/>
            <w:tcBorders>
              <w:left w:val="single" w:color="000000" w:sz="4" w:space="0"/>
              <w:right w:val="single" w:color="000000" w:sz="4" w:space="0"/>
            </w:tcBorders>
          </w:tcPr>
          <w:p>
            <w:pPr>
              <w:rPr>
                <w:rFonts w:eastAsiaTheme="minorEastAsia" w:cstheme="minorBidi"/>
                <w:lang w:eastAsia="en-US"/>
              </w:rPr>
            </w:pPr>
          </w:p>
        </w:tc>
      </w:tr>
      <w:tr>
        <w:trPr>
          <w:trHeight w:val="317" w:hRule="exact"/>
        </w:trPr>
        <w:tc>
          <w:tcPr>
            <w:tcW w:w="859" w:type="dxa"/>
            <w:vMerge w:val="continue"/>
            <w:tcBorders>
              <w:left w:val="single" w:color="000000" w:sz="4" w:space="0"/>
              <w:right w:val="single" w:color="000000" w:sz="4" w:space="0"/>
            </w:tcBorders>
          </w:tcPr>
          <w:p>
            <w:pPr>
              <w:rPr>
                <w:rFonts w:eastAsiaTheme="minorEastAsia" w:cstheme="minorBidi"/>
                <w:lang w:eastAsia="en-US"/>
              </w:rPr>
            </w:pPr>
          </w:p>
        </w:tc>
        <w:tc>
          <w:tcPr>
            <w:tcW w:w="548"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635" w:type="dxa"/>
            <w:tcBorders>
              <w:top w:val="nil"/>
              <w:left w:val="single" w:color="000000" w:sz="4" w:space="0"/>
              <w:bottom w:val="single" w:color="000000" w:sz="4" w:space="0"/>
              <w:right w:val="single" w:color="000000" w:sz="4" w:space="0"/>
            </w:tcBorders>
          </w:tcPr>
          <w:p>
            <w:pPr>
              <w:pStyle w:val="38"/>
              <w:spacing w:line="256" w:lineRule="exact"/>
              <w:ind w:left="411"/>
              <w:rPr>
                <w:rFonts w:ascii="宋体" w:hAnsi="宋体" w:eastAsia="宋体" w:cs="宋体"/>
                <w:sz w:val="20"/>
                <w:szCs w:val="20"/>
              </w:rPr>
            </w:pPr>
            <w:r>
              <w:rPr>
                <w:rFonts w:ascii="宋体" w:hAnsi="宋体" w:eastAsia="宋体" w:cs="宋体"/>
                <w:sz w:val="20"/>
                <w:szCs w:val="20"/>
              </w:rPr>
              <w:t>药剂泄漏</w:t>
            </w:r>
          </w:p>
        </w:tc>
        <w:tc>
          <w:tcPr>
            <w:tcW w:w="1241"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231"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211"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485"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263"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434"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149"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9" w:hRule="exact"/>
        </w:trPr>
        <w:tc>
          <w:tcPr>
            <w:tcW w:w="859" w:type="dxa"/>
            <w:vMerge w:val="continue"/>
            <w:tcBorders>
              <w:left w:val="single" w:color="000000" w:sz="4" w:space="0"/>
              <w:right w:val="single" w:color="000000" w:sz="4" w:space="0"/>
            </w:tcBorders>
          </w:tcPr>
          <w:p>
            <w:pPr>
              <w:rPr>
                <w:rFonts w:eastAsiaTheme="minorEastAsia" w:cstheme="minorBidi"/>
                <w:lang w:eastAsia="en-US"/>
              </w:rPr>
            </w:pPr>
          </w:p>
        </w:tc>
        <w:tc>
          <w:tcPr>
            <w:tcW w:w="548" w:type="dxa"/>
            <w:vMerge w:val="restart"/>
            <w:tcBorders>
              <w:top w:val="single" w:color="000000" w:sz="4" w:space="0"/>
              <w:left w:val="single" w:color="000000" w:sz="4" w:space="0"/>
              <w:right w:val="single" w:color="000000" w:sz="4" w:space="0"/>
            </w:tcBorders>
          </w:tcPr>
          <w:p>
            <w:pPr>
              <w:pStyle w:val="38"/>
              <w:spacing w:line="258" w:lineRule="exact"/>
              <w:ind w:left="169"/>
              <w:rPr>
                <w:rFonts w:ascii="宋体" w:hAnsi="宋体" w:eastAsia="宋体" w:cs="宋体"/>
                <w:sz w:val="20"/>
                <w:szCs w:val="20"/>
              </w:rPr>
            </w:pPr>
            <w:r>
              <w:rPr>
                <w:rFonts w:ascii="宋体"/>
                <w:sz w:val="20"/>
              </w:rPr>
              <w:t>3%</w:t>
            </w:r>
          </w:p>
        </w:tc>
        <w:tc>
          <w:tcPr>
            <w:tcW w:w="1635" w:type="dxa"/>
            <w:vMerge w:val="restart"/>
            <w:tcBorders>
              <w:top w:val="single" w:color="000000" w:sz="4" w:space="0"/>
              <w:left w:val="single" w:color="000000" w:sz="4" w:space="0"/>
              <w:right w:val="single" w:color="000000" w:sz="4" w:space="0"/>
            </w:tcBorders>
          </w:tcPr>
          <w:p>
            <w:pPr>
              <w:pStyle w:val="38"/>
              <w:spacing w:line="258" w:lineRule="exact"/>
              <w:ind w:left="212"/>
              <w:rPr>
                <w:rFonts w:ascii="宋体" w:hAnsi="宋体" w:eastAsia="宋体" w:cs="宋体"/>
                <w:sz w:val="20"/>
                <w:szCs w:val="20"/>
              </w:rPr>
            </w:pPr>
            <w:r>
              <w:rPr>
                <w:rFonts w:ascii="宋体" w:hAnsi="宋体" w:eastAsia="宋体" w:cs="宋体"/>
                <w:sz w:val="20"/>
                <w:szCs w:val="20"/>
              </w:rPr>
              <w:t>现场工作抽查</w:t>
            </w:r>
          </w:p>
        </w:tc>
        <w:tc>
          <w:tcPr>
            <w:tcW w:w="1241" w:type="dxa"/>
            <w:tcBorders>
              <w:top w:val="single" w:color="000000" w:sz="4" w:space="0"/>
              <w:left w:val="single" w:color="000000" w:sz="4" w:space="0"/>
              <w:bottom w:val="nil"/>
              <w:right w:val="single" w:color="000000" w:sz="4" w:space="0"/>
            </w:tcBorders>
          </w:tcPr>
          <w:p>
            <w:pPr>
              <w:pStyle w:val="38"/>
              <w:spacing w:line="258" w:lineRule="exact"/>
              <w:ind w:left="115"/>
              <w:rPr>
                <w:rFonts w:ascii="宋体" w:hAnsi="宋体" w:eastAsia="宋体" w:cs="宋体"/>
                <w:sz w:val="20"/>
                <w:szCs w:val="20"/>
              </w:rPr>
            </w:pPr>
            <w:r>
              <w:rPr>
                <w:rFonts w:ascii="宋体" w:hAnsi="宋体" w:eastAsia="宋体" w:cs="宋体"/>
                <w:sz w:val="20"/>
                <w:szCs w:val="20"/>
              </w:rPr>
              <w:t>质量及过程</w:t>
            </w:r>
          </w:p>
        </w:tc>
        <w:tc>
          <w:tcPr>
            <w:tcW w:w="1231" w:type="dxa"/>
            <w:tcBorders>
              <w:top w:val="single" w:color="000000" w:sz="4" w:space="0"/>
              <w:left w:val="single" w:color="000000" w:sz="4" w:space="0"/>
              <w:bottom w:val="nil"/>
              <w:right w:val="single" w:color="000000" w:sz="4" w:space="0"/>
            </w:tcBorders>
          </w:tcPr>
          <w:p>
            <w:pPr>
              <w:pStyle w:val="38"/>
              <w:spacing w:line="258" w:lineRule="exact"/>
              <w:ind w:left="110"/>
              <w:rPr>
                <w:rFonts w:ascii="宋体" w:hAnsi="宋体" w:eastAsia="宋体" w:cs="宋体"/>
                <w:sz w:val="20"/>
                <w:szCs w:val="20"/>
              </w:rPr>
            </w:pPr>
            <w:r>
              <w:rPr>
                <w:rFonts w:ascii="宋体" w:hAnsi="宋体" w:eastAsia="宋体" w:cs="宋体"/>
                <w:sz w:val="20"/>
                <w:szCs w:val="20"/>
              </w:rPr>
              <w:t>每次质量及</w:t>
            </w:r>
          </w:p>
        </w:tc>
        <w:tc>
          <w:tcPr>
            <w:tcW w:w="1211" w:type="dxa"/>
            <w:tcBorders>
              <w:top w:val="single" w:color="000000" w:sz="4" w:space="0"/>
              <w:left w:val="single" w:color="000000" w:sz="4" w:space="0"/>
              <w:bottom w:val="nil"/>
              <w:right w:val="single" w:color="000000" w:sz="4" w:space="0"/>
            </w:tcBorders>
          </w:tcPr>
          <w:p>
            <w:pPr>
              <w:pStyle w:val="38"/>
              <w:spacing w:line="258" w:lineRule="exact"/>
              <w:ind w:left="199"/>
              <w:rPr>
                <w:rFonts w:ascii="宋体" w:hAnsi="宋体" w:eastAsia="宋体" w:cs="宋体"/>
                <w:sz w:val="20"/>
                <w:szCs w:val="20"/>
              </w:rPr>
            </w:pPr>
            <w:r>
              <w:rPr>
                <w:rFonts w:ascii="宋体" w:hAnsi="宋体" w:eastAsia="宋体" w:cs="宋体"/>
                <w:sz w:val="20"/>
                <w:szCs w:val="20"/>
              </w:rPr>
              <w:t>不定期巡</w:t>
            </w:r>
          </w:p>
        </w:tc>
        <w:tc>
          <w:tcPr>
            <w:tcW w:w="485"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1263"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434"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1149"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2" w:hRule="exact"/>
        </w:trPr>
        <w:tc>
          <w:tcPr>
            <w:tcW w:w="859" w:type="dxa"/>
            <w:vMerge w:val="continue"/>
            <w:tcBorders>
              <w:left w:val="single" w:color="000000" w:sz="4" w:space="0"/>
              <w:right w:val="single" w:color="000000" w:sz="4" w:space="0"/>
            </w:tcBorders>
          </w:tcPr>
          <w:p>
            <w:pPr>
              <w:rPr>
                <w:rFonts w:eastAsiaTheme="minorEastAsia" w:cstheme="minorBidi"/>
                <w:lang w:eastAsia="en-US"/>
              </w:rPr>
            </w:pPr>
          </w:p>
        </w:tc>
        <w:tc>
          <w:tcPr>
            <w:tcW w:w="548" w:type="dxa"/>
            <w:vMerge w:val="continue"/>
            <w:tcBorders>
              <w:left w:val="single" w:color="000000" w:sz="4" w:space="0"/>
              <w:right w:val="single" w:color="000000" w:sz="4" w:space="0"/>
            </w:tcBorders>
          </w:tcPr>
          <w:p>
            <w:pPr>
              <w:rPr>
                <w:rFonts w:eastAsiaTheme="minorEastAsia" w:cstheme="minorBidi"/>
                <w:lang w:eastAsia="en-US"/>
              </w:rPr>
            </w:pPr>
          </w:p>
        </w:tc>
        <w:tc>
          <w:tcPr>
            <w:tcW w:w="1635" w:type="dxa"/>
            <w:vMerge w:val="continue"/>
            <w:tcBorders>
              <w:left w:val="single" w:color="000000" w:sz="4" w:space="0"/>
              <w:right w:val="single" w:color="000000" w:sz="4" w:space="0"/>
            </w:tcBorders>
          </w:tcPr>
          <w:p>
            <w:pPr>
              <w:rPr>
                <w:rFonts w:eastAsiaTheme="minorEastAsia" w:cstheme="minorBidi"/>
                <w:lang w:eastAsia="en-US"/>
              </w:rPr>
            </w:pPr>
          </w:p>
        </w:tc>
        <w:tc>
          <w:tcPr>
            <w:tcW w:w="1241" w:type="dxa"/>
            <w:vMerge w:val="restart"/>
            <w:tcBorders>
              <w:top w:val="nil"/>
              <w:left w:val="single" w:color="000000" w:sz="4" w:space="0"/>
              <w:right w:val="single" w:color="000000" w:sz="4" w:space="0"/>
            </w:tcBorders>
          </w:tcPr>
          <w:p>
            <w:pPr>
              <w:pStyle w:val="38"/>
              <w:spacing w:line="256" w:lineRule="exact"/>
              <w:ind w:left="216"/>
              <w:rPr>
                <w:rFonts w:ascii="宋体" w:hAnsi="宋体" w:eastAsia="宋体" w:cs="宋体"/>
                <w:sz w:val="20"/>
                <w:szCs w:val="20"/>
              </w:rPr>
            </w:pPr>
            <w:r>
              <w:rPr>
                <w:rFonts w:ascii="宋体" w:hAnsi="宋体" w:eastAsia="宋体" w:cs="宋体"/>
                <w:sz w:val="20"/>
                <w:szCs w:val="20"/>
              </w:rPr>
              <w:t>符合要求</w:t>
            </w:r>
          </w:p>
        </w:tc>
        <w:tc>
          <w:tcPr>
            <w:tcW w:w="1231" w:type="dxa"/>
            <w:tcBorders>
              <w:top w:val="nil"/>
              <w:left w:val="single" w:color="000000" w:sz="4" w:space="0"/>
              <w:bottom w:val="nil"/>
              <w:right w:val="single" w:color="000000" w:sz="4" w:space="0"/>
            </w:tcBorders>
          </w:tcPr>
          <w:p>
            <w:pPr>
              <w:pStyle w:val="38"/>
              <w:spacing w:line="256" w:lineRule="exact"/>
              <w:ind w:left="110"/>
              <w:rPr>
                <w:rFonts w:ascii="宋体" w:hAnsi="宋体" w:eastAsia="宋体" w:cs="宋体"/>
                <w:sz w:val="20"/>
                <w:szCs w:val="20"/>
              </w:rPr>
            </w:pPr>
            <w:r>
              <w:rPr>
                <w:rFonts w:ascii="宋体" w:hAnsi="宋体" w:eastAsia="宋体" w:cs="宋体"/>
                <w:sz w:val="20"/>
                <w:szCs w:val="20"/>
              </w:rPr>
              <w:t>过程不达标</w:t>
            </w:r>
          </w:p>
        </w:tc>
        <w:tc>
          <w:tcPr>
            <w:tcW w:w="1211" w:type="dxa"/>
            <w:vMerge w:val="restart"/>
            <w:tcBorders>
              <w:top w:val="nil"/>
              <w:left w:val="single" w:color="000000" w:sz="4" w:space="0"/>
              <w:right w:val="single" w:color="000000" w:sz="4" w:space="0"/>
            </w:tcBorders>
          </w:tcPr>
          <w:p>
            <w:pPr>
              <w:pStyle w:val="38"/>
              <w:spacing w:line="256" w:lineRule="exact"/>
              <w:ind w:right="1"/>
              <w:jc w:val="center"/>
              <w:rPr>
                <w:rFonts w:ascii="宋体" w:hAnsi="宋体" w:eastAsia="宋体" w:cs="宋体"/>
                <w:sz w:val="20"/>
                <w:szCs w:val="20"/>
              </w:rPr>
            </w:pPr>
            <w:r>
              <w:rPr>
                <w:rFonts w:ascii="宋体" w:hAnsi="宋体" w:eastAsia="宋体" w:cs="宋体"/>
                <w:w w:val="99"/>
                <w:sz w:val="20"/>
                <w:szCs w:val="20"/>
              </w:rPr>
              <w:t>查</w:t>
            </w:r>
          </w:p>
        </w:tc>
        <w:tc>
          <w:tcPr>
            <w:tcW w:w="485" w:type="dxa"/>
            <w:vMerge w:val="continue"/>
            <w:tcBorders>
              <w:left w:val="single" w:color="000000" w:sz="4" w:space="0"/>
              <w:right w:val="single" w:color="000000" w:sz="4" w:space="0"/>
            </w:tcBorders>
          </w:tcPr>
          <w:p>
            <w:pPr>
              <w:rPr>
                <w:rFonts w:eastAsiaTheme="minorEastAsia" w:cstheme="minorBidi"/>
                <w:lang w:eastAsia="en-US"/>
              </w:rPr>
            </w:pPr>
          </w:p>
        </w:tc>
        <w:tc>
          <w:tcPr>
            <w:tcW w:w="1263" w:type="dxa"/>
            <w:vMerge w:val="continue"/>
            <w:tcBorders>
              <w:left w:val="single" w:color="000000" w:sz="4" w:space="0"/>
              <w:right w:val="single" w:color="000000" w:sz="4" w:space="0"/>
            </w:tcBorders>
          </w:tcPr>
          <w:p>
            <w:pPr>
              <w:rPr>
                <w:rFonts w:eastAsiaTheme="minorEastAsia" w:cstheme="minorBidi"/>
                <w:lang w:eastAsia="en-US"/>
              </w:rPr>
            </w:pPr>
          </w:p>
        </w:tc>
        <w:tc>
          <w:tcPr>
            <w:tcW w:w="434" w:type="dxa"/>
            <w:vMerge w:val="continue"/>
            <w:tcBorders>
              <w:left w:val="single" w:color="000000" w:sz="4" w:space="0"/>
              <w:right w:val="single" w:color="000000" w:sz="4" w:space="0"/>
            </w:tcBorders>
          </w:tcPr>
          <w:p>
            <w:pPr>
              <w:rPr>
                <w:rFonts w:eastAsiaTheme="minorEastAsia" w:cstheme="minorBidi"/>
                <w:lang w:eastAsia="en-US"/>
              </w:rPr>
            </w:pPr>
          </w:p>
        </w:tc>
        <w:tc>
          <w:tcPr>
            <w:tcW w:w="1149" w:type="dxa"/>
            <w:vMerge w:val="continue"/>
            <w:tcBorders>
              <w:left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2" w:hRule="exact"/>
        </w:trPr>
        <w:tc>
          <w:tcPr>
            <w:tcW w:w="859" w:type="dxa"/>
            <w:vMerge w:val="continue"/>
            <w:tcBorders>
              <w:left w:val="single" w:color="000000" w:sz="4" w:space="0"/>
              <w:right w:val="single" w:color="000000" w:sz="4" w:space="0"/>
            </w:tcBorders>
          </w:tcPr>
          <w:p>
            <w:pPr>
              <w:rPr>
                <w:rFonts w:eastAsiaTheme="minorEastAsia" w:cstheme="minorBidi"/>
                <w:lang w:eastAsia="en-US"/>
              </w:rPr>
            </w:pPr>
          </w:p>
        </w:tc>
        <w:tc>
          <w:tcPr>
            <w:tcW w:w="548" w:type="dxa"/>
            <w:vMerge w:val="continue"/>
            <w:tcBorders>
              <w:left w:val="single" w:color="000000" w:sz="4" w:space="0"/>
              <w:right w:val="single" w:color="000000" w:sz="4" w:space="0"/>
            </w:tcBorders>
          </w:tcPr>
          <w:p>
            <w:pPr>
              <w:rPr>
                <w:rFonts w:eastAsiaTheme="minorEastAsia" w:cstheme="minorBidi"/>
                <w:lang w:eastAsia="en-US"/>
              </w:rPr>
            </w:pPr>
          </w:p>
        </w:tc>
        <w:tc>
          <w:tcPr>
            <w:tcW w:w="1635" w:type="dxa"/>
            <w:vMerge w:val="continue"/>
            <w:tcBorders>
              <w:left w:val="single" w:color="000000" w:sz="4" w:space="0"/>
              <w:right w:val="single" w:color="000000" w:sz="4" w:space="0"/>
            </w:tcBorders>
          </w:tcPr>
          <w:p>
            <w:pPr>
              <w:rPr>
                <w:rFonts w:eastAsiaTheme="minorEastAsia" w:cstheme="minorBidi"/>
                <w:lang w:eastAsia="en-US"/>
              </w:rPr>
            </w:pPr>
          </w:p>
        </w:tc>
        <w:tc>
          <w:tcPr>
            <w:tcW w:w="1241" w:type="dxa"/>
            <w:vMerge w:val="continue"/>
            <w:tcBorders>
              <w:left w:val="single" w:color="000000" w:sz="4" w:space="0"/>
              <w:right w:val="single" w:color="000000" w:sz="4" w:space="0"/>
            </w:tcBorders>
          </w:tcPr>
          <w:p>
            <w:pPr>
              <w:rPr>
                <w:rFonts w:eastAsiaTheme="minorEastAsia" w:cstheme="minorBidi"/>
                <w:lang w:eastAsia="en-US"/>
              </w:rPr>
            </w:pPr>
          </w:p>
        </w:tc>
        <w:tc>
          <w:tcPr>
            <w:tcW w:w="1231" w:type="dxa"/>
            <w:tcBorders>
              <w:top w:val="nil"/>
              <w:left w:val="single" w:color="000000" w:sz="4" w:space="0"/>
              <w:bottom w:val="nil"/>
              <w:right w:val="single" w:color="000000" w:sz="4" w:space="0"/>
            </w:tcBorders>
          </w:tcPr>
          <w:p>
            <w:pPr>
              <w:pStyle w:val="38"/>
              <w:spacing w:line="256" w:lineRule="exact"/>
              <w:ind w:left="110"/>
              <w:rPr>
                <w:rFonts w:ascii="宋体" w:hAnsi="宋体" w:eastAsia="宋体" w:cs="宋体"/>
                <w:sz w:val="20"/>
                <w:szCs w:val="20"/>
              </w:rPr>
            </w:pPr>
            <w:r>
              <w:rPr>
                <w:rFonts w:ascii="宋体" w:hAnsi="宋体" w:eastAsia="宋体" w:cs="宋体"/>
                <w:sz w:val="20"/>
                <w:szCs w:val="20"/>
              </w:rPr>
              <w:t>扣</w:t>
            </w:r>
            <w:r>
              <w:rPr>
                <w:rFonts w:ascii="宋体" w:hAnsi="宋体" w:eastAsia="宋体" w:cs="宋体"/>
                <w:spacing w:val="-52"/>
                <w:sz w:val="20"/>
                <w:szCs w:val="20"/>
              </w:rPr>
              <w:t xml:space="preserve"> </w:t>
            </w:r>
            <w:r>
              <w:rPr>
                <w:rFonts w:ascii="宋体" w:hAnsi="宋体" w:eastAsia="宋体" w:cs="宋体"/>
                <w:sz w:val="20"/>
                <w:szCs w:val="20"/>
              </w:rPr>
              <w:t>1</w:t>
            </w:r>
            <w:r>
              <w:rPr>
                <w:rFonts w:ascii="宋体" w:hAnsi="宋体" w:eastAsia="宋体" w:cs="宋体"/>
                <w:spacing w:val="-51"/>
                <w:sz w:val="20"/>
                <w:szCs w:val="20"/>
              </w:rPr>
              <w:t xml:space="preserve"> </w:t>
            </w:r>
            <w:r>
              <w:rPr>
                <w:rFonts w:ascii="宋体" w:hAnsi="宋体" w:eastAsia="宋体" w:cs="宋体"/>
                <w:sz w:val="20"/>
                <w:szCs w:val="20"/>
              </w:rPr>
              <w:t>分，扣</w:t>
            </w:r>
          </w:p>
        </w:tc>
        <w:tc>
          <w:tcPr>
            <w:tcW w:w="1211" w:type="dxa"/>
            <w:vMerge w:val="continue"/>
            <w:tcBorders>
              <w:left w:val="single" w:color="000000" w:sz="4" w:space="0"/>
              <w:right w:val="single" w:color="000000" w:sz="4" w:space="0"/>
            </w:tcBorders>
          </w:tcPr>
          <w:p>
            <w:pPr>
              <w:rPr>
                <w:rFonts w:eastAsiaTheme="minorEastAsia" w:cstheme="minorBidi"/>
                <w:lang w:eastAsia="en-US"/>
              </w:rPr>
            </w:pPr>
          </w:p>
        </w:tc>
        <w:tc>
          <w:tcPr>
            <w:tcW w:w="485" w:type="dxa"/>
            <w:vMerge w:val="continue"/>
            <w:tcBorders>
              <w:left w:val="single" w:color="000000" w:sz="4" w:space="0"/>
              <w:right w:val="single" w:color="000000" w:sz="4" w:space="0"/>
            </w:tcBorders>
          </w:tcPr>
          <w:p>
            <w:pPr>
              <w:rPr>
                <w:rFonts w:eastAsiaTheme="minorEastAsia" w:cstheme="minorBidi"/>
                <w:lang w:eastAsia="en-US"/>
              </w:rPr>
            </w:pPr>
          </w:p>
        </w:tc>
        <w:tc>
          <w:tcPr>
            <w:tcW w:w="1263" w:type="dxa"/>
            <w:vMerge w:val="continue"/>
            <w:tcBorders>
              <w:left w:val="single" w:color="000000" w:sz="4" w:space="0"/>
              <w:right w:val="single" w:color="000000" w:sz="4" w:space="0"/>
            </w:tcBorders>
          </w:tcPr>
          <w:p>
            <w:pPr>
              <w:rPr>
                <w:rFonts w:eastAsiaTheme="minorEastAsia" w:cstheme="minorBidi"/>
                <w:lang w:eastAsia="en-US"/>
              </w:rPr>
            </w:pPr>
          </w:p>
        </w:tc>
        <w:tc>
          <w:tcPr>
            <w:tcW w:w="434" w:type="dxa"/>
            <w:vMerge w:val="continue"/>
            <w:tcBorders>
              <w:left w:val="single" w:color="000000" w:sz="4" w:space="0"/>
              <w:right w:val="single" w:color="000000" w:sz="4" w:space="0"/>
            </w:tcBorders>
          </w:tcPr>
          <w:p>
            <w:pPr>
              <w:rPr>
                <w:rFonts w:eastAsiaTheme="minorEastAsia" w:cstheme="minorBidi"/>
                <w:lang w:eastAsia="en-US"/>
              </w:rPr>
            </w:pPr>
          </w:p>
        </w:tc>
        <w:tc>
          <w:tcPr>
            <w:tcW w:w="1149" w:type="dxa"/>
            <w:vMerge w:val="continue"/>
            <w:tcBorders>
              <w:left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5" w:hRule="exact"/>
        </w:trPr>
        <w:tc>
          <w:tcPr>
            <w:tcW w:w="859"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548"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635"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241"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231" w:type="dxa"/>
            <w:tcBorders>
              <w:top w:val="nil"/>
              <w:left w:val="single" w:color="000000" w:sz="4" w:space="0"/>
              <w:bottom w:val="single" w:color="000000" w:sz="4" w:space="0"/>
              <w:right w:val="single" w:color="000000" w:sz="4" w:space="0"/>
            </w:tcBorders>
          </w:tcPr>
          <w:p>
            <w:pPr>
              <w:pStyle w:val="38"/>
              <w:spacing w:line="256" w:lineRule="exact"/>
              <w:ind w:left="309"/>
              <w:rPr>
                <w:rFonts w:ascii="宋体" w:hAnsi="宋体" w:eastAsia="宋体" w:cs="宋体"/>
                <w:sz w:val="20"/>
                <w:szCs w:val="20"/>
              </w:rPr>
            </w:pPr>
            <w:r>
              <w:rPr>
                <w:rFonts w:ascii="宋体" w:hAnsi="宋体" w:eastAsia="宋体" w:cs="宋体"/>
                <w:sz w:val="20"/>
                <w:szCs w:val="20"/>
              </w:rPr>
              <w:t>完为止</w:t>
            </w:r>
          </w:p>
        </w:tc>
        <w:tc>
          <w:tcPr>
            <w:tcW w:w="1211"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485"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263"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434"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149"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9" w:hRule="exact"/>
        </w:trPr>
        <w:tc>
          <w:tcPr>
            <w:tcW w:w="859" w:type="dxa"/>
            <w:tcBorders>
              <w:top w:val="single" w:color="000000" w:sz="4" w:space="0"/>
              <w:left w:val="single" w:color="000000" w:sz="4" w:space="0"/>
              <w:bottom w:val="nil"/>
              <w:right w:val="single" w:color="000000" w:sz="4" w:space="0"/>
            </w:tcBorders>
          </w:tcPr>
          <w:p>
            <w:pPr>
              <w:pStyle w:val="38"/>
              <w:spacing w:line="258" w:lineRule="exact"/>
              <w:ind w:left="224"/>
              <w:rPr>
                <w:rFonts w:ascii="宋体" w:hAnsi="宋体" w:eastAsia="宋体" w:cs="宋体"/>
                <w:sz w:val="20"/>
                <w:szCs w:val="20"/>
              </w:rPr>
            </w:pPr>
            <w:r>
              <w:rPr>
                <w:rFonts w:ascii="宋体" w:hAnsi="宋体" w:eastAsia="宋体" w:cs="宋体"/>
                <w:sz w:val="20"/>
                <w:szCs w:val="20"/>
              </w:rPr>
              <w:t>人员</w:t>
            </w:r>
          </w:p>
        </w:tc>
        <w:tc>
          <w:tcPr>
            <w:tcW w:w="548" w:type="dxa"/>
            <w:vMerge w:val="restart"/>
            <w:tcBorders>
              <w:top w:val="single" w:color="000000" w:sz="4" w:space="0"/>
              <w:left w:val="single" w:color="000000" w:sz="4" w:space="0"/>
              <w:right w:val="single" w:color="000000" w:sz="4" w:space="0"/>
            </w:tcBorders>
          </w:tcPr>
          <w:p>
            <w:pPr>
              <w:pStyle w:val="38"/>
              <w:spacing w:line="258" w:lineRule="exact"/>
              <w:ind w:left="169"/>
              <w:rPr>
                <w:rFonts w:ascii="宋体" w:hAnsi="宋体" w:eastAsia="宋体" w:cs="宋体"/>
                <w:sz w:val="20"/>
                <w:szCs w:val="20"/>
              </w:rPr>
            </w:pPr>
            <w:r>
              <w:rPr>
                <w:rFonts w:ascii="宋体"/>
                <w:sz w:val="20"/>
              </w:rPr>
              <w:t>4%</w:t>
            </w:r>
          </w:p>
        </w:tc>
        <w:tc>
          <w:tcPr>
            <w:tcW w:w="1635" w:type="dxa"/>
            <w:tcBorders>
              <w:top w:val="single" w:color="000000" w:sz="4" w:space="0"/>
              <w:left w:val="single" w:color="000000" w:sz="4" w:space="0"/>
              <w:bottom w:val="nil"/>
              <w:right w:val="single" w:color="000000" w:sz="4" w:space="0"/>
            </w:tcBorders>
          </w:tcPr>
          <w:p>
            <w:pPr>
              <w:pStyle w:val="38"/>
              <w:spacing w:line="258" w:lineRule="exact"/>
              <w:ind w:left="212"/>
              <w:rPr>
                <w:rFonts w:ascii="宋体" w:hAnsi="宋体" w:eastAsia="宋体" w:cs="宋体"/>
                <w:sz w:val="20"/>
                <w:szCs w:val="20"/>
              </w:rPr>
            </w:pPr>
            <w:r>
              <w:rPr>
                <w:rFonts w:ascii="宋体" w:hAnsi="宋体" w:eastAsia="宋体" w:cs="宋体"/>
                <w:sz w:val="20"/>
                <w:szCs w:val="20"/>
              </w:rPr>
              <w:t>作业人员持证</w:t>
            </w:r>
          </w:p>
        </w:tc>
        <w:tc>
          <w:tcPr>
            <w:tcW w:w="1241" w:type="dxa"/>
            <w:vMerge w:val="restart"/>
            <w:tcBorders>
              <w:top w:val="single" w:color="000000" w:sz="4" w:space="0"/>
              <w:left w:val="single" w:color="000000" w:sz="4" w:space="0"/>
              <w:right w:val="single" w:color="000000" w:sz="4" w:space="0"/>
            </w:tcBorders>
          </w:tcPr>
          <w:p>
            <w:pPr>
              <w:pStyle w:val="38"/>
              <w:spacing w:line="258" w:lineRule="exact"/>
              <w:ind w:left="216"/>
              <w:rPr>
                <w:rFonts w:ascii="宋体" w:hAnsi="宋体" w:eastAsia="宋体" w:cs="宋体"/>
                <w:sz w:val="20"/>
                <w:szCs w:val="20"/>
              </w:rPr>
            </w:pPr>
            <w:r>
              <w:rPr>
                <w:rFonts w:ascii="宋体" w:hAnsi="宋体" w:eastAsia="宋体" w:cs="宋体"/>
                <w:sz w:val="20"/>
                <w:szCs w:val="20"/>
              </w:rPr>
              <w:t>持证作业</w:t>
            </w:r>
          </w:p>
        </w:tc>
        <w:tc>
          <w:tcPr>
            <w:tcW w:w="1231" w:type="dxa"/>
            <w:tcBorders>
              <w:top w:val="single" w:color="000000" w:sz="4" w:space="0"/>
              <w:left w:val="single" w:color="000000" w:sz="4" w:space="0"/>
              <w:bottom w:val="nil"/>
              <w:right w:val="single" w:color="000000" w:sz="4" w:space="0"/>
            </w:tcBorders>
          </w:tcPr>
          <w:p>
            <w:pPr>
              <w:pStyle w:val="38"/>
              <w:spacing w:line="258" w:lineRule="exact"/>
              <w:ind w:left="110"/>
              <w:rPr>
                <w:rFonts w:ascii="宋体" w:hAnsi="宋体" w:eastAsia="宋体" w:cs="宋体"/>
                <w:sz w:val="20"/>
                <w:szCs w:val="20"/>
              </w:rPr>
            </w:pPr>
            <w:r>
              <w:rPr>
                <w:rFonts w:ascii="宋体" w:hAnsi="宋体" w:eastAsia="宋体" w:cs="宋体"/>
                <w:sz w:val="20"/>
                <w:szCs w:val="20"/>
              </w:rPr>
              <w:t>发生一次无</w:t>
            </w:r>
          </w:p>
        </w:tc>
        <w:tc>
          <w:tcPr>
            <w:tcW w:w="1211" w:type="dxa"/>
            <w:vMerge w:val="restart"/>
            <w:tcBorders>
              <w:top w:val="single" w:color="000000" w:sz="4" w:space="0"/>
              <w:left w:val="single" w:color="000000" w:sz="4" w:space="0"/>
              <w:right w:val="single" w:color="000000" w:sz="4" w:space="0"/>
            </w:tcBorders>
          </w:tcPr>
          <w:p>
            <w:pPr>
              <w:pStyle w:val="38"/>
              <w:spacing w:line="258" w:lineRule="exact"/>
              <w:ind w:left="199"/>
              <w:rPr>
                <w:rFonts w:ascii="宋体" w:hAnsi="宋体" w:eastAsia="宋体" w:cs="宋体"/>
                <w:sz w:val="20"/>
                <w:szCs w:val="20"/>
              </w:rPr>
            </w:pPr>
            <w:r>
              <w:rPr>
                <w:rFonts w:ascii="宋体" w:hAnsi="宋体" w:eastAsia="宋体" w:cs="宋体"/>
                <w:sz w:val="20"/>
                <w:szCs w:val="20"/>
              </w:rPr>
              <w:t>作业检查</w:t>
            </w:r>
          </w:p>
        </w:tc>
        <w:tc>
          <w:tcPr>
            <w:tcW w:w="485"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1263"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434"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1149"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2" w:hRule="exact"/>
        </w:trPr>
        <w:tc>
          <w:tcPr>
            <w:tcW w:w="859" w:type="dxa"/>
            <w:vMerge w:val="restart"/>
            <w:tcBorders>
              <w:top w:val="nil"/>
              <w:left w:val="single" w:color="000000" w:sz="4" w:space="0"/>
              <w:right w:val="single" w:color="000000" w:sz="4" w:space="0"/>
            </w:tcBorders>
          </w:tcPr>
          <w:p>
            <w:pPr>
              <w:pStyle w:val="38"/>
              <w:spacing w:line="256" w:lineRule="exact"/>
              <w:ind w:left="224"/>
              <w:rPr>
                <w:rFonts w:ascii="宋体" w:hAnsi="宋体" w:eastAsia="宋体" w:cs="宋体"/>
                <w:sz w:val="20"/>
                <w:szCs w:val="20"/>
              </w:rPr>
            </w:pPr>
            <w:r>
              <w:rPr>
                <w:rFonts w:ascii="宋体"/>
                <w:sz w:val="20"/>
              </w:rPr>
              <w:t>(4%)</w:t>
            </w:r>
          </w:p>
        </w:tc>
        <w:tc>
          <w:tcPr>
            <w:tcW w:w="548" w:type="dxa"/>
            <w:vMerge w:val="continue"/>
            <w:tcBorders>
              <w:left w:val="single" w:color="000000" w:sz="4" w:space="0"/>
              <w:right w:val="single" w:color="000000" w:sz="4" w:space="0"/>
            </w:tcBorders>
          </w:tcPr>
          <w:p>
            <w:pPr>
              <w:rPr>
                <w:rFonts w:eastAsiaTheme="minorEastAsia" w:cstheme="minorBidi"/>
                <w:lang w:eastAsia="en-US"/>
              </w:rPr>
            </w:pPr>
          </w:p>
        </w:tc>
        <w:tc>
          <w:tcPr>
            <w:tcW w:w="1635" w:type="dxa"/>
            <w:tcBorders>
              <w:top w:val="nil"/>
              <w:left w:val="single" w:color="000000" w:sz="4" w:space="0"/>
              <w:bottom w:val="nil"/>
              <w:right w:val="single" w:color="000000" w:sz="4" w:space="0"/>
            </w:tcBorders>
          </w:tcPr>
          <w:p>
            <w:pPr>
              <w:pStyle w:val="38"/>
              <w:spacing w:line="256" w:lineRule="exact"/>
              <w:ind w:left="111"/>
              <w:rPr>
                <w:rFonts w:ascii="宋体" w:hAnsi="宋体" w:eastAsia="宋体" w:cs="宋体"/>
                <w:sz w:val="20"/>
                <w:szCs w:val="20"/>
              </w:rPr>
            </w:pPr>
            <w:r>
              <w:rPr>
                <w:rFonts w:ascii="宋体" w:hAnsi="宋体" w:eastAsia="宋体" w:cs="宋体"/>
                <w:sz w:val="20"/>
                <w:szCs w:val="20"/>
              </w:rPr>
              <w:t>率，上岗证、健</w:t>
            </w:r>
          </w:p>
        </w:tc>
        <w:tc>
          <w:tcPr>
            <w:tcW w:w="1241" w:type="dxa"/>
            <w:vMerge w:val="continue"/>
            <w:tcBorders>
              <w:left w:val="single" w:color="000000" w:sz="4" w:space="0"/>
              <w:right w:val="single" w:color="000000" w:sz="4" w:space="0"/>
            </w:tcBorders>
          </w:tcPr>
          <w:p>
            <w:pPr>
              <w:rPr>
                <w:rFonts w:eastAsiaTheme="minorEastAsia" w:cstheme="minorBidi"/>
                <w:lang w:eastAsia="en-US"/>
              </w:rPr>
            </w:pPr>
          </w:p>
        </w:tc>
        <w:tc>
          <w:tcPr>
            <w:tcW w:w="1231" w:type="dxa"/>
            <w:vMerge w:val="restart"/>
            <w:tcBorders>
              <w:top w:val="nil"/>
              <w:left w:val="single" w:color="000000" w:sz="4" w:space="0"/>
              <w:right w:val="single" w:color="000000" w:sz="4" w:space="0"/>
            </w:tcBorders>
          </w:tcPr>
          <w:p>
            <w:pPr>
              <w:pStyle w:val="38"/>
              <w:spacing w:line="256" w:lineRule="exact"/>
              <w:ind w:left="110"/>
              <w:rPr>
                <w:rFonts w:ascii="宋体" w:hAnsi="宋体" w:eastAsia="宋体" w:cs="宋体"/>
                <w:sz w:val="20"/>
                <w:szCs w:val="20"/>
              </w:rPr>
            </w:pPr>
            <w:r>
              <w:rPr>
                <w:rFonts w:ascii="宋体" w:hAnsi="宋体" w:eastAsia="宋体" w:cs="宋体"/>
                <w:sz w:val="20"/>
                <w:szCs w:val="20"/>
              </w:rPr>
              <w:t>证上岗零分</w:t>
            </w:r>
          </w:p>
        </w:tc>
        <w:tc>
          <w:tcPr>
            <w:tcW w:w="1211" w:type="dxa"/>
            <w:vMerge w:val="continue"/>
            <w:tcBorders>
              <w:left w:val="single" w:color="000000" w:sz="4" w:space="0"/>
              <w:right w:val="single" w:color="000000" w:sz="4" w:space="0"/>
            </w:tcBorders>
          </w:tcPr>
          <w:p>
            <w:pPr>
              <w:rPr>
                <w:rFonts w:eastAsiaTheme="minorEastAsia" w:cstheme="minorBidi"/>
                <w:lang w:eastAsia="en-US"/>
              </w:rPr>
            </w:pPr>
          </w:p>
        </w:tc>
        <w:tc>
          <w:tcPr>
            <w:tcW w:w="485" w:type="dxa"/>
            <w:vMerge w:val="continue"/>
            <w:tcBorders>
              <w:left w:val="single" w:color="000000" w:sz="4" w:space="0"/>
              <w:right w:val="single" w:color="000000" w:sz="4" w:space="0"/>
            </w:tcBorders>
          </w:tcPr>
          <w:p>
            <w:pPr>
              <w:rPr>
                <w:rFonts w:eastAsiaTheme="minorEastAsia" w:cstheme="minorBidi"/>
                <w:lang w:eastAsia="en-US"/>
              </w:rPr>
            </w:pPr>
          </w:p>
        </w:tc>
        <w:tc>
          <w:tcPr>
            <w:tcW w:w="1263" w:type="dxa"/>
            <w:vMerge w:val="continue"/>
            <w:tcBorders>
              <w:left w:val="single" w:color="000000" w:sz="4" w:space="0"/>
              <w:right w:val="single" w:color="000000" w:sz="4" w:space="0"/>
            </w:tcBorders>
          </w:tcPr>
          <w:p>
            <w:pPr>
              <w:rPr>
                <w:rFonts w:eastAsiaTheme="minorEastAsia" w:cstheme="minorBidi"/>
                <w:lang w:eastAsia="en-US"/>
              </w:rPr>
            </w:pPr>
          </w:p>
        </w:tc>
        <w:tc>
          <w:tcPr>
            <w:tcW w:w="434" w:type="dxa"/>
            <w:vMerge w:val="continue"/>
            <w:tcBorders>
              <w:left w:val="single" w:color="000000" w:sz="4" w:space="0"/>
              <w:right w:val="single" w:color="000000" w:sz="4" w:space="0"/>
            </w:tcBorders>
          </w:tcPr>
          <w:p>
            <w:pPr>
              <w:rPr>
                <w:rFonts w:eastAsiaTheme="minorEastAsia" w:cstheme="minorBidi"/>
                <w:lang w:eastAsia="en-US"/>
              </w:rPr>
            </w:pPr>
          </w:p>
        </w:tc>
        <w:tc>
          <w:tcPr>
            <w:tcW w:w="1149" w:type="dxa"/>
            <w:vMerge w:val="continue"/>
            <w:tcBorders>
              <w:left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2" w:hRule="exact"/>
        </w:trPr>
        <w:tc>
          <w:tcPr>
            <w:tcW w:w="859" w:type="dxa"/>
            <w:vMerge w:val="continue"/>
            <w:tcBorders>
              <w:left w:val="single" w:color="000000" w:sz="4" w:space="0"/>
              <w:right w:val="single" w:color="000000" w:sz="4" w:space="0"/>
            </w:tcBorders>
          </w:tcPr>
          <w:p>
            <w:pPr>
              <w:rPr>
                <w:rFonts w:eastAsiaTheme="minorEastAsia" w:cstheme="minorBidi"/>
                <w:lang w:eastAsia="en-US"/>
              </w:rPr>
            </w:pPr>
          </w:p>
        </w:tc>
        <w:tc>
          <w:tcPr>
            <w:tcW w:w="548" w:type="dxa"/>
            <w:vMerge w:val="continue"/>
            <w:tcBorders>
              <w:left w:val="single" w:color="000000" w:sz="4" w:space="0"/>
              <w:right w:val="single" w:color="000000" w:sz="4" w:space="0"/>
            </w:tcBorders>
          </w:tcPr>
          <w:p>
            <w:pPr>
              <w:rPr>
                <w:rFonts w:eastAsiaTheme="minorEastAsia" w:cstheme="minorBidi"/>
                <w:lang w:eastAsia="en-US"/>
              </w:rPr>
            </w:pPr>
          </w:p>
        </w:tc>
        <w:tc>
          <w:tcPr>
            <w:tcW w:w="1635" w:type="dxa"/>
            <w:tcBorders>
              <w:top w:val="nil"/>
              <w:left w:val="single" w:color="000000" w:sz="4" w:space="0"/>
              <w:bottom w:val="nil"/>
              <w:right w:val="single" w:color="000000" w:sz="4" w:space="0"/>
            </w:tcBorders>
          </w:tcPr>
          <w:p>
            <w:pPr>
              <w:pStyle w:val="38"/>
              <w:spacing w:line="256" w:lineRule="exact"/>
              <w:ind w:left="111"/>
              <w:rPr>
                <w:rFonts w:ascii="宋体" w:hAnsi="宋体" w:eastAsia="宋体" w:cs="宋体"/>
                <w:sz w:val="20"/>
                <w:szCs w:val="20"/>
              </w:rPr>
            </w:pPr>
            <w:r>
              <w:rPr>
                <w:rFonts w:ascii="宋体" w:hAnsi="宋体" w:eastAsia="宋体" w:cs="宋体"/>
                <w:sz w:val="20"/>
                <w:szCs w:val="20"/>
              </w:rPr>
              <w:t>康证、登高作业</w:t>
            </w:r>
          </w:p>
        </w:tc>
        <w:tc>
          <w:tcPr>
            <w:tcW w:w="1241" w:type="dxa"/>
            <w:vMerge w:val="continue"/>
            <w:tcBorders>
              <w:left w:val="single" w:color="000000" w:sz="4" w:space="0"/>
              <w:right w:val="single" w:color="000000" w:sz="4" w:space="0"/>
            </w:tcBorders>
          </w:tcPr>
          <w:p>
            <w:pPr>
              <w:rPr>
                <w:rFonts w:eastAsiaTheme="minorEastAsia" w:cstheme="minorBidi"/>
                <w:lang w:eastAsia="en-US"/>
              </w:rPr>
            </w:pPr>
          </w:p>
        </w:tc>
        <w:tc>
          <w:tcPr>
            <w:tcW w:w="1231" w:type="dxa"/>
            <w:vMerge w:val="continue"/>
            <w:tcBorders>
              <w:left w:val="single" w:color="000000" w:sz="4" w:space="0"/>
              <w:right w:val="single" w:color="000000" w:sz="4" w:space="0"/>
            </w:tcBorders>
          </w:tcPr>
          <w:p>
            <w:pPr>
              <w:rPr>
                <w:rFonts w:eastAsiaTheme="minorEastAsia" w:cstheme="minorBidi"/>
                <w:lang w:eastAsia="en-US"/>
              </w:rPr>
            </w:pPr>
          </w:p>
        </w:tc>
        <w:tc>
          <w:tcPr>
            <w:tcW w:w="1211" w:type="dxa"/>
            <w:vMerge w:val="continue"/>
            <w:tcBorders>
              <w:left w:val="single" w:color="000000" w:sz="4" w:space="0"/>
              <w:right w:val="single" w:color="000000" w:sz="4" w:space="0"/>
            </w:tcBorders>
          </w:tcPr>
          <w:p>
            <w:pPr>
              <w:rPr>
                <w:rFonts w:eastAsiaTheme="minorEastAsia" w:cstheme="minorBidi"/>
                <w:lang w:eastAsia="en-US"/>
              </w:rPr>
            </w:pPr>
          </w:p>
        </w:tc>
        <w:tc>
          <w:tcPr>
            <w:tcW w:w="485" w:type="dxa"/>
            <w:vMerge w:val="continue"/>
            <w:tcBorders>
              <w:left w:val="single" w:color="000000" w:sz="4" w:space="0"/>
              <w:right w:val="single" w:color="000000" w:sz="4" w:space="0"/>
            </w:tcBorders>
          </w:tcPr>
          <w:p>
            <w:pPr>
              <w:rPr>
                <w:rFonts w:eastAsiaTheme="minorEastAsia" w:cstheme="minorBidi"/>
                <w:lang w:eastAsia="en-US"/>
              </w:rPr>
            </w:pPr>
          </w:p>
        </w:tc>
        <w:tc>
          <w:tcPr>
            <w:tcW w:w="1263" w:type="dxa"/>
            <w:vMerge w:val="continue"/>
            <w:tcBorders>
              <w:left w:val="single" w:color="000000" w:sz="4" w:space="0"/>
              <w:right w:val="single" w:color="000000" w:sz="4" w:space="0"/>
            </w:tcBorders>
          </w:tcPr>
          <w:p>
            <w:pPr>
              <w:rPr>
                <w:rFonts w:eastAsiaTheme="minorEastAsia" w:cstheme="minorBidi"/>
                <w:lang w:eastAsia="en-US"/>
              </w:rPr>
            </w:pPr>
          </w:p>
        </w:tc>
        <w:tc>
          <w:tcPr>
            <w:tcW w:w="434" w:type="dxa"/>
            <w:vMerge w:val="continue"/>
            <w:tcBorders>
              <w:left w:val="single" w:color="000000" w:sz="4" w:space="0"/>
              <w:right w:val="single" w:color="000000" w:sz="4" w:space="0"/>
            </w:tcBorders>
          </w:tcPr>
          <w:p>
            <w:pPr>
              <w:rPr>
                <w:rFonts w:eastAsiaTheme="minorEastAsia" w:cstheme="minorBidi"/>
                <w:lang w:eastAsia="en-US"/>
              </w:rPr>
            </w:pPr>
          </w:p>
        </w:tc>
        <w:tc>
          <w:tcPr>
            <w:tcW w:w="1149" w:type="dxa"/>
            <w:vMerge w:val="continue"/>
            <w:tcBorders>
              <w:left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5" w:hRule="exact"/>
        </w:trPr>
        <w:tc>
          <w:tcPr>
            <w:tcW w:w="859"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548"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635" w:type="dxa"/>
            <w:tcBorders>
              <w:top w:val="nil"/>
              <w:left w:val="single" w:color="000000" w:sz="4" w:space="0"/>
              <w:bottom w:val="single" w:color="000000" w:sz="4" w:space="0"/>
              <w:right w:val="single" w:color="000000" w:sz="4" w:space="0"/>
            </w:tcBorders>
          </w:tcPr>
          <w:p>
            <w:pPr>
              <w:pStyle w:val="38"/>
              <w:spacing w:line="256" w:lineRule="exact"/>
              <w:ind w:right="3"/>
              <w:jc w:val="center"/>
              <w:rPr>
                <w:rFonts w:ascii="宋体" w:hAnsi="宋体" w:eastAsia="宋体" w:cs="宋体"/>
                <w:sz w:val="20"/>
                <w:szCs w:val="20"/>
              </w:rPr>
            </w:pPr>
            <w:r>
              <w:rPr>
                <w:rFonts w:ascii="宋体" w:hAnsi="宋体" w:eastAsia="宋体" w:cs="宋体"/>
                <w:w w:val="99"/>
                <w:sz w:val="20"/>
                <w:szCs w:val="20"/>
              </w:rPr>
              <w:t>证</w:t>
            </w:r>
          </w:p>
        </w:tc>
        <w:tc>
          <w:tcPr>
            <w:tcW w:w="1241"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231"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211"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485"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263"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434"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149"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9" w:hRule="exact"/>
        </w:trPr>
        <w:tc>
          <w:tcPr>
            <w:tcW w:w="859" w:type="dxa"/>
            <w:tcBorders>
              <w:top w:val="single" w:color="000000" w:sz="4" w:space="0"/>
              <w:left w:val="single" w:color="000000" w:sz="4" w:space="0"/>
              <w:bottom w:val="nil"/>
              <w:right w:val="single" w:color="000000" w:sz="4" w:space="0"/>
            </w:tcBorders>
          </w:tcPr>
          <w:p>
            <w:pPr>
              <w:pStyle w:val="38"/>
              <w:spacing w:line="258" w:lineRule="exact"/>
              <w:ind w:left="224"/>
              <w:rPr>
                <w:rFonts w:ascii="宋体" w:hAnsi="宋体" w:eastAsia="宋体" w:cs="宋体"/>
                <w:sz w:val="20"/>
                <w:szCs w:val="20"/>
              </w:rPr>
            </w:pPr>
            <w:r>
              <w:rPr>
                <w:rFonts w:ascii="宋体" w:hAnsi="宋体" w:eastAsia="宋体" w:cs="宋体"/>
                <w:sz w:val="20"/>
                <w:szCs w:val="20"/>
              </w:rPr>
              <w:t>其它</w:t>
            </w:r>
          </w:p>
        </w:tc>
        <w:tc>
          <w:tcPr>
            <w:tcW w:w="548"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1635" w:type="dxa"/>
            <w:tcBorders>
              <w:top w:val="single" w:color="000000" w:sz="4" w:space="0"/>
              <w:left w:val="single" w:color="000000" w:sz="4" w:space="0"/>
              <w:bottom w:val="nil"/>
              <w:right w:val="single" w:color="000000" w:sz="4" w:space="0"/>
            </w:tcBorders>
          </w:tcPr>
          <w:p>
            <w:pPr>
              <w:pStyle w:val="38"/>
              <w:spacing w:line="258" w:lineRule="exact"/>
              <w:ind w:left="111"/>
              <w:rPr>
                <w:rFonts w:ascii="宋体" w:hAnsi="宋体" w:eastAsia="宋体" w:cs="宋体"/>
                <w:sz w:val="20"/>
                <w:szCs w:val="20"/>
              </w:rPr>
            </w:pPr>
            <w:r>
              <w:rPr>
                <w:rFonts w:ascii="宋体" w:hAnsi="宋体" w:eastAsia="宋体" w:cs="宋体"/>
                <w:sz w:val="20"/>
                <w:szCs w:val="20"/>
              </w:rPr>
              <w:t>诚信事件、负面</w:t>
            </w:r>
          </w:p>
        </w:tc>
        <w:tc>
          <w:tcPr>
            <w:tcW w:w="1241" w:type="dxa"/>
            <w:vMerge w:val="restart"/>
            <w:tcBorders>
              <w:top w:val="single" w:color="000000" w:sz="4" w:space="0"/>
              <w:left w:val="single" w:color="000000" w:sz="4" w:space="0"/>
              <w:right w:val="single" w:color="000000" w:sz="4" w:space="0"/>
            </w:tcBorders>
          </w:tcPr>
          <w:p>
            <w:pPr>
              <w:pStyle w:val="38"/>
              <w:spacing w:line="258" w:lineRule="exact"/>
              <w:ind w:left="115"/>
              <w:rPr>
                <w:rFonts w:ascii="宋体" w:hAnsi="宋体" w:eastAsia="宋体" w:cs="宋体"/>
                <w:sz w:val="20"/>
                <w:szCs w:val="20"/>
              </w:rPr>
            </w:pPr>
            <w:r>
              <w:rPr>
                <w:rFonts w:ascii="宋体" w:hAnsi="宋体" w:eastAsia="宋体" w:cs="宋体"/>
                <w:sz w:val="20"/>
                <w:szCs w:val="20"/>
              </w:rPr>
              <w:t>按次数考评</w:t>
            </w:r>
          </w:p>
        </w:tc>
        <w:tc>
          <w:tcPr>
            <w:tcW w:w="1231" w:type="dxa"/>
            <w:tcBorders>
              <w:top w:val="single" w:color="000000" w:sz="4" w:space="0"/>
              <w:left w:val="single" w:color="000000" w:sz="4" w:space="0"/>
              <w:bottom w:val="nil"/>
              <w:right w:val="single" w:color="000000" w:sz="4" w:space="0"/>
            </w:tcBorders>
          </w:tcPr>
          <w:p>
            <w:pPr>
              <w:pStyle w:val="38"/>
              <w:spacing w:line="258" w:lineRule="exact"/>
              <w:ind w:left="110"/>
              <w:rPr>
                <w:rFonts w:ascii="宋体" w:hAnsi="宋体" w:eastAsia="宋体" w:cs="宋体"/>
                <w:sz w:val="20"/>
                <w:szCs w:val="20"/>
              </w:rPr>
            </w:pPr>
            <w:r>
              <w:rPr>
                <w:rFonts w:ascii="宋体" w:hAnsi="宋体" w:eastAsia="宋体" w:cs="宋体"/>
                <w:sz w:val="20"/>
                <w:szCs w:val="20"/>
              </w:rPr>
              <w:t>每发生一次</w:t>
            </w:r>
          </w:p>
        </w:tc>
        <w:tc>
          <w:tcPr>
            <w:tcW w:w="1211" w:type="dxa"/>
            <w:tcBorders>
              <w:top w:val="single" w:color="000000" w:sz="4" w:space="0"/>
              <w:left w:val="single" w:color="000000" w:sz="4" w:space="0"/>
              <w:bottom w:val="nil"/>
              <w:right w:val="single" w:color="000000" w:sz="4" w:space="0"/>
            </w:tcBorders>
          </w:tcPr>
          <w:p>
            <w:pPr>
              <w:pStyle w:val="38"/>
              <w:spacing w:line="258" w:lineRule="exact"/>
              <w:ind w:left="199"/>
              <w:rPr>
                <w:rFonts w:ascii="宋体" w:hAnsi="宋体" w:eastAsia="宋体" w:cs="宋体"/>
                <w:sz w:val="20"/>
                <w:szCs w:val="20"/>
              </w:rPr>
            </w:pPr>
            <w:r>
              <w:rPr>
                <w:rFonts w:ascii="宋体" w:hAnsi="宋体" w:eastAsia="宋体" w:cs="宋体"/>
                <w:sz w:val="20"/>
                <w:szCs w:val="20"/>
              </w:rPr>
              <w:t>月度事件</w:t>
            </w:r>
          </w:p>
        </w:tc>
        <w:tc>
          <w:tcPr>
            <w:tcW w:w="485"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1263"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434"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c>
          <w:tcPr>
            <w:tcW w:w="1149" w:type="dxa"/>
            <w:vMerge w:val="restart"/>
            <w:tcBorders>
              <w:top w:val="single" w:color="000000" w:sz="4" w:space="0"/>
              <w:left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2" w:hRule="exact"/>
        </w:trPr>
        <w:tc>
          <w:tcPr>
            <w:tcW w:w="859" w:type="dxa"/>
            <w:vMerge w:val="restart"/>
            <w:tcBorders>
              <w:top w:val="nil"/>
              <w:left w:val="single" w:color="000000" w:sz="4" w:space="0"/>
              <w:right w:val="single" w:color="000000" w:sz="4" w:space="0"/>
            </w:tcBorders>
          </w:tcPr>
          <w:p>
            <w:pPr>
              <w:pStyle w:val="38"/>
              <w:spacing w:line="256" w:lineRule="exact"/>
              <w:ind w:left="102"/>
              <w:rPr>
                <w:rFonts w:ascii="宋体" w:hAnsi="宋体" w:eastAsia="宋体" w:cs="宋体"/>
                <w:sz w:val="20"/>
                <w:szCs w:val="20"/>
              </w:rPr>
            </w:pPr>
            <w:r>
              <w:rPr>
                <w:rFonts w:ascii="宋体" w:hAnsi="宋体" w:eastAsia="宋体" w:cs="宋体"/>
                <w:sz w:val="20"/>
                <w:szCs w:val="20"/>
              </w:rPr>
              <w:t>（10%）</w:t>
            </w:r>
          </w:p>
        </w:tc>
        <w:tc>
          <w:tcPr>
            <w:tcW w:w="548" w:type="dxa"/>
            <w:vMerge w:val="continue"/>
            <w:tcBorders>
              <w:left w:val="single" w:color="000000" w:sz="4" w:space="0"/>
              <w:right w:val="single" w:color="000000" w:sz="4" w:space="0"/>
            </w:tcBorders>
          </w:tcPr>
          <w:p>
            <w:pPr>
              <w:rPr>
                <w:rFonts w:eastAsiaTheme="minorEastAsia" w:cstheme="minorBidi"/>
                <w:lang w:eastAsia="en-US"/>
              </w:rPr>
            </w:pPr>
          </w:p>
        </w:tc>
        <w:tc>
          <w:tcPr>
            <w:tcW w:w="1635" w:type="dxa"/>
            <w:tcBorders>
              <w:top w:val="nil"/>
              <w:left w:val="single" w:color="000000" w:sz="4" w:space="0"/>
              <w:bottom w:val="nil"/>
              <w:right w:val="single" w:color="000000" w:sz="4" w:space="0"/>
            </w:tcBorders>
          </w:tcPr>
          <w:p>
            <w:pPr>
              <w:pStyle w:val="38"/>
              <w:spacing w:line="256" w:lineRule="exact"/>
              <w:ind w:left="111"/>
              <w:rPr>
                <w:rFonts w:ascii="宋体" w:hAnsi="宋体" w:eastAsia="宋体" w:cs="宋体"/>
                <w:sz w:val="20"/>
                <w:szCs w:val="20"/>
              </w:rPr>
            </w:pPr>
            <w:r>
              <w:rPr>
                <w:rFonts w:ascii="宋体" w:hAnsi="宋体" w:eastAsia="宋体" w:cs="宋体"/>
                <w:sz w:val="20"/>
                <w:szCs w:val="20"/>
              </w:rPr>
              <w:t>事件重大责任事</w:t>
            </w:r>
          </w:p>
        </w:tc>
        <w:tc>
          <w:tcPr>
            <w:tcW w:w="1241" w:type="dxa"/>
            <w:vMerge w:val="continue"/>
            <w:tcBorders>
              <w:left w:val="single" w:color="000000" w:sz="4" w:space="0"/>
              <w:right w:val="single" w:color="000000" w:sz="4" w:space="0"/>
            </w:tcBorders>
          </w:tcPr>
          <w:p>
            <w:pPr>
              <w:rPr>
                <w:rFonts w:eastAsiaTheme="minorEastAsia" w:cstheme="minorBidi"/>
                <w:lang w:eastAsia="en-US"/>
              </w:rPr>
            </w:pPr>
          </w:p>
        </w:tc>
        <w:tc>
          <w:tcPr>
            <w:tcW w:w="1231" w:type="dxa"/>
            <w:vMerge w:val="restart"/>
            <w:tcBorders>
              <w:top w:val="nil"/>
              <w:left w:val="single" w:color="000000" w:sz="4" w:space="0"/>
              <w:right w:val="single" w:color="000000" w:sz="4" w:space="0"/>
            </w:tcBorders>
          </w:tcPr>
          <w:p>
            <w:pPr>
              <w:pStyle w:val="38"/>
              <w:spacing w:line="256" w:lineRule="exact"/>
              <w:ind w:left="259"/>
              <w:rPr>
                <w:rFonts w:ascii="宋体" w:hAnsi="宋体" w:eastAsia="宋体" w:cs="宋体"/>
                <w:sz w:val="20"/>
                <w:szCs w:val="20"/>
              </w:rPr>
            </w:pPr>
            <w:r>
              <w:rPr>
                <w:rFonts w:ascii="宋体" w:hAnsi="宋体" w:eastAsia="宋体" w:cs="宋体"/>
                <w:sz w:val="20"/>
                <w:szCs w:val="20"/>
              </w:rPr>
              <w:t>扣</w:t>
            </w:r>
            <w:r>
              <w:rPr>
                <w:rFonts w:ascii="宋体" w:hAnsi="宋体" w:eastAsia="宋体" w:cs="宋体"/>
                <w:spacing w:val="-49"/>
                <w:sz w:val="20"/>
                <w:szCs w:val="20"/>
              </w:rPr>
              <w:t xml:space="preserve"> </w:t>
            </w:r>
            <w:r>
              <w:rPr>
                <w:rFonts w:ascii="宋体" w:hAnsi="宋体" w:eastAsia="宋体" w:cs="宋体"/>
                <w:sz w:val="20"/>
                <w:szCs w:val="20"/>
              </w:rPr>
              <w:t>10</w:t>
            </w:r>
            <w:r>
              <w:rPr>
                <w:rFonts w:ascii="宋体" w:hAnsi="宋体" w:eastAsia="宋体" w:cs="宋体"/>
                <w:spacing w:val="-52"/>
                <w:sz w:val="20"/>
                <w:szCs w:val="20"/>
              </w:rPr>
              <w:t xml:space="preserve"> </w:t>
            </w:r>
            <w:r>
              <w:rPr>
                <w:rFonts w:ascii="宋体" w:hAnsi="宋体" w:eastAsia="宋体" w:cs="宋体"/>
                <w:sz w:val="20"/>
                <w:szCs w:val="20"/>
              </w:rPr>
              <w:t>分</w:t>
            </w:r>
          </w:p>
        </w:tc>
        <w:tc>
          <w:tcPr>
            <w:tcW w:w="1211" w:type="dxa"/>
            <w:vMerge w:val="restart"/>
            <w:tcBorders>
              <w:top w:val="nil"/>
              <w:left w:val="single" w:color="000000" w:sz="4" w:space="0"/>
              <w:right w:val="single" w:color="000000" w:sz="4" w:space="0"/>
            </w:tcBorders>
          </w:tcPr>
          <w:p>
            <w:pPr>
              <w:pStyle w:val="38"/>
              <w:spacing w:line="256" w:lineRule="exact"/>
              <w:ind w:right="1"/>
              <w:jc w:val="center"/>
              <w:rPr>
                <w:rFonts w:ascii="宋体" w:hAnsi="宋体" w:eastAsia="宋体" w:cs="宋体"/>
                <w:sz w:val="20"/>
                <w:szCs w:val="20"/>
              </w:rPr>
            </w:pPr>
            <w:r>
              <w:rPr>
                <w:rFonts w:ascii="宋体" w:hAnsi="宋体" w:eastAsia="宋体" w:cs="宋体"/>
                <w:sz w:val="20"/>
                <w:szCs w:val="20"/>
              </w:rPr>
              <w:t>统计</w:t>
            </w:r>
          </w:p>
        </w:tc>
        <w:tc>
          <w:tcPr>
            <w:tcW w:w="485" w:type="dxa"/>
            <w:vMerge w:val="continue"/>
            <w:tcBorders>
              <w:left w:val="single" w:color="000000" w:sz="4" w:space="0"/>
              <w:right w:val="single" w:color="000000" w:sz="4" w:space="0"/>
            </w:tcBorders>
          </w:tcPr>
          <w:p>
            <w:pPr>
              <w:rPr>
                <w:rFonts w:eastAsiaTheme="minorEastAsia" w:cstheme="minorBidi"/>
                <w:lang w:eastAsia="en-US"/>
              </w:rPr>
            </w:pPr>
          </w:p>
        </w:tc>
        <w:tc>
          <w:tcPr>
            <w:tcW w:w="1263" w:type="dxa"/>
            <w:vMerge w:val="continue"/>
            <w:tcBorders>
              <w:left w:val="single" w:color="000000" w:sz="4" w:space="0"/>
              <w:right w:val="single" w:color="000000" w:sz="4" w:space="0"/>
            </w:tcBorders>
          </w:tcPr>
          <w:p>
            <w:pPr>
              <w:rPr>
                <w:rFonts w:eastAsiaTheme="minorEastAsia" w:cstheme="minorBidi"/>
                <w:lang w:eastAsia="en-US"/>
              </w:rPr>
            </w:pPr>
          </w:p>
        </w:tc>
        <w:tc>
          <w:tcPr>
            <w:tcW w:w="434" w:type="dxa"/>
            <w:vMerge w:val="continue"/>
            <w:tcBorders>
              <w:left w:val="single" w:color="000000" w:sz="4" w:space="0"/>
              <w:right w:val="single" w:color="000000" w:sz="4" w:space="0"/>
            </w:tcBorders>
          </w:tcPr>
          <w:p>
            <w:pPr>
              <w:rPr>
                <w:rFonts w:eastAsiaTheme="minorEastAsia" w:cstheme="minorBidi"/>
                <w:lang w:eastAsia="en-US"/>
              </w:rPr>
            </w:pPr>
          </w:p>
        </w:tc>
        <w:tc>
          <w:tcPr>
            <w:tcW w:w="1149" w:type="dxa"/>
            <w:vMerge w:val="continue"/>
            <w:tcBorders>
              <w:left w:val="single" w:color="000000" w:sz="4" w:space="0"/>
              <w:right w:val="single" w:color="000000" w:sz="4" w:space="0"/>
            </w:tcBorders>
          </w:tcPr>
          <w:p>
            <w:pPr>
              <w:rPr>
                <w:rFonts w:eastAsiaTheme="minorEastAsia" w:cstheme="minorBidi"/>
                <w:lang w:eastAsia="en-US"/>
              </w:rPr>
            </w:pPr>
          </w:p>
        </w:tc>
      </w:tr>
      <w:tr>
        <w:tblPrEx>
          <w:tblCellMar>
            <w:top w:w="0" w:type="dxa"/>
            <w:left w:w="0" w:type="dxa"/>
            <w:bottom w:w="0" w:type="dxa"/>
            <w:right w:w="0" w:type="dxa"/>
          </w:tblCellMar>
        </w:tblPrEx>
        <w:trPr>
          <w:trHeight w:val="315" w:hRule="exact"/>
        </w:trPr>
        <w:tc>
          <w:tcPr>
            <w:tcW w:w="859"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548"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635" w:type="dxa"/>
            <w:tcBorders>
              <w:top w:val="nil"/>
              <w:left w:val="single" w:color="000000" w:sz="4" w:space="0"/>
              <w:bottom w:val="single" w:color="000000" w:sz="4" w:space="0"/>
              <w:right w:val="single" w:color="000000" w:sz="4" w:space="0"/>
            </w:tcBorders>
          </w:tcPr>
          <w:p>
            <w:pPr>
              <w:pStyle w:val="38"/>
              <w:spacing w:line="256" w:lineRule="exact"/>
              <w:ind w:right="3"/>
              <w:jc w:val="center"/>
              <w:rPr>
                <w:rFonts w:ascii="宋体" w:hAnsi="宋体" w:eastAsia="宋体" w:cs="宋体"/>
                <w:sz w:val="20"/>
                <w:szCs w:val="20"/>
              </w:rPr>
            </w:pPr>
            <w:r>
              <w:rPr>
                <w:rFonts w:ascii="宋体" w:hAnsi="宋体" w:eastAsia="宋体" w:cs="宋体"/>
                <w:w w:val="99"/>
                <w:sz w:val="20"/>
                <w:szCs w:val="20"/>
              </w:rPr>
              <w:t>件</w:t>
            </w:r>
          </w:p>
        </w:tc>
        <w:tc>
          <w:tcPr>
            <w:tcW w:w="1241"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231"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211"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485"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263"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434"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c>
          <w:tcPr>
            <w:tcW w:w="1149" w:type="dxa"/>
            <w:vMerge w:val="continue"/>
            <w:tcBorders>
              <w:left w:val="single" w:color="000000" w:sz="4" w:space="0"/>
              <w:bottom w:val="single" w:color="000000" w:sz="4" w:space="0"/>
              <w:right w:val="single" w:color="000000" w:sz="4" w:space="0"/>
            </w:tcBorders>
          </w:tcPr>
          <w:p>
            <w:pPr>
              <w:rPr>
                <w:rFonts w:eastAsiaTheme="minorEastAsia" w:cstheme="minorBidi"/>
                <w:lang w:eastAsia="en-US"/>
              </w:rPr>
            </w:pPr>
          </w:p>
        </w:tc>
      </w:tr>
    </w:tbl>
    <w:p/>
    <w:p/>
    <w:p>
      <w:pPr>
        <w:ind w:left="-134" w:leftChars="-64" w:right="880"/>
        <w:sectPr>
          <w:headerReference r:id="rId18" w:type="default"/>
          <w:footerReference r:id="rId19" w:type="default"/>
          <w:pgSz w:w="11910" w:h="16840"/>
          <w:pgMar w:top="1100" w:right="500" w:bottom="1140" w:left="1120" w:header="904" w:footer="955" w:gutter="0"/>
          <w:pgNumType w:start="20"/>
          <w:cols w:space="720" w:num="1"/>
        </w:sectPr>
      </w:pPr>
      <w:r>
        <w:rPr>
          <w:rFonts w:hint="eastAsia"/>
        </w:rPr>
        <w:t xml:space="preserve">服务方：                   </w:t>
      </w:r>
      <w:r>
        <w:t xml:space="preserve">                         </w:t>
      </w:r>
      <w:r>
        <w:rPr>
          <w:rFonts w:hint="eastAsia"/>
        </w:rPr>
        <w:t>验收方：</w:t>
      </w:r>
    </w:p>
    <w:p/>
    <w:p>
      <w:pPr>
        <w:pStyle w:val="8"/>
        <w:rPr>
          <w:color w:val="000000" w:themeColor="text1"/>
          <w:sz w:val="36"/>
          <w:szCs w:val="36"/>
          <w14:textFill>
            <w14:solidFill>
              <w14:schemeClr w14:val="tx1"/>
            </w14:solidFill>
          </w14:textFill>
        </w:rPr>
      </w:pPr>
      <w:bookmarkStart w:id="275" w:name="_Toc441844111"/>
    </w:p>
    <w:p>
      <w:pPr>
        <w:pStyle w:val="8"/>
        <w:rPr>
          <w:color w:val="000000" w:themeColor="text1"/>
          <w:sz w:val="36"/>
          <w:szCs w:val="36"/>
          <w14:textFill>
            <w14:solidFill>
              <w14:schemeClr w14:val="tx1"/>
            </w14:solidFill>
          </w14:textFill>
        </w:rPr>
      </w:pPr>
    </w:p>
    <w:p>
      <w:pPr>
        <w:pStyle w:val="8"/>
        <w:rPr>
          <w:color w:val="000000" w:themeColor="text1"/>
          <w:sz w:val="36"/>
          <w:szCs w:val="36"/>
          <w14:textFill>
            <w14:solidFill>
              <w14:schemeClr w14:val="tx1"/>
            </w14:solidFill>
          </w14:textFill>
        </w:rPr>
      </w:pPr>
    </w:p>
    <w:p>
      <w:pPr>
        <w:pStyle w:val="8"/>
        <w:rPr>
          <w:color w:val="000000" w:themeColor="text1"/>
          <w:sz w:val="36"/>
          <w:szCs w:val="36"/>
          <w14:textFill>
            <w14:solidFill>
              <w14:schemeClr w14:val="tx1"/>
            </w14:solidFill>
          </w14:textFill>
        </w:rPr>
      </w:pPr>
    </w:p>
    <w:p>
      <w:pPr>
        <w:pStyle w:val="8"/>
        <w:rPr>
          <w:color w:val="000000" w:themeColor="text1"/>
          <w:sz w:val="36"/>
          <w:szCs w:val="36"/>
          <w14:textFill>
            <w14:solidFill>
              <w14:schemeClr w14:val="tx1"/>
            </w14:solidFill>
          </w14:textFill>
        </w:rPr>
      </w:pPr>
    </w:p>
    <w:p>
      <w:pPr>
        <w:pStyle w:val="8"/>
        <w:rPr>
          <w:color w:val="000000" w:themeColor="text1"/>
          <w:sz w:val="36"/>
          <w:szCs w:val="36"/>
          <w14:textFill>
            <w14:solidFill>
              <w14:schemeClr w14:val="tx1"/>
            </w14:solidFill>
          </w14:textFill>
        </w:rPr>
      </w:pPr>
    </w:p>
    <w:p>
      <w:pPr>
        <w:rPr>
          <w:color w:val="000000" w:themeColor="text1"/>
          <w14:textFill>
            <w14:solidFill>
              <w14:schemeClr w14:val="tx1"/>
            </w14:solidFill>
          </w14:textFill>
        </w:rPr>
      </w:pPr>
    </w:p>
    <w:p>
      <w:pPr>
        <w:pStyle w:val="3"/>
        <w:jc w:val="center"/>
        <w:rPr>
          <w:rFonts w:ascii="Times New Roman" w:hAnsi="Times New Roman"/>
          <w:color w:val="000000" w:themeColor="text1"/>
          <w14:textFill>
            <w14:solidFill>
              <w14:schemeClr w14:val="tx1"/>
            </w14:solidFill>
          </w14:textFill>
        </w:rPr>
      </w:pPr>
      <w:bookmarkStart w:id="276" w:name="_Toc6254"/>
      <w:bookmarkStart w:id="277" w:name="_Toc18833"/>
      <w:bookmarkStart w:id="278" w:name="_Toc22013"/>
      <w:r>
        <w:rPr>
          <w:rFonts w:hint="eastAsia" w:ascii="Times New Roman" w:hAnsi="Times New Roman"/>
          <w:color w:val="000000" w:themeColor="text1"/>
          <w14:textFill>
            <w14:solidFill>
              <w14:schemeClr w14:val="tx1"/>
            </w14:solidFill>
          </w14:textFill>
        </w:rPr>
        <w:t>第</w:t>
      </w:r>
      <w:r>
        <w:rPr>
          <w:rFonts w:hint="eastAsia" w:ascii="Times New Roman" w:hAnsi="Times New Roman"/>
          <w:color w:val="000000" w:themeColor="text1"/>
          <w:lang w:val="en-US"/>
          <w14:textFill>
            <w14:solidFill>
              <w14:schemeClr w14:val="tx1"/>
            </w14:solidFill>
          </w14:textFill>
        </w:rPr>
        <w:t>五</w:t>
      </w:r>
      <w:r>
        <w:rPr>
          <w:rFonts w:hint="eastAsia" w:ascii="Times New Roman" w:hAnsi="Times New Roman"/>
          <w:color w:val="000000" w:themeColor="text1"/>
          <w14:textFill>
            <w14:solidFill>
              <w14:schemeClr w14:val="tx1"/>
            </w14:solidFill>
          </w14:textFill>
        </w:rPr>
        <w:t>章</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投标文件格式</w:t>
      </w:r>
      <w:bookmarkEnd w:id="275"/>
      <w:bookmarkEnd w:id="276"/>
      <w:bookmarkEnd w:id="277"/>
      <w:bookmarkEnd w:id="278"/>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widowControl/>
        <w:jc w:val="left"/>
        <w:rPr>
          <w:rFonts w:ascii="Times New Roman" w:hAnsi="Times New Roman"/>
          <w:b/>
          <w:color w:val="000000" w:themeColor="text1"/>
          <w:sz w:val="52"/>
          <w14:textFill>
            <w14:solidFill>
              <w14:schemeClr w14:val="tx1"/>
            </w14:solidFill>
          </w14:textFill>
        </w:rPr>
      </w:pPr>
      <w:r>
        <w:rPr>
          <w:rFonts w:ascii="Times New Roman" w:hAnsi="Times New Roman"/>
          <w:b/>
          <w:color w:val="000000" w:themeColor="text1"/>
          <w:sz w:val="52"/>
          <w14:textFill>
            <w14:solidFill>
              <w14:schemeClr w14:val="tx1"/>
            </w14:solidFill>
          </w14:textFill>
        </w:rPr>
        <w:br w:type="page"/>
      </w:r>
    </w:p>
    <w:p>
      <w:pPr>
        <w:rPr>
          <w:color w:val="000000" w:themeColor="text1"/>
          <w14:textFill>
            <w14:solidFill>
              <w14:schemeClr w14:val="tx1"/>
            </w14:solidFill>
          </w14:textFill>
        </w:rPr>
      </w:pPr>
      <w:bookmarkStart w:id="279" w:name="_Toc441844115"/>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ind w:left="0" w:firstLine="0"/>
        <w:jc w:val="center"/>
        <w:rPr>
          <w:color w:val="000000" w:themeColor="text1"/>
          <w:sz w:val="48"/>
          <w:szCs w:val="48"/>
          <w14:textFill>
            <w14:solidFill>
              <w14:schemeClr w14:val="tx1"/>
            </w14:solidFill>
          </w14:textFill>
        </w:rPr>
      </w:pPr>
      <w:bookmarkStart w:id="280" w:name="_Toc22097"/>
      <w:bookmarkStart w:id="281" w:name="_Toc2816"/>
      <w:bookmarkStart w:id="282" w:name="_Toc17575"/>
      <w:r>
        <w:rPr>
          <w:rFonts w:hint="eastAsia"/>
          <w:color w:val="000000" w:themeColor="text1"/>
          <w:sz w:val="48"/>
          <w:szCs w:val="48"/>
          <w14:textFill>
            <w14:solidFill>
              <w14:schemeClr w14:val="tx1"/>
            </w14:solidFill>
          </w14:textFill>
        </w:rPr>
        <w:t>投标文件</w:t>
      </w:r>
      <w:bookmarkEnd w:id="279"/>
      <w:bookmarkEnd w:id="280"/>
      <w:bookmarkEnd w:id="281"/>
      <w:bookmarkEnd w:id="282"/>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rPr>
          <w:rFonts w:ascii="宋体" w:hAnsi="宋体"/>
          <w:b/>
          <w:color w:val="000000" w:themeColor="text1"/>
          <w:sz w:val="32"/>
          <w:szCs w:val="32"/>
          <w:u w:val="single"/>
          <w14:textFill>
            <w14:solidFill>
              <w14:schemeClr w14:val="tx1"/>
            </w14:solidFill>
          </w14:textFill>
        </w:rPr>
      </w:pPr>
      <w:r>
        <w:rPr>
          <w:rFonts w:ascii="宋体" w:hAnsi="宋体"/>
          <w:b/>
          <w:bCs/>
          <w:color w:val="000000" w:themeColor="text1"/>
          <w:spacing w:val="-6"/>
          <w:sz w:val="32"/>
          <w:szCs w:val="32"/>
          <w14:textFill>
            <w14:solidFill>
              <w14:schemeClr w14:val="tx1"/>
            </w14:solidFill>
          </w14:textFill>
        </w:rPr>
        <w:t>项目名称：</w:t>
      </w:r>
    </w:p>
    <w:p>
      <w:pPr>
        <w:spacing w:after="60" w:line="360" w:lineRule="auto"/>
        <w:rPr>
          <w:rFonts w:ascii="宋体" w:hAnsi="宋体"/>
          <w:b/>
          <w:bCs/>
          <w:color w:val="000000" w:themeColor="text1"/>
          <w:sz w:val="32"/>
          <w:szCs w:val="32"/>
          <w14:textFill>
            <w14:solidFill>
              <w14:schemeClr w14:val="tx1"/>
            </w14:solidFill>
          </w14:textFill>
        </w:rPr>
      </w:pPr>
    </w:p>
    <w:p>
      <w:pPr>
        <w:spacing w:after="60" w:line="360" w:lineRule="auto"/>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项目</w:t>
      </w:r>
      <w:r>
        <w:rPr>
          <w:rFonts w:ascii="宋体" w:hAnsi="宋体"/>
          <w:b/>
          <w:bCs/>
          <w:color w:val="000000" w:themeColor="text1"/>
          <w:sz w:val="32"/>
          <w:szCs w:val="32"/>
          <w14:textFill>
            <w14:solidFill>
              <w14:schemeClr w14:val="tx1"/>
            </w14:solidFill>
          </w14:textFill>
        </w:rPr>
        <w:t xml:space="preserve">编号： </w:t>
      </w:r>
    </w:p>
    <w:p>
      <w:pPr>
        <w:spacing w:after="60" w:line="360" w:lineRule="auto"/>
        <w:rPr>
          <w:rFonts w:ascii="宋体" w:hAnsi="宋体"/>
          <w:b/>
          <w:bCs/>
          <w:color w:val="000000" w:themeColor="text1"/>
          <w:sz w:val="32"/>
          <w:szCs w:val="32"/>
          <w14:textFill>
            <w14:solidFill>
              <w14:schemeClr w14:val="tx1"/>
            </w14:solidFill>
          </w14:textFill>
        </w:rPr>
      </w:pPr>
    </w:p>
    <w:p>
      <w:pPr>
        <w:tabs>
          <w:tab w:val="left" w:pos="1440"/>
          <w:tab w:val="left" w:pos="1620"/>
        </w:tabs>
        <w:spacing w:after="60" w:line="360" w:lineRule="auto"/>
        <w:rPr>
          <w:rFonts w:ascii="宋体" w:hAnsi="宋体"/>
          <w:color w:val="000000" w:themeColor="text1"/>
          <w:u w:val="single"/>
          <w14:textFill>
            <w14:solidFill>
              <w14:schemeClr w14:val="tx1"/>
            </w14:solidFill>
          </w14:textFill>
        </w:rPr>
      </w:pPr>
      <w:r>
        <w:rPr>
          <w:rFonts w:ascii="宋体" w:hAnsi="宋体"/>
          <w:b/>
          <w:color w:val="000000" w:themeColor="text1"/>
          <w:sz w:val="32"/>
          <w:szCs w:val="32"/>
          <w14:textFill>
            <w14:solidFill>
              <w14:schemeClr w14:val="tx1"/>
            </w14:solidFill>
          </w14:textFill>
        </w:rPr>
        <w:t>投 标 人（公章）:</w:t>
      </w:r>
    </w:p>
    <w:p>
      <w:pPr>
        <w:spacing w:after="60" w:line="360" w:lineRule="auto"/>
        <w:rPr>
          <w:rFonts w:ascii="宋体" w:hAnsi="宋体"/>
          <w:b/>
          <w:color w:val="000000" w:themeColor="text1"/>
          <w:sz w:val="32"/>
          <w:szCs w:val="32"/>
          <w:u w:val="single"/>
          <w14:textFill>
            <w14:solidFill>
              <w14:schemeClr w14:val="tx1"/>
            </w14:solidFill>
          </w14:textFill>
        </w:rPr>
      </w:pPr>
    </w:p>
    <w:p>
      <w:pPr>
        <w:spacing w:after="60" w:line="360" w:lineRule="auto"/>
        <w:rPr>
          <w:rFonts w:ascii="宋体" w:hAnsi="宋体"/>
          <w:b/>
          <w:color w:val="000000" w:themeColor="text1"/>
          <w:sz w:val="52"/>
          <w14:textFill>
            <w14:solidFill>
              <w14:schemeClr w14:val="tx1"/>
            </w14:solidFill>
          </w14:textFill>
        </w:rPr>
      </w:pPr>
    </w:p>
    <w:p>
      <w:pPr>
        <w:spacing w:after="60" w:line="360" w:lineRule="auto"/>
        <w:jc w:val="center"/>
        <w:rPr>
          <w:rFonts w:ascii="宋体" w:hAnsi="宋体"/>
          <w:b/>
          <w:color w:val="000000" w:themeColor="text1"/>
          <w:sz w:val="30"/>
          <w:szCs w:val="32"/>
          <w14:textFill>
            <w14:solidFill>
              <w14:schemeClr w14:val="tx1"/>
            </w14:solidFill>
          </w14:textFill>
        </w:rPr>
      </w:pPr>
      <w:r>
        <w:rPr>
          <w:rFonts w:ascii="宋体" w:hAnsi="宋体"/>
          <w:b/>
          <w:color w:val="000000" w:themeColor="text1"/>
          <w:sz w:val="30"/>
          <w:szCs w:val="32"/>
          <w14:textFill>
            <w14:solidFill>
              <w14:schemeClr w14:val="tx1"/>
            </w14:solidFill>
          </w14:textFill>
        </w:rPr>
        <w:t>二〇二</w:t>
      </w:r>
      <w:r>
        <w:rPr>
          <w:rFonts w:hint="eastAsia" w:ascii="宋体" w:hAnsi="宋体"/>
          <w:b/>
          <w:color w:val="000000" w:themeColor="text1"/>
          <w:sz w:val="30"/>
          <w:szCs w:val="32"/>
          <w14:textFill>
            <w14:solidFill>
              <w14:schemeClr w14:val="tx1"/>
            </w14:solidFill>
          </w14:textFill>
        </w:rPr>
        <w:t>二</w:t>
      </w:r>
      <w:r>
        <w:rPr>
          <w:rFonts w:ascii="宋体" w:hAnsi="宋体"/>
          <w:b/>
          <w:color w:val="000000" w:themeColor="text1"/>
          <w:sz w:val="30"/>
          <w:szCs w:val="32"/>
          <w14:textFill>
            <w14:solidFill>
              <w14:schemeClr w14:val="tx1"/>
            </w14:solidFill>
          </w14:textFill>
        </w:rPr>
        <w:t xml:space="preserve">年  </w:t>
      </w:r>
      <w:r>
        <w:rPr>
          <w:rFonts w:hint="eastAsia" w:ascii="宋体" w:hAnsi="宋体"/>
          <w:b/>
          <w:color w:val="000000" w:themeColor="text1"/>
          <w:sz w:val="30"/>
          <w:szCs w:val="32"/>
          <w14:textFill>
            <w14:solidFill>
              <w14:schemeClr w14:val="tx1"/>
            </w14:solidFill>
          </w14:textFill>
        </w:rPr>
        <w:t xml:space="preserve">   </w:t>
      </w:r>
      <w:r>
        <w:rPr>
          <w:rFonts w:ascii="宋体" w:hAnsi="宋体"/>
          <w:b/>
          <w:color w:val="000000" w:themeColor="text1"/>
          <w:sz w:val="30"/>
          <w:szCs w:val="32"/>
          <w14:textFill>
            <w14:solidFill>
              <w14:schemeClr w14:val="tx1"/>
            </w14:solidFill>
          </w14:textFill>
        </w:rPr>
        <w:t xml:space="preserve">月  </w:t>
      </w:r>
      <w:r>
        <w:rPr>
          <w:rFonts w:hint="eastAsia" w:ascii="宋体" w:hAnsi="宋体"/>
          <w:b/>
          <w:color w:val="000000" w:themeColor="text1"/>
          <w:sz w:val="30"/>
          <w:szCs w:val="32"/>
          <w14:textFill>
            <w14:solidFill>
              <w14:schemeClr w14:val="tx1"/>
            </w14:solidFill>
          </w14:textFill>
        </w:rPr>
        <w:t xml:space="preserve">  日</w:t>
      </w:r>
    </w:p>
    <w:p>
      <w:pPr>
        <w:widowControl/>
        <w:jc w:val="left"/>
        <w:rPr>
          <w:rFonts w:ascii="宋体" w:hAnsi="宋体"/>
          <w:b/>
          <w:color w:val="000000" w:themeColor="text1"/>
          <w:sz w:val="30"/>
          <w:szCs w:val="32"/>
          <w14:textFill>
            <w14:solidFill>
              <w14:schemeClr w14:val="tx1"/>
            </w14:solidFill>
          </w14:textFill>
        </w:rPr>
      </w:pPr>
      <w:r>
        <w:rPr>
          <w:rFonts w:ascii="宋体" w:hAnsi="宋体"/>
          <w:b/>
          <w:color w:val="000000" w:themeColor="text1"/>
          <w:sz w:val="30"/>
          <w:szCs w:val="32"/>
          <w14:textFill>
            <w14:solidFill>
              <w14:schemeClr w14:val="tx1"/>
            </w14:solidFill>
          </w14:textFill>
        </w:rPr>
        <w:br w:type="page"/>
      </w:r>
    </w:p>
    <w:p>
      <w:pPr>
        <w:pStyle w:val="5"/>
        <w:jc w:val="center"/>
        <w:rPr>
          <w:rFonts w:ascii="宋体" w:hAnsi="宋体"/>
          <w:color w:val="000000" w:themeColor="text1"/>
          <w:sz w:val="22"/>
          <w:szCs w:val="22"/>
          <w14:textFill>
            <w14:solidFill>
              <w14:schemeClr w14:val="tx1"/>
            </w14:solidFill>
          </w14:textFill>
        </w:rPr>
      </w:pPr>
      <w:bookmarkStart w:id="283" w:name="_Toc30478"/>
      <w:bookmarkStart w:id="284" w:name="_Toc525801997"/>
      <w:bookmarkStart w:id="285" w:name="_Toc7636"/>
      <w:bookmarkStart w:id="286" w:name="_Toc13677"/>
      <w:r>
        <w:rPr>
          <w:rFonts w:ascii="宋体" w:hAnsi="宋体"/>
          <w:color w:val="000000" w:themeColor="text1"/>
          <w:sz w:val="22"/>
          <w:szCs w:val="22"/>
          <w14:textFill>
            <w14:solidFill>
              <w14:schemeClr w14:val="tx1"/>
            </w14:solidFill>
          </w14:textFill>
        </w:rPr>
        <w:t>1、投标函</w:t>
      </w:r>
      <w:bookmarkEnd w:id="283"/>
      <w:bookmarkEnd w:id="284"/>
      <w:bookmarkEnd w:id="285"/>
      <w:bookmarkEnd w:id="286"/>
    </w:p>
    <w:p>
      <w:pPr>
        <w:pStyle w:val="32"/>
        <w:spacing w:line="400" w:lineRule="exact"/>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致：</w:t>
      </w:r>
      <w:r>
        <w:rPr>
          <w:rFonts w:hint="eastAsia" w:ascii="宋体" w:eastAsia="宋体"/>
          <w:i/>
          <w:color w:val="000000" w:themeColor="text1"/>
          <w:sz w:val="21"/>
          <w:szCs w:val="21"/>
          <w:u w:val="single"/>
          <w14:textFill>
            <w14:solidFill>
              <w14:schemeClr w14:val="tx1"/>
            </w14:solidFill>
          </w14:textFill>
        </w:rPr>
        <w:t>（招标</w:t>
      </w:r>
      <w:r>
        <w:rPr>
          <w:rFonts w:hint="eastAsia" w:ascii="宋体" w:eastAsia="宋体"/>
          <w:i/>
          <w:color w:val="000000" w:themeColor="text1"/>
          <w:sz w:val="21"/>
          <w:szCs w:val="21"/>
          <w:u w:val="single"/>
          <w:lang w:val="en-US"/>
          <w14:textFill>
            <w14:solidFill>
              <w14:schemeClr w14:val="tx1"/>
            </w14:solidFill>
          </w14:textFill>
        </w:rPr>
        <w:t>人</w:t>
      </w:r>
      <w:r>
        <w:rPr>
          <w:rFonts w:hint="eastAsia" w:ascii="宋体" w:eastAsia="宋体"/>
          <w:i/>
          <w:color w:val="000000" w:themeColor="text1"/>
          <w:sz w:val="21"/>
          <w:szCs w:val="21"/>
          <w:u w:val="single"/>
          <w14:textFill>
            <w14:solidFill>
              <w14:schemeClr w14:val="tx1"/>
            </w14:solidFill>
          </w14:textFill>
        </w:rPr>
        <w:t>名称）</w:t>
      </w:r>
    </w:p>
    <w:p>
      <w:pPr>
        <w:pStyle w:val="27"/>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我方确认收到贵方提供的</w:t>
      </w:r>
      <w:r>
        <w:rPr>
          <w:rFonts w:ascii="宋体" w:eastAsia="宋体"/>
          <w:color w:val="000000" w:themeColor="text1"/>
          <w:sz w:val="21"/>
          <w:szCs w:val="21"/>
          <w:u w:val="single"/>
          <w14:textFill>
            <w14:solidFill>
              <w14:schemeClr w14:val="tx1"/>
            </w14:solidFill>
          </w14:textFill>
        </w:rPr>
        <w:t xml:space="preserve">  　</w:t>
      </w:r>
      <w:r>
        <w:rPr>
          <w:rFonts w:hint="eastAsia" w:ascii="宋体" w:eastAsia="宋体"/>
          <w:i/>
          <w:color w:val="000000" w:themeColor="text1"/>
          <w:sz w:val="21"/>
          <w:szCs w:val="21"/>
          <w:u w:val="single"/>
          <w14:textFill>
            <w14:solidFill>
              <w14:schemeClr w14:val="tx1"/>
            </w14:solidFill>
          </w14:textFill>
        </w:rPr>
        <w:t>（项目名称）</w:t>
      </w:r>
      <w:r>
        <w:rPr>
          <w:rFonts w:ascii="宋体" w:eastAsia="宋体"/>
          <w:i/>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 xml:space="preserve">等相关服务的招标文件（项目编号： </w:t>
      </w:r>
      <w:r>
        <w:rPr>
          <w:rFonts w:ascii="宋体" w:eastAsia="宋体"/>
          <w:color w:val="000000" w:themeColor="text1"/>
          <w:sz w:val="21"/>
          <w:szCs w:val="21"/>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 xml:space="preserve">包号： </w:t>
      </w:r>
      <w:r>
        <w:rPr>
          <w:rFonts w:ascii="宋体" w:eastAsia="宋体"/>
          <w:color w:val="000000" w:themeColor="text1"/>
          <w:sz w:val="21"/>
          <w:szCs w:val="21"/>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）的全部内容，我方：</w:t>
      </w:r>
      <w:r>
        <w:rPr>
          <w:rFonts w:hint="eastAsia" w:ascii="宋体" w:eastAsia="宋体"/>
          <w:i/>
          <w:color w:val="000000" w:themeColor="text1"/>
          <w:sz w:val="21"/>
          <w:szCs w:val="21"/>
          <w:u w:val="single"/>
          <w14:textFill>
            <w14:solidFill>
              <w14:schemeClr w14:val="tx1"/>
            </w14:solidFill>
          </w14:textFill>
        </w:rPr>
        <w:t>（投标人名称）</w:t>
      </w:r>
      <w:r>
        <w:rPr>
          <w:rFonts w:hint="eastAsia" w:ascii="宋体" w:eastAsia="宋体"/>
          <w:color w:val="000000" w:themeColor="text1"/>
          <w:sz w:val="21"/>
          <w:szCs w:val="21"/>
          <w14:textFill>
            <w14:solidFill>
              <w14:schemeClr w14:val="tx1"/>
            </w14:solidFill>
          </w14:textFill>
        </w:rPr>
        <w:t>作为投标人正式委托</w:t>
      </w:r>
      <w:r>
        <w:rPr>
          <w:rFonts w:hint="eastAsia" w:ascii="宋体" w:eastAsia="宋体"/>
          <w:color w:val="000000" w:themeColor="text1"/>
          <w:sz w:val="21"/>
          <w:szCs w:val="21"/>
          <w:u w:val="single"/>
          <w14:textFill>
            <w14:solidFill>
              <w14:schemeClr w14:val="tx1"/>
            </w14:solidFill>
          </w14:textFill>
        </w:rPr>
        <w:t>　</w:t>
      </w:r>
      <w:r>
        <w:rPr>
          <w:rFonts w:ascii="宋体" w:eastAsia="宋体"/>
          <w:color w:val="000000" w:themeColor="text1"/>
          <w:sz w:val="21"/>
          <w:szCs w:val="21"/>
          <w:u w:val="single"/>
          <w14:textFill>
            <w14:solidFill>
              <w14:schemeClr w14:val="tx1"/>
            </w14:solidFill>
          </w14:textFill>
        </w:rPr>
        <w:t xml:space="preserve">   </w:t>
      </w:r>
      <w:r>
        <w:rPr>
          <w:rFonts w:hint="eastAsia" w:ascii="宋体" w:eastAsia="宋体"/>
          <w:i/>
          <w:color w:val="000000" w:themeColor="text1"/>
          <w:sz w:val="21"/>
          <w:szCs w:val="21"/>
          <w:u w:val="single"/>
          <w14:textFill>
            <w14:solidFill>
              <w14:schemeClr w14:val="tx1"/>
            </w14:solidFill>
          </w14:textFill>
        </w:rPr>
        <w:t>（受委托人全名，职务）</w:t>
      </w:r>
      <w:r>
        <w:rPr>
          <w:rFonts w:hint="eastAsia" w:ascii="宋体" w:eastAsia="宋体"/>
          <w:color w:val="000000" w:themeColor="text1"/>
          <w:sz w:val="21"/>
          <w:szCs w:val="21"/>
          <w14:textFill>
            <w14:solidFill>
              <w14:schemeClr w14:val="tx1"/>
            </w14:solidFill>
          </w14:textFill>
        </w:rPr>
        <w:t>代表我方进行有关本投标的一切事宜。</w:t>
      </w:r>
    </w:p>
    <w:p>
      <w:pPr>
        <w:pStyle w:val="27"/>
        <w:spacing w:line="400" w:lineRule="exact"/>
        <w:ind w:firstLine="420" w:firstLineChars="200"/>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在此提交的投标文件，</w:t>
      </w:r>
      <w:r>
        <w:rPr>
          <w:rFonts w:hint="eastAsia" w:ascii="宋体" w:eastAsia="宋体"/>
          <w:b/>
          <w:bCs/>
          <w:color w:val="000000" w:themeColor="text1"/>
          <w:sz w:val="21"/>
          <w:szCs w:val="21"/>
          <w14:textFill>
            <w14:solidFill>
              <w14:schemeClr w14:val="tx1"/>
            </w14:solidFill>
          </w14:textFill>
        </w:rPr>
        <w:t>正本</w:t>
      </w:r>
      <w:r>
        <w:rPr>
          <w:rFonts w:ascii="宋体" w:eastAsia="宋体"/>
          <w:b/>
          <w:bCs/>
          <w:color w:val="000000" w:themeColor="text1"/>
          <w:sz w:val="21"/>
          <w:szCs w:val="21"/>
          <w:u w:val="single"/>
          <w14:textFill>
            <w14:solidFill>
              <w14:schemeClr w14:val="tx1"/>
            </w14:solidFill>
          </w14:textFill>
        </w:rPr>
        <w:t>1</w:t>
      </w:r>
      <w:r>
        <w:rPr>
          <w:rFonts w:hint="eastAsia" w:ascii="宋体" w:eastAsia="宋体"/>
          <w:b/>
          <w:bCs/>
          <w:color w:val="000000" w:themeColor="text1"/>
          <w:sz w:val="21"/>
          <w:szCs w:val="21"/>
          <w14:textFill>
            <w14:solidFill>
              <w14:schemeClr w14:val="tx1"/>
            </w14:solidFill>
          </w14:textFill>
        </w:rPr>
        <w:t>套，副本</w:t>
      </w:r>
      <w:r>
        <w:rPr>
          <w:rFonts w:ascii="宋体" w:eastAsia="宋体"/>
          <w:b/>
          <w:bCs/>
          <w:color w:val="000000" w:themeColor="text1"/>
          <w:sz w:val="21"/>
          <w:szCs w:val="21"/>
          <w:u w:val="single"/>
          <w14:textFill>
            <w14:solidFill>
              <w14:schemeClr w14:val="tx1"/>
            </w14:solidFill>
          </w14:textFill>
        </w:rPr>
        <w:t>1</w:t>
      </w:r>
      <w:r>
        <w:rPr>
          <w:rFonts w:hint="eastAsia" w:ascii="宋体" w:eastAsia="宋体"/>
          <w:b/>
          <w:bCs/>
          <w:color w:val="000000" w:themeColor="text1"/>
          <w:sz w:val="21"/>
          <w:szCs w:val="21"/>
          <w14:textFill>
            <w14:solidFill>
              <w14:schemeClr w14:val="tx1"/>
            </w14:solidFill>
          </w14:textFill>
        </w:rPr>
        <w:t>套。</w:t>
      </w:r>
    </w:p>
    <w:p>
      <w:pPr>
        <w:pStyle w:val="27"/>
        <w:spacing w:line="400" w:lineRule="exact"/>
        <w:ind w:firstLine="433"/>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 xml:space="preserve"> 我方己完全明白招标文件的所有条款要求，并重申以下几点：</w:t>
      </w:r>
    </w:p>
    <w:p>
      <w:pPr>
        <w:pStyle w:val="27"/>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（—）我方决定参加项目编号为</w:t>
      </w:r>
      <w:r>
        <w:rPr>
          <w:rFonts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的投标；</w:t>
      </w:r>
    </w:p>
    <w:p>
      <w:pPr>
        <w:pStyle w:val="27"/>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（二）全部有关服务的投标总价为</w:t>
      </w:r>
      <w:r>
        <w:rPr>
          <w:rFonts w:hint="eastAsia" w:ascii="宋体" w:eastAsia="宋体"/>
          <w:color w:val="000000" w:themeColor="text1"/>
          <w:sz w:val="21"/>
          <w:szCs w:val="21"/>
          <w:u w:val="single"/>
          <w:lang w:val="en-US"/>
          <w14:textFill>
            <w14:solidFill>
              <w14:schemeClr w14:val="tx1"/>
            </w14:solidFill>
          </w14:textFill>
        </w:rPr>
        <w:t xml:space="preserve">人民币           </w:t>
      </w:r>
      <w:r>
        <w:rPr>
          <w:rFonts w:hint="eastAsia" w:ascii="宋体" w:eastAsia="宋体"/>
          <w:color w:val="000000" w:themeColor="text1"/>
          <w:sz w:val="21"/>
          <w:szCs w:val="21"/>
          <w:lang w:val="en-US"/>
          <w14:textFill>
            <w14:solidFill>
              <w14:schemeClr w14:val="tx1"/>
            </w14:solidFill>
          </w14:textFill>
        </w:rPr>
        <w:t>元</w:t>
      </w:r>
      <w:r>
        <w:rPr>
          <w:rFonts w:hint="eastAsia" w:ascii="宋体" w:eastAsia="宋体"/>
          <w:color w:val="000000" w:themeColor="text1"/>
          <w:sz w:val="21"/>
          <w:szCs w:val="21"/>
          <w14:textFill>
            <w14:solidFill>
              <w14:schemeClr w14:val="tx1"/>
            </w14:solidFill>
          </w14:textFill>
        </w:rPr>
        <w:t>（详见投标报价表）；</w:t>
      </w:r>
    </w:p>
    <w:p>
      <w:pPr>
        <w:pStyle w:val="27"/>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（三）本投标文件的有效期自投标截止日后</w:t>
      </w:r>
      <w:r>
        <w:rPr>
          <w:rFonts w:ascii="宋体" w:eastAsia="宋体"/>
          <w:color w:val="000000" w:themeColor="text1"/>
          <w:sz w:val="21"/>
          <w:szCs w:val="21"/>
          <w14:textFill>
            <w14:solidFill>
              <w14:schemeClr w14:val="tx1"/>
            </w14:solidFill>
          </w14:textFill>
        </w:rPr>
        <w:t>90天有效，如中标，有效期将延至合同终止日为止；</w:t>
      </w:r>
    </w:p>
    <w:p>
      <w:pPr>
        <w:pStyle w:val="27"/>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（四）我方已详细研究了招标文件的所有内容包括相关资料及修正文（如果有），对本项目招标文件的所有内容已清楚，接受本招标文件的所有条款及要求；</w:t>
      </w:r>
    </w:p>
    <w:p>
      <w:pPr>
        <w:pStyle w:val="27"/>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（五）我方明白并愿意在规定的开标时间和日期之后，投标有效期之内撤回投标，则投标保证金将被贵方没收；</w:t>
      </w:r>
    </w:p>
    <w:p>
      <w:pPr>
        <w:pStyle w:val="27"/>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（六）我方同意按照贵方可能提出的要求而提供与投标有关的任何其它数据或信息；</w:t>
      </w:r>
    </w:p>
    <w:p>
      <w:pPr>
        <w:pStyle w:val="27"/>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（七）我方理解贵方不一定接受最低标价或任何贵方可能收到的投标；</w:t>
      </w:r>
    </w:p>
    <w:p>
      <w:pPr>
        <w:pStyle w:val="27"/>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w:t>
      </w:r>
      <w:r>
        <w:rPr>
          <w:rFonts w:hint="eastAsia" w:ascii="宋体" w:eastAsia="宋体"/>
          <w:color w:val="000000" w:themeColor="text1"/>
          <w:sz w:val="21"/>
          <w:szCs w:val="21"/>
          <w:lang w:val="en-US"/>
          <w14:textFill>
            <w14:solidFill>
              <w14:schemeClr w14:val="tx1"/>
            </w14:solidFill>
          </w14:textFill>
        </w:rPr>
        <w:t>八</w:t>
      </w:r>
      <w:r>
        <w:rPr>
          <w:rFonts w:hint="eastAsia" w:ascii="宋体" w:eastAsia="宋体"/>
          <w:color w:val="000000" w:themeColor="text1"/>
          <w:sz w:val="21"/>
          <w:szCs w:val="21"/>
          <w14:textFill>
            <w14:solidFill>
              <w14:schemeClr w14:val="tx1"/>
            </w14:solidFill>
          </w14:textFill>
        </w:rPr>
        <w:t>）我方如果中标，将保证履行招标文件以及招标文件修改书（如果有的话）中的全部责任和义务，按质、按量、按期完成《合同书》中的全部任务；</w:t>
      </w:r>
    </w:p>
    <w:p>
      <w:pPr>
        <w:pStyle w:val="27"/>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w:t>
      </w:r>
      <w:r>
        <w:rPr>
          <w:rFonts w:hint="eastAsia" w:ascii="宋体" w:eastAsia="宋体"/>
          <w:color w:val="000000" w:themeColor="text1"/>
          <w:sz w:val="21"/>
          <w:szCs w:val="21"/>
          <w:lang w:val="en-US"/>
          <w14:textFill>
            <w14:solidFill>
              <w14:schemeClr w14:val="tx1"/>
            </w14:solidFill>
          </w14:textFill>
        </w:rPr>
        <w:t>九</w:t>
      </w:r>
      <w:r>
        <w:rPr>
          <w:rFonts w:hint="eastAsia" w:ascii="宋体" w:eastAsia="宋体"/>
          <w:color w:val="000000" w:themeColor="text1"/>
          <w:sz w:val="21"/>
          <w:szCs w:val="21"/>
          <w14:textFill>
            <w14:solidFill>
              <w14:schemeClr w14:val="tx1"/>
            </w14:solidFill>
          </w14:textFill>
        </w:rPr>
        <w:t>）所有与本投标有关的函件请发往下列地址：</w:t>
      </w:r>
    </w:p>
    <w:p>
      <w:pPr>
        <w:pStyle w:val="27"/>
        <w:spacing w:line="400" w:lineRule="exact"/>
        <w:ind w:firstLine="433"/>
        <w:rPr>
          <w:rFonts w:ascii="宋体" w:eastAsia="宋体"/>
          <w:color w:val="000000" w:themeColor="text1"/>
          <w:sz w:val="21"/>
          <w:szCs w:val="21"/>
          <w14:textFill>
            <w14:solidFill>
              <w14:schemeClr w14:val="tx1"/>
            </w14:solidFill>
          </w14:textFill>
        </w:rPr>
      </w:pP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址：</w:t>
      </w:r>
      <w:r>
        <w:rPr>
          <w:rFonts w:hint="eastAsia"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14:textFill>
            <w14:solidFill>
              <w14:schemeClr w14:val="tx1"/>
            </w14:solidFill>
          </w14:textFill>
        </w:rPr>
        <w:t>　</w:t>
      </w:r>
      <w:r>
        <w:rPr>
          <w:rFonts w:ascii="宋体" w:hAnsi="宋体"/>
          <w:color w:val="000000" w:themeColor="text1"/>
          <w:szCs w:val="21"/>
          <w14:textFill>
            <w14:solidFill>
              <w14:schemeClr w14:val="tx1"/>
            </w14:solidFill>
          </w14:textFill>
        </w:rPr>
        <w:t xml:space="preserve"> 邮政编码：　　　　　</w:t>
      </w:r>
    </w:p>
    <w:p>
      <w:pPr>
        <w:spacing w:line="40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联系人：</w:t>
      </w:r>
    </w:p>
    <w:p>
      <w:pPr>
        <w:spacing w:line="40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r>
        <w:rPr>
          <w:rFonts w:hint="eastAsia"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 xml:space="preserve">   传　　真：</w:t>
      </w:r>
      <w:r>
        <w:rPr>
          <w:rFonts w:hint="eastAsia" w:ascii="宋体" w:hAnsi="宋体"/>
          <w:color w:val="000000" w:themeColor="text1"/>
          <w:szCs w:val="21"/>
          <w:u w:val="single"/>
          <w14:textFill>
            <w14:solidFill>
              <w14:schemeClr w14:val="tx1"/>
            </w14:solidFill>
          </w14:textFill>
        </w:rPr>
        <w:t>　　　　　　</w:t>
      </w:r>
      <w:r>
        <w:rPr>
          <w:rFonts w:ascii="宋体" w:hAnsi="宋体"/>
          <w:color w:val="000000" w:themeColor="text1"/>
          <w:szCs w:val="21"/>
          <w:u w:val="single"/>
          <w14:textFill>
            <w14:solidFill>
              <w14:schemeClr w14:val="tx1"/>
            </w14:solidFill>
          </w14:textFill>
        </w:rPr>
        <w:t xml:space="preserve">   </w:t>
      </w:r>
    </w:p>
    <w:p>
      <w:pPr>
        <w:spacing w:line="400" w:lineRule="exact"/>
        <w:rPr>
          <w:rFonts w:ascii="宋体" w:hAnsi="宋体"/>
          <w:color w:val="000000" w:themeColor="text1"/>
          <w:szCs w:val="21"/>
          <w14:textFill>
            <w14:solidFill>
              <w14:schemeClr w14:val="tx1"/>
            </w14:solidFill>
          </w14:textFill>
        </w:rPr>
      </w:pPr>
    </w:p>
    <w:p>
      <w:pPr>
        <w:spacing w:line="400" w:lineRule="exact"/>
        <w:rPr>
          <w:rFonts w:ascii="宋体" w:hAnsi="宋体"/>
          <w:color w:val="000000" w:themeColor="text1"/>
          <w:szCs w:val="21"/>
          <w14:textFill>
            <w14:solidFill>
              <w14:schemeClr w14:val="tx1"/>
            </w14:solidFill>
          </w14:textFill>
        </w:rPr>
      </w:pPr>
    </w:p>
    <w:p>
      <w:pPr>
        <w:spacing w:line="400" w:lineRule="exact"/>
        <w:ind w:left="3826" w:leftChars="182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投标人名称（公章）：</w:t>
      </w:r>
    </w:p>
    <w:p>
      <w:pPr>
        <w:spacing w:line="400" w:lineRule="exact"/>
        <w:ind w:left="3826" w:leftChars="182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投标人地址：</w:t>
      </w:r>
    </w:p>
    <w:p>
      <w:pPr>
        <w:spacing w:line="400" w:lineRule="exact"/>
        <w:ind w:left="3826" w:leftChars="182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投标人法定代表人或受委托人（签名或盖私章）：</w:t>
      </w:r>
    </w:p>
    <w:p>
      <w:pPr>
        <w:pStyle w:val="32"/>
        <w:spacing w:line="400" w:lineRule="exact"/>
        <w:ind w:left="3826" w:leftChars="1822"/>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日　　　期：</w:t>
      </w: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宋体" w:hAnsi="宋体"/>
          <w:b/>
          <w:bCs/>
          <w:color w:val="000000" w:themeColor="text1"/>
          <w:kern w:val="0"/>
          <w:sz w:val="22"/>
          <w:szCs w:val="22"/>
          <w:lang w:val="zh-CN"/>
          <w14:textFill>
            <w14:solidFill>
              <w14:schemeClr w14:val="tx1"/>
            </w14:solidFill>
          </w14:textFill>
        </w:rPr>
      </w:pPr>
    </w:p>
    <w:p>
      <w:pPr>
        <w:jc w:val="center"/>
        <w:rPr>
          <w:b/>
          <w:bCs/>
          <w:sz w:val="22"/>
          <w:szCs w:val="22"/>
        </w:rPr>
      </w:pPr>
      <w:bookmarkStart w:id="287" w:name="_Toc8759"/>
      <w:bookmarkStart w:id="288" w:name="_Toc10539"/>
      <w:bookmarkStart w:id="289" w:name="_Toc525801998"/>
      <w:bookmarkStart w:id="290" w:name="_Toc441844117"/>
      <w:bookmarkStart w:id="291" w:name="_Toc2339"/>
    </w:p>
    <w:p>
      <w:pPr>
        <w:jc w:val="center"/>
        <w:rPr>
          <w:b/>
          <w:bCs/>
          <w:sz w:val="22"/>
          <w:szCs w:val="22"/>
        </w:rPr>
      </w:pPr>
    </w:p>
    <w:p>
      <w:pPr>
        <w:jc w:val="center"/>
        <w:rPr>
          <w:b/>
          <w:bCs/>
          <w:sz w:val="22"/>
          <w:szCs w:val="22"/>
        </w:rPr>
      </w:pPr>
    </w:p>
    <w:p>
      <w:pPr>
        <w:pStyle w:val="5"/>
        <w:numPr>
          <w:ilvl w:val="0"/>
          <w:numId w:val="11"/>
        </w:numPr>
        <w:jc w:val="center"/>
        <w:rPr>
          <w:sz w:val="22"/>
          <w:szCs w:val="22"/>
        </w:rPr>
      </w:pPr>
      <w:bookmarkStart w:id="292" w:name="_Toc6461"/>
      <w:bookmarkStart w:id="293" w:name="_Toc31302"/>
      <w:bookmarkStart w:id="294" w:name="_Toc6646"/>
      <w:r>
        <w:rPr>
          <w:rFonts w:hint="eastAsia"/>
          <w:sz w:val="22"/>
          <w:szCs w:val="22"/>
        </w:rPr>
        <w:t>投标报价表</w:t>
      </w:r>
      <w:bookmarkEnd w:id="287"/>
      <w:bookmarkEnd w:id="288"/>
      <w:bookmarkEnd w:id="292"/>
      <w:bookmarkEnd w:id="293"/>
      <w:bookmarkEnd w:id="294"/>
    </w:p>
    <w:p>
      <w:pPr>
        <w:spacing w:line="360" w:lineRule="auto"/>
        <w:jc w:val="left"/>
        <w:rPr>
          <w:sz w:val="24"/>
        </w:rPr>
      </w:pPr>
      <w:r>
        <w:rPr>
          <w:rFonts w:hint="eastAsia"/>
          <w:sz w:val="24"/>
        </w:rPr>
        <w:t>投标人名称：</w:t>
      </w:r>
      <w:r>
        <w:rPr>
          <w:sz w:val="24"/>
        </w:rPr>
        <w:t xml:space="preserve"> </w:t>
      </w:r>
    </w:p>
    <w:p>
      <w:pPr>
        <w:spacing w:line="360" w:lineRule="auto"/>
        <w:jc w:val="left"/>
      </w:pPr>
      <w:r>
        <w:rPr>
          <w:rFonts w:hint="eastAsia"/>
          <w:sz w:val="24"/>
        </w:rPr>
        <w:t>采购编号：SL-CG2022007</w:t>
      </w:r>
      <w:r>
        <w:rPr>
          <w:sz w:val="24"/>
        </w:rPr>
        <w:t xml:space="preserve">       </w:t>
      </w:r>
      <w:r>
        <w:rPr>
          <w:rFonts w:hint="eastAsia"/>
          <w:sz w:val="24"/>
        </w:rPr>
        <w:t xml:space="preserve">                 </w:t>
      </w:r>
      <w:r>
        <w:rPr>
          <w:sz w:val="24"/>
        </w:rPr>
        <w:t>[</w:t>
      </w:r>
      <w:r>
        <w:rPr>
          <w:rFonts w:hint="eastAsia"/>
          <w:sz w:val="24"/>
        </w:rPr>
        <w:t>货币单位：人民币元</w:t>
      </w:r>
      <w:r>
        <w:rPr>
          <w:sz w:val="24"/>
        </w:rPr>
        <w:t>]</w:t>
      </w:r>
    </w:p>
    <w:tbl>
      <w:tblPr>
        <w:tblStyle w:val="17"/>
        <w:tblpPr w:leftFromText="180" w:rightFromText="180" w:vertAnchor="text" w:horzAnchor="page" w:tblpX="1552" w:tblpY="1026"/>
        <w:tblOverlap w:val="never"/>
        <w:tblW w:w="51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127"/>
        <w:gridCol w:w="1897"/>
        <w:gridCol w:w="957"/>
        <w:gridCol w:w="1025"/>
        <w:gridCol w:w="1443"/>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3" w:type="pct"/>
            <w:vAlign w:val="center"/>
          </w:tcPr>
          <w:p>
            <w:pPr>
              <w:tabs>
                <w:tab w:val="left" w:pos="5105"/>
              </w:tabs>
              <w:ind w:right="0"/>
              <w:jc w:val="left"/>
              <w:rPr>
                <w:rFonts w:ascii="Arial" w:hAnsi="Arial" w:cs="Arial"/>
                <w:b/>
                <w:bCs/>
              </w:rPr>
            </w:pPr>
            <w:r>
              <w:rPr>
                <w:rFonts w:hint="eastAsia"/>
              </w:rPr>
              <w:tab/>
            </w:r>
            <w:r>
              <w:rPr>
                <w:rFonts w:ascii="Arial" w:hAnsi="宋体" w:cs="Arial"/>
                <w:b/>
                <w:bCs/>
              </w:rPr>
              <w:t>号</w:t>
            </w:r>
          </w:p>
        </w:tc>
        <w:tc>
          <w:tcPr>
            <w:tcW w:w="2116" w:type="pct"/>
            <w:gridSpan w:val="2"/>
            <w:vAlign w:val="center"/>
          </w:tcPr>
          <w:p>
            <w:pPr>
              <w:tabs>
                <w:tab w:val="left" w:pos="3780"/>
              </w:tabs>
              <w:ind w:right="84" w:firstLine="420"/>
              <w:jc w:val="center"/>
              <w:rPr>
                <w:rFonts w:ascii="Arial" w:hAnsi="Arial" w:cs="Arial"/>
                <w:b/>
                <w:bCs/>
              </w:rPr>
            </w:pPr>
            <w:r>
              <w:rPr>
                <w:rFonts w:ascii="Arial" w:hAnsi="宋体" w:cs="Arial"/>
                <w:b/>
                <w:bCs/>
              </w:rPr>
              <w:t>项目内容</w:t>
            </w:r>
          </w:p>
        </w:tc>
        <w:tc>
          <w:tcPr>
            <w:tcW w:w="503" w:type="pct"/>
            <w:vAlign w:val="center"/>
          </w:tcPr>
          <w:p>
            <w:pPr>
              <w:tabs>
                <w:tab w:val="left" w:pos="3780"/>
              </w:tabs>
              <w:ind w:right="84"/>
              <w:jc w:val="center"/>
              <w:rPr>
                <w:rFonts w:ascii="Arial" w:hAnsi="Arial" w:cs="Arial"/>
                <w:b/>
                <w:bCs/>
              </w:rPr>
            </w:pPr>
            <w:r>
              <w:rPr>
                <w:rFonts w:ascii="Arial" w:hAnsi="宋体" w:cs="Arial"/>
                <w:b/>
                <w:bCs/>
              </w:rPr>
              <w:t>工作数量（次）</w:t>
            </w:r>
          </w:p>
        </w:tc>
        <w:tc>
          <w:tcPr>
            <w:tcW w:w="539" w:type="pct"/>
            <w:vAlign w:val="center"/>
          </w:tcPr>
          <w:p>
            <w:pPr>
              <w:tabs>
                <w:tab w:val="left" w:pos="3780"/>
              </w:tabs>
              <w:ind w:right="84"/>
              <w:jc w:val="center"/>
              <w:rPr>
                <w:rFonts w:ascii="Arial" w:hAnsi="Arial" w:cs="Arial"/>
                <w:b/>
                <w:bCs/>
              </w:rPr>
            </w:pPr>
            <w:r>
              <w:rPr>
                <w:rFonts w:ascii="Arial" w:hAnsi="宋体" w:cs="Arial"/>
                <w:b/>
                <w:bCs/>
              </w:rPr>
              <w:t>单价（元）</w:t>
            </w:r>
          </w:p>
        </w:tc>
        <w:tc>
          <w:tcPr>
            <w:tcW w:w="758" w:type="pct"/>
            <w:vAlign w:val="center"/>
          </w:tcPr>
          <w:p>
            <w:pPr>
              <w:tabs>
                <w:tab w:val="left" w:pos="3780"/>
              </w:tabs>
              <w:ind w:right="84"/>
              <w:jc w:val="center"/>
              <w:rPr>
                <w:rFonts w:ascii="Arial" w:hAnsi="宋体" w:cs="Arial"/>
                <w:b/>
                <w:bCs/>
              </w:rPr>
            </w:pPr>
            <w:r>
              <w:rPr>
                <w:rFonts w:ascii="Arial" w:hAnsi="宋体" w:cs="Arial"/>
                <w:b/>
                <w:bCs/>
              </w:rPr>
              <w:t>分项报价（元）</w:t>
            </w:r>
          </w:p>
        </w:tc>
        <w:tc>
          <w:tcPr>
            <w:tcW w:w="758" w:type="pct"/>
            <w:vAlign w:val="center"/>
          </w:tcPr>
          <w:p>
            <w:pPr>
              <w:tabs>
                <w:tab w:val="left" w:pos="3780"/>
              </w:tabs>
              <w:ind w:right="84" w:firstLine="0" w:firstLineChars="0"/>
              <w:jc w:val="center"/>
              <w:rPr>
                <w:rFonts w:ascii="Arial" w:hAnsi="Arial" w:cs="Arial"/>
                <w:b/>
                <w:bCs/>
              </w:rPr>
            </w:pPr>
            <w:r>
              <w:rPr>
                <w:rFonts w:ascii="Arial" w:hAnsi="宋体" w:cs="Arial"/>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3" w:type="pct"/>
            <w:vAlign w:val="center"/>
          </w:tcPr>
          <w:p>
            <w:pPr>
              <w:tabs>
                <w:tab w:val="left" w:pos="3780"/>
              </w:tabs>
              <w:ind w:right="84" w:firstLine="199" w:firstLineChars="95"/>
              <w:rPr>
                <w:rFonts w:ascii="Arial" w:hAnsi="Arial" w:cs="Arial"/>
              </w:rPr>
            </w:pPr>
            <w:r>
              <w:rPr>
                <w:rFonts w:ascii="Arial" w:hAnsi="Arial" w:cs="Arial"/>
              </w:rPr>
              <w:t>1</w:t>
            </w:r>
          </w:p>
        </w:tc>
        <w:tc>
          <w:tcPr>
            <w:tcW w:w="2116" w:type="pct"/>
            <w:gridSpan w:val="2"/>
            <w:vAlign w:val="center"/>
          </w:tcPr>
          <w:p>
            <w:pPr>
              <w:ind w:firstLine="420"/>
              <w:jc w:val="center"/>
              <w:rPr>
                <w:rFonts w:ascii="Arial" w:hAnsi="Arial" w:cs="Arial"/>
              </w:rPr>
            </w:pPr>
            <w:r>
              <w:rPr>
                <w:rFonts w:ascii="Arial" w:hAnsi="Arial" w:cs="Arial"/>
              </w:rPr>
              <w:t>3</w:t>
            </w:r>
            <w:r>
              <w:rPr>
                <w:rFonts w:ascii="Arial" w:hAnsi="宋体" w:cs="Arial"/>
              </w:rPr>
              <w:t>台冷水机组（</w:t>
            </w:r>
            <w:r>
              <w:rPr>
                <w:rFonts w:ascii="Arial" w:hAnsi="Arial" w:cs="Arial"/>
              </w:rPr>
              <w:t>1300RT+650RT+650RT</w:t>
            </w:r>
            <w:r>
              <w:rPr>
                <w:rFonts w:ascii="Arial" w:hAnsi="宋体" w:cs="Arial"/>
              </w:rPr>
              <w:t>）通炮清洗</w:t>
            </w:r>
          </w:p>
        </w:tc>
        <w:tc>
          <w:tcPr>
            <w:tcW w:w="503" w:type="pct"/>
            <w:vAlign w:val="center"/>
          </w:tcPr>
          <w:p>
            <w:pPr>
              <w:widowControl/>
              <w:ind w:firstLine="0" w:firstLineChars="0"/>
              <w:jc w:val="center"/>
              <w:rPr>
                <w:rFonts w:ascii="Arial" w:hAnsi="Arial" w:cs="Arial"/>
              </w:rPr>
            </w:pPr>
            <w:r>
              <w:rPr>
                <w:rFonts w:ascii="Arial" w:hAnsi="Arial" w:cs="Arial"/>
              </w:rPr>
              <w:t>1</w:t>
            </w:r>
          </w:p>
        </w:tc>
        <w:tc>
          <w:tcPr>
            <w:tcW w:w="539" w:type="pct"/>
            <w:vAlign w:val="center"/>
          </w:tcPr>
          <w:p>
            <w:pPr>
              <w:ind w:firstLine="0" w:firstLineChars="0"/>
              <w:jc w:val="center"/>
              <w:rPr>
                <w:rFonts w:ascii="Arial" w:hAnsi="Arial" w:cs="Arial"/>
              </w:rPr>
            </w:pPr>
          </w:p>
        </w:tc>
        <w:tc>
          <w:tcPr>
            <w:tcW w:w="758" w:type="pct"/>
            <w:vAlign w:val="center"/>
          </w:tcPr>
          <w:p>
            <w:pPr>
              <w:ind w:firstLine="302" w:firstLineChars="144"/>
              <w:jc w:val="center"/>
              <w:rPr>
                <w:rFonts w:ascii="Arial" w:hAnsi="Arial" w:cs="Arial"/>
              </w:rPr>
            </w:pPr>
          </w:p>
        </w:tc>
        <w:tc>
          <w:tcPr>
            <w:tcW w:w="758" w:type="pct"/>
            <w:vAlign w:val="center"/>
          </w:tcPr>
          <w:p>
            <w:pPr>
              <w:widowControl/>
              <w:ind w:firstLine="0" w:firstLineChars="0"/>
              <w:jc w:val="center"/>
              <w:rPr>
                <w:rFonts w:ascii="Arial" w:hAnsi="宋体" w:cs="Arial"/>
              </w:rPr>
            </w:pPr>
            <w:r>
              <w:rPr>
                <w:rFonts w:ascii="Arial" w:hAnsi="宋体" w:eastAsia="宋体" w:cs="Arial"/>
                <w:sz w:val="21"/>
                <w:szCs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3" w:type="pct"/>
            <w:vAlign w:val="center"/>
          </w:tcPr>
          <w:p>
            <w:pPr>
              <w:tabs>
                <w:tab w:val="left" w:pos="3780"/>
              </w:tabs>
              <w:ind w:right="84" w:firstLine="199" w:firstLineChars="95"/>
              <w:rPr>
                <w:rFonts w:ascii="Arial" w:hAnsi="Arial" w:cs="Arial"/>
              </w:rPr>
            </w:pPr>
            <w:r>
              <w:rPr>
                <w:rFonts w:ascii="Arial" w:hAnsi="Arial" w:cs="Arial"/>
              </w:rPr>
              <w:t>2</w:t>
            </w:r>
          </w:p>
        </w:tc>
        <w:tc>
          <w:tcPr>
            <w:tcW w:w="2116" w:type="pct"/>
            <w:gridSpan w:val="2"/>
            <w:vAlign w:val="center"/>
          </w:tcPr>
          <w:p>
            <w:pPr>
              <w:ind w:firstLine="420"/>
              <w:jc w:val="center"/>
              <w:rPr>
                <w:rFonts w:ascii="Arial" w:hAnsi="Arial" w:cs="Arial"/>
              </w:rPr>
            </w:pPr>
            <w:r>
              <w:rPr>
                <w:rFonts w:ascii="Arial" w:hAnsi="Arial" w:cs="Arial"/>
              </w:rPr>
              <w:t>10</w:t>
            </w:r>
            <w:r>
              <w:rPr>
                <w:rFonts w:ascii="Arial" w:hAnsi="宋体" w:cs="Arial"/>
              </w:rPr>
              <w:t>台水泵</w:t>
            </w:r>
            <w:r>
              <w:rPr>
                <w:rFonts w:ascii="Arial" w:hAnsi="Arial" w:cs="Arial"/>
              </w:rPr>
              <w:t>Y</w:t>
            </w:r>
            <w:r>
              <w:rPr>
                <w:rFonts w:ascii="Arial" w:hAnsi="宋体" w:cs="Arial"/>
              </w:rPr>
              <w:t>型过滤器清洗及密封</w:t>
            </w:r>
          </w:p>
        </w:tc>
        <w:tc>
          <w:tcPr>
            <w:tcW w:w="503" w:type="pct"/>
            <w:vAlign w:val="center"/>
          </w:tcPr>
          <w:p>
            <w:pPr>
              <w:widowControl/>
              <w:ind w:firstLine="0" w:firstLineChars="0"/>
              <w:jc w:val="center"/>
              <w:rPr>
                <w:rFonts w:ascii="Arial" w:hAnsi="Arial" w:cs="Arial"/>
              </w:rPr>
            </w:pPr>
            <w:r>
              <w:rPr>
                <w:rFonts w:ascii="Arial" w:hAnsi="Arial" w:cs="Arial"/>
              </w:rPr>
              <w:t>1</w:t>
            </w:r>
          </w:p>
        </w:tc>
        <w:tc>
          <w:tcPr>
            <w:tcW w:w="539" w:type="pct"/>
            <w:vAlign w:val="center"/>
          </w:tcPr>
          <w:p>
            <w:pPr>
              <w:ind w:firstLine="0" w:firstLineChars="0"/>
              <w:jc w:val="center"/>
              <w:rPr>
                <w:rFonts w:ascii="Arial" w:hAnsi="Arial" w:cs="Arial"/>
              </w:rPr>
            </w:pPr>
          </w:p>
        </w:tc>
        <w:tc>
          <w:tcPr>
            <w:tcW w:w="758" w:type="pct"/>
            <w:vAlign w:val="center"/>
          </w:tcPr>
          <w:p>
            <w:pPr>
              <w:ind w:firstLine="298" w:firstLineChars="142"/>
              <w:jc w:val="center"/>
              <w:rPr>
                <w:rFonts w:ascii="Arial" w:hAnsi="Arial" w:cs="Arial"/>
              </w:rPr>
            </w:pPr>
          </w:p>
        </w:tc>
        <w:tc>
          <w:tcPr>
            <w:tcW w:w="758" w:type="pct"/>
            <w:vAlign w:val="center"/>
          </w:tcPr>
          <w:p>
            <w:pPr>
              <w:widowControl/>
              <w:ind w:firstLine="0" w:firstLineChars="0"/>
              <w:jc w:val="center"/>
              <w:rPr>
                <w:rFonts w:ascii="Arial" w:hAnsi="宋体" w:cs="Arial"/>
              </w:rPr>
            </w:pPr>
            <w:r>
              <w:rPr>
                <w:rFonts w:ascii="Arial" w:hAnsi="宋体" w:eastAsia="宋体" w:cs="Arial"/>
                <w:sz w:val="21"/>
                <w:szCs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3" w:type="pct"/>
            <w:vAlign w:val="center"/>
          </w:tcPr>
          <w:p>
            <w:pPr>
              <w:tabs>
                <w:tab w:val="left" w:pos="3780"/>
              </w:tabs>
              <w:ind w:right="84" w:firstLine="199" w:firstLineChars="95"/>
              <w:rPr>
                <w:rFonts w:ascii="Arial" w:hAnsi="Arial" w:cs="Arial"/>
              </w:rPr>
            </w:pPr>
            <w:r>
              <w:rPr>
                <w:rFonts w:ascii="Arial" w:hAnsi="Arial" w:cs="Arial"/>
              </w:rPr>
              <w:t>3</w:t>
            </w:r>
          </w:p>
        </w:tc>
        <w:tc>
          <w:tcPr>
            <w:tcW w:w="2116" w:type="pct"/>
            <w:gridSpan w:val="2"/>
            <w:vAlign w:val="center"/>
          </w:tcPr>
          <w:p>
            <w:pPr>
              <w:ind w:firstLine="420"/>
              <w:jc w:val="center"/>
              <w:rPr>
                <w:rFonts w:ascii="Arial" w:hAnsi="Arial" w:cs="Arial"/>
              </w:rPr>
            </w:pPr>
            <w:r>
              <w:rPr>
                <w:rFonts w:ascii="Arial" w:hAnsi="Arial" w:cs="Arial"/>
              </w:rPr>
              <w:t>3</w:t>
            </w:r>
            <w:r>
              <w:rPr>
                <w:rFonts w:ascii="Arial" w:hAnsi="宋体" w:cs="Arial"/>
              </w:rPr>
              <w:t>台冷凝器在线清洗装置清洗、塑料球更换</w:t>
            </w:r>
          </w:p>
        </w:tc>
        <w:tc>
          <w:tcPr>
            <w:tcW w:w="503" w:type="pct"/>
            <w:vAlign w:val="center"/>
          </w:tcPr>
          <w:p>
            <w:pPr>
              <w:widowControl/>
              <w:ind w:firstLine="0" w:firstLineChars="0"/>
              <w:jc w:val="center"/>
              <w:rPr>
                <w:rFonts w:ascii="Arial" w:hAnsi="Arial" w:cs="Arial"/>
              </w:rPr>
            </w:pPr>
            <w:r>
              <w:rPr>
                <w:rFonts w:ascii="Arial" w:hAnsi="Arial" w:cs="Arial"/>
              </w:rPr>
              <w:t>1</w:t>
            </w:r>
          </w:p>
        </w:tc>
        <w:tc>
          <w:tcPr>
            <w:tcW w:w="539" w:type="pct"/>
            <w:vAlign w:val="center"/>
          </w:tcPr>
          <w:p>
            <w:pPr>
              <w:ind w:firstLine="0" w:firstLineChars="0"/>
              <w:jc w:val="center"/>
              <w:rPr>
                <w:rFonts w:ascii="Arial" w:hAnsi="Arial" w:cs="Arial"/>
              </w:rPr>
            </w:pPr>
          </w:p>
        </w:tc>
        <w:tc>
          <w:tcPr>
            <w:tcW w:w="758" w:type="pct"/>
            <w:vAlign w:val="center"/>
          </w:tcPr>
          <w:p>
            <w:pPr>
              <w:ind w:firstLine="302" w:firstLineChars="144"/>
              <w:jc w:val="center"/>
              <w:rPr>
                <w:rFonts w:ascii="Arial" w:hAnsi="Arial" w:cs="Arial"/>
              </w:rPr>
            </w:pPr>
          </w:p>
        </w:tc>
        <w:tc>
          <w:tcPr>
            <w:tcW w:w="758" w:type="pct"/>
            <w:vAlign w:val="center"/>
          </w:tcPr>
          <w:p>
            <w:pPr>
              <w:widowControl/>
              <w:ind w:firstLine="0" w:firstLineChars="0"/>
              <w:jc w:val="center"/>
              <w:rPr>
                <w:rFonts w:ascii="Arial" w:hAnsi="宋体" w:cs="Arial"/>
              </w:rPr>
            </w:pPr>
            <w:r>
              <w:rPr>
                <w:rFonts w:ascii="Arial" w:hAnsi="宋体" w:eastAsia="宋体" w:cs="Arial"/>
                <w:sz w:val="21"/>
                <w:szCs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3" w:type="pct"/>
            <w:vAlign w:val="center"/>
          </w:tcPr>
          <w:p>
            <w:pPr>
              <w:tabs>
                <w:tab w:val="left" w:pos="3780"/>
              </w:tabs>
              <w:ind w:right="84" w:firstLine="199" w:firstLineChars="95"/>
              <w:rPr>
                <w:rFonts w:ascii="Arial" w:hAnsi="Arial" w:cs="Arial"/>
              </w:rPr>
            </w:pPr>
            <w:r>
              <w:rPr>
                <w:rFonts w:hint="eastAsia" w:ascii="Arial" w:hAnsi="Arial" w:cs="Arial"/>
              </w:rPr>
              <w:t>4</w:t>
            </w:r>
          </w:p>
        </w:tc>
        <w:tc>
          <w:tcPr>
            <w:tcW w:w="2116" w:type="pct"/>
            <w:gridSpan w:val="2"/>
            <w:vAlign w:val="center"/>
          </w:tcPr>
          <w:p>
            <w:pPr>
              <w:ind w:firstLine="420"/>
              <w:jc w:val="center"/>
              <w:rPr>
                <w:rFonts w:ascii="Arial" w:hAnsi="Arial" w:cs="Arial"/>
              </w:rPr>
            </w:pPr>
            <w:r>
              <w:rPr>
                <w:rFonts w:ascii="Arial" w:hAnsi="Arial" w:cs="Arial"/>
              </w:rPr>
              <w:t>2</w:t>
            </w:r>
            <w:r>
              <w:rPr>
                <w:rFonts w:ascii="Arial" w:hAnsi="宋体" w:cs="Arial"/>
              </w:rPr>
              <w:t>台</w:t>
            </w:r>
            <w:r>
              <w:rPr>
                <w:rFonts w:ascii="Arial" w:hAnsi="Arial" w:cs="Arial"/>
              </w:rPr>
              <w:t>4571kw</w:t>
            </w:r>
            <w:r>
              <w:rPr>
                <w:rFonts w:ascii="Arial" w:hAnsi="宋体" w:cs="Arial"/>
              </w:rPr>
              <w:t>板换设备药剂清洗</w:t>
            </w:r>
          </w:p>
        </w:tc>
        <w:tc>
          <w:tcPr>
            <w:tcW w:w="503" w:type="pct"/>
            <w:vAlign w:val="center"/>
          </w:tcPr>
          <w:p>
            <w:pPr>
              <w:widowControl/>
              <w:ind w:firstLine="0" w:firstLineChars="0"/>
              <w:jc w:val="center"/>
              <w:rPr>
                <w:rFonts w:ascii="Arial" w:hAnsi="Arial" w:cs="Arial"/>
              </w:rPr>
            </w:pPr>
            <w:r>
              <w:rPr>
                <w:rFonts w:ascii="Arial" w:hAnsi="Arial" w:cs="Arial"/>
              </w:rPr>
              <w:t>1</w:t>
            </w:r>
          </w:p>
        </w:tc>
        <w:tc>
          <w:tcPr>
            <w:tcW w:w="539" w:type="pct"/>
            <w:vAlign w:val="center"/>
          </w:tcPr>
          <w:p>
            <w:pPr>
              <w:ind w:firstLine="0" w:firstLineChars="0"/>
              <w:jc w:val="center"/>
              <w:rPr>
                <w:rFonts w:ascii="Arial" w:hAnsi="Arial" w:cs="Arial"/>
              </w:rPr>
            </w:pPr>
          </w:p>
        </w:tc>
        <w:tc>
          <w:tcPr>
            <w:tcW w:w="758" w:type="pct"/>
            <w:vAlign w:val="center"/>
          </w:tcPr>
          <w:p>
            <w:pPr>
              <w:ind w:firstLine="298" w:firstLineChars="142"/>
              <w:jc w:val="center"/>
              <w:rPr>
                <w:rFonts w:ascii="Arial" w:hAnsi="Arial" w:cs="Arial"/>
              </w:rPr>
            </w:pPr>
          </w:p>
        </w:tc>
        <w:tc>
          <w:tcPr>
            <w:tcW w:w="758" w:type="pct"/>
            <w:vAlign w:val="center"/>
          </w:tcPr>
          <w:p>
            <w:pPr>
              <w:widowControl/>
              <w:ind w:firstLine="0" w:firstLineChars="0"/>
              <w:jc w:val="center"/>
              <w:rPr>
                <w:rFonts w:ascii="Arial" w:hAnsi="宋体" w:cs="Arial"/>
              </w:rPr>
            </w:pPr>
            <w:r>
              <w:rPr>
                <w:rFonts w:ascii="Arial" w:hAnsi="宋体" w:eastAsia="宋体" w:cs="Arial"/>
                <w:sz w:val="21"/>
                <w:szCs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3" w:type="pct"/>
            <w:vAlign w:val="center"/>
          </w:tcPr>
          <w:p>
            <w:pPr>
              <w:tabs>
                <w:tab w:val="left" w:pos="3780"/>
              </w:tabs>
              <w:ind w:right="84" w:firstLine="199" w:firstLineChars="95"/>
              <w:rPr>
                <w:rFonts w:ascii="Arial" w:hAnsi="Arial" w:cs="Arial"/>
              </w:rPr>
            </w:pPr>
            <w:r>
              <w:rPr>
                <w:rFonts w:hint="eastAsia" w:ascii="Arial" w:hAnsi="Arial" w:cs="Arial"/>
              </w:rPr>
              <w:t>5</w:t>
            </w:r>
          </w:p>
        </w:tc>
        <w:tc>
          <w:tcPr>
            <w:tcW w:w="2116" w:type="pct"/>
            <w:gridSpan w:val="2"/>
            <w:vAlign w:val="center"/>
          </w:tcPr>
          <w:p>
            <w:pPr>
              <w:ind w:firstLine="420"/>
              <w:jc w:val="center"/>
              <w:rPr>
                <w:rFonts w:ascii="Arial" w:hAnsi="Arial" w:cs="Arial"/>
              </w:rPr>
            </w:pPr>
            <w:r>
              <w:rPr>
                <w:rFonts w:hint="eastAsia" w:ascii="Arial" w:hAnsi="宋体" w:cs="Arial"/>
              </w:rPr>
              <w:t>地下室50立方生活用水箱</w:t>
            </w:r>
            <w:r>
              <w:rPr>
                <w:rFonts w:ascii="Arial" w:hAnsi="宋体" w:cs="Arial"/>
              </w:rPr>
              <w:t>清洗除垢</w:t>
            </w:r>
          </w:p>
        </w:tc>
        <w:tc>
          <w:tcPr>
            <w:tcW w:w="503" w:type="pct"/>
            <w:vAlign w:val="center"/>
          </w:tcPr>
          <w:p>
            <w:pPr>
              <w:widowControl/>
              <w:ind w:firstLine="0" w:firstLineChars="0"/>
              <w:jc w:val="center"/>
              <w:rPr>
                <w:rFonts w:ascii="Arial" w:hAnsi="Arial" w:cs="Arial"/>
              </w:rPr>
            </w:pPr>
            <w:r>
              <w:rPr>
                <w:rFonts w:ascii="Arial" w:hAnsi="Arial" w:cs="Arial"/>
              </w:rPr>
              <w:t>1</w:t>
            </w:r>
          </w:p>
        </w:tc>
        <w:tc>
          <w:tcPr>
            <w:tcW w:w="539" w:type="pct"/>
            <w:vAlign w:val="center"/>
          </w:tcPr>
          <w:p>
            <w:pPr>
              <w:ind w:firstLine="0" w:firstLineChars="0"/>
              <w:jc w:val="center"/>
              <w:rPr>
                <w:rFonts w:ascii="Arial" w:hAnsi="Arial" w:cs="Arial"/>
              </w:rPr>
            </w:pPr>
          </w:p>
        </w:tc>
        <w:tc>
          <w:tcPr>
            <w:tcW w:w="758" w:type="pct"/>
            <w:vAlign w:val="center"/>
          </w:tcPr>
          <w:p>
            <w:pPr>
              <w:ind w:firstLine="298" w:firstLineChars="142"/>
              <w:jc w:val="center"/>
              <w:rPr>
                <w:rFonts w:ascii="Arial" w:hAnsi="Arial" w:cs="Arial"/>
              </w:rPr>
            </w:pPr>
          </w:p>
        </w:tc>
        <w:tc>
          <w:tcPr>
            <w:tcW w:w="758" w:type="pct"/>
            <w:vAlign w:val="center"/>
          </w:tcPr>
          <w:p>
            <w:pPr>
              <w:widowControl/>
              <w:ind w:firstLine="0" w:firstLineChars="0"/>
              <w:jc w:val="center"/>
              <w:rPr>
                <w:rFonts w:ascii="Arial" w:hAnsi="宋体" w:cs="Arial"/>
              </w:rPr>
            </w:pPr>
            <w:r>
              <w:rPr>
                <w:rFonts w:ascii="Arial" w:hAnsi="宋体" w:eastAsia="宋体" w:cs="Arial"/>
                <w:sz w:val="21"/>
                <w:szCs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3" w:type="pct"/>
            <w:vMerge w:val="restart"/>
            <w:vAlign w:val="center"/>
          </w:tcPr>
          <w:p>
            <w:pPr>
              <w:tabs>
                <w:tab w:val="left" w:pos="3780"/>
              </w:tabs>
              <w:ind w:right="84" w:firstLine="199" w:firstLineChars="95"/>
              <w:rPr>
                <w:rFonts w:ascii="Arial" w:hAnsi="Arial" w:cs="Arial"/>
              </w:rPr>
            </w:pPr>
            <w:r>
              <w:rPr>
                <w:rFonts w:hint="eastAsia" w:ascii="Arial" w:hAnsi="Arial" w:cs="Arial"/>
              </w:rPr>
              <w:t>6</w:t>
            </w:r>
          </w:p>
        </w:tc>
        <w:tc>
          <w:tcPr>
            <w:tcW w:w="1118" w:type="pct"/>
            <w:vMerge w:val="restart"/>
            <w:vAlign w:val="center"/>
          </w:tcPr>
          <w:p>
            <w:pPr>
              <w:jc w:val="center"/>
              <w:rPr>
                <w:rFonts w:ascii="Arial" w:hAnsi="Arial" w:cs="Arial"/>
              </w:rPr>
            </w:pPr>
            <w:r>
              <w:rPr>
                <w:rFonts w:ascii="Arial" w:hAnsi="宋体" w:cs="Arial"/>
              </w:rPr>
              <w:t>冷却水系统定期加药及药剂</w:t>
            </w:r>
          </w:p>
        </w:tc>
        <w:tc>
          <w:tcPr>
            <w:tcW w:w="997" w:type="pct"/>
            <w:vAlign w:val="center"/>
          </w:tcPr>
          <w:p>
            <w:pPr>
              <w:jc w:val="center"/>
              <w:rPr>
                <w:rFonts w:ascii="Arial" w:hAnsi="Arial" w:cs="Arial"/>
              </w:rPr>
            </w:pPr>
            <w:r>
              <w:rPr>
                <w:rFonts w:ascii="Arial" w:hAnsi="宋体" w:cs="Arial"/>
              </w:rPr>
              <w:t>清洗剂及预膜剂加药</w:t>
            </w:r>
          </w:p>
        </w:tc>
        <w:tc>
          <w:tcPr>
            <w:tcW w:w="503" w:type="pct"/>
            <w:vAlign w:val="center"/>
          </w:tcPr>
          <w:p>
            <w:pPr>
              <w:widowControl/>
              <w:ind w:firstLine="0" w:firstLineChars="0"/>
              <w:jc w:val="center"/>
              <w:rPr>
                <w:rFonts w:ascii="Arial" w:hAnsi="Arial" w:cs="Arial"/>
              </w:rPr>
            </w:pPr>
            <w:r>
              <w:rPr>
                <w:rFonts w:ascii="Arial" w:hAnsi="Arial" w:cs="Arial"/>
              </w:rPr>
              <w:t>1</w:t>
            </w:r>
          </w:p>
        </w:tc>
        <w:tc>
          <w:tcPr>
            <w:tcW w:w="539" w:type="pct"/>
            <w:vAlign w:val="center"/>
          </w:tcPr>
          <w:p>
            <w:pPr>
              <w:ind w:firstLine="0" w:firstLineChars="0"/>
              <w:jc w:val="center"/>
              <w:rPr>
                <w:rFonts w:ascii="Arial" w:hAnsi="Arial" w:cs="Arial"/>
              </w:rPr>
            </w:pPr>
          </w:p>
        </w:tc>
        <w:tc>
          <w:tcPr>
            <w:tcW w:w="758" w:type="pct"/>
            <w:vAlign w:val="center"/>
          </w:tcPr>
          <w:p>
            <w:pPr>
              <w:ind w:firstLine="298" w:firstLineChars="142"/>
              <w:jc w:val="center"/>
              <w:rPr>
                <w:rFonts w:ascii="Arial" w:hAnsi="Arial" w:cs="Arial"/>
              </w:rPr>
            </w:pPr>
          </w:p>
        </w:tc>
        <w:tc>
          <w:tcPr>
            <w:tcW w:w="758" w:type="pct"/>
            <w:vAlign w:val="center"/>
          </w:tcPr>
          <w:p>
            <w:pPr>
              <w:widowControl/>
              <w:ind w:firstLine="0"/>
              <w:jc w:val="center"/>
              <w:rPr>
                <w:rFonts w:ascii="Arial" w:hAnsi="宋体" w:cs="Arial"/>
              </w:rPr>
            </w:pPr>
            <w:r>
              <w:rPr>
                <w:rFonts w:hint="eastAsia" w:ascii="Arial" w:hAnsi="宋体" w:eastAsia="宋体" w:cs="Arial"/>
                <w:sz w:val="21"/>
                <w:szCs w:val="24"/>
              </w:rPr>
              <w:t>清洗剂、预膜剂：</w:t>
            </w:r>
            <w:r>
              <w:rPr>
                <w:rFonts w:ascii="Arial" w:hAnsi="宋体" w:eastAsia="宋体" w:cs="Arial"/>
                <w:sz w:val="21"/>
                <w:szCs w:val="24"/>
              </w:rPr>
              <w:t>1次/年；杀菌剂、灭藻剂：1次/月；阻垢缓蚀剂：1次/周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3" w:type="pct"/>
            <w:vMerge w:val="continue"/>
            <w:vAlign w:val="center"/>
          </w:tcPr>
          <w:p>
            <w:pPr>
              <w:tabs>
                <w:tab w:val="left" w:pos="3780"/>
              </w:tabs>
              <w:ind w:right="84" w:firstLine="420"/>
              <w:jc w:val="center"/>
              <w:rPr>
                <w:rFonts w:ascii="Arial" w:hAnsi="Arial" w:cs="Arial"/>
              </w:rPr>
            </w:pPr>
          </w:p>
        </w:tc>
        <w:tc>
          <w:tcPr>
            <w:tcW w:w="1118" w:type="pct"/>
            <w:vMerge w:val="continue"/>
            <w:vAlign w:val="center"/>
          </w:tcPr>
          <w:p>
            <w:pPr>
              <w:ind w:firstLine="420"/>
              <w:jc w:val="center"/>
              <w:rPr>
                <w:rFonts w:ascii="Arial" w:hAnsi="Arial" w:cs="Arial"/>
              </w:rPr>
            </w:pPr>
          </w:p>
        </w:tc>
        <w:tc>
          <w:tcPr>
            <w:tcW w:w="997" w:type="pct"/>
            <w:vAlign w:val="center"/>
          </w:tcPr>
          <w:p>
            <w:pPr>
              <w:jc w:val="center"/>
              <w:rPr>
                <w:rFonts w:ascii="Arial" w:hAnsi="Arial" w:cs="Arial"/>
              </w:rPr>
            </w:pPr>
            <w:r>
              <w:rPr>
                <w:rFonts w:ascii="Arial" w:hAnsi="宋体" w:cs="Arial"/>
              </w:rPr>
              <w:t>杀菌剂及灭藻剂加药</w:t>
            </w:r>
          </w:p>
        </w:tc>
        <w:tc>
          <w:tcPr>
            <w:tcW w:w="503" w:type="pct"/>
            <w:vAlign w:val="center"/>
          </w:tcPr>
          <w:p>
            <w:pPr>
              <w:widowControl/>
              <w:ind w:firstLine="0" w:firstLineChars="0"/>
              <w:jc w:val="center"/>
              <w:rPr>
                <w:rFonts w:ascii="Arial" w:hAnsi="Arial" w:cs="Arial"/>
              </w:rPr>
            </w:pPr>
            <w:r>
              <w:rPr>
                <w:rFonts w:ascii="Arial" w:hAnsi="Arial" w:cs="Arial"/>
              </w:rPr>
              <w:t>12</w:t>
            </w:r>
          </w:p>
        </w:tc>
        <w:tc>
          <w:tcPr>
            <w:tcW w:w="539" w:type="pct"/>
            <w:vAlign w:val="center"/>
          </w:tcPr>
          <w:p>
            <w:pPr>
              <w:ind w:firstLine="0" w:firstLineChars="0"/>
              <w:jc w:val="center"/>
              <w:rPr>
                <w:rFonts w:ascii="Arial" w:hAnsi="Arial" w:cs="Arial"/>
              </w:rPr>
            </w:pPr>
          </w:p>
        </w:tc>
        <w:tc>
          <w:tcPr>
            <w:tcW w:w="758" w:type="pct"/>
            <w:vAlign w:val="center"/>
          </w:tcPr>
          <w:p>
            <w:pPr>
              <w:ind w:firstLine="298" w:firstLineChars="142"/>
              <w:jc w:val="center"/>
              <w:rPr>
                <w:rFonts w:ascii="Arial" w:hAnsi="Arial" w:cs="Arial"/>
              </w:rPr>
            </w:pPr>
          </w:p>
        </w:tc>
        <w:tc>
          <w:tcPr>
            <w:tcW w:w="758" w:type="pct"/>
            <w:vAlign w:val="center"/>
          </w:tcPr>
          <w:p>
            <w:pPr>
              <w:widowControl/>
              <w:ind w:firstLine="0" w:firstLineChars="0"/>
              <w:jc w:val="center"/>
              <w:rPr>
                <w:rFonts w:ascii="Arial" w:hAnsi="宋体" w:cs="Arial"/>
              </w:rPr>
            </w:pPr>
            <w:r>
              <w:rPr>
                <w:rFonts w:ascii="Arial" w:hAnsi="宋体" w:eastAsia="宋体" w:cs="Arial"/>
                <w:sz w:val="21"/>
                <w:szCs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3" w:type="pct"/>
            <w:vAlign w:val="center"/>
          </w:tcPr>
          <w:p>
            <w:pPr>
              <w:tabs>
                <w:tab w:val="left" w:pos="3780"/>
              </w:tabs>
              <w:ind w:right="84"/>
              <w:jc w:val="center"/>
              <w:rPr>
                <w:rFonts w:ascii="Arial" w:hAnsi="Arial" w:cs="Arial"/>
              </w:rPr>
            </w:pPr>
            <w:r>
              <w:rPr>
                <w:rFonts w:hint="eastAsia" w:ascii="Arial" w:hAnsi="Arial" w:cs="Arial"/>
              </w:rPr>
              <w:t>7</w:t>
            </w:r>
          </w:p>
        </w:tc>
        <w:tc>
          <w:tcPr>
            <w:tcW w:w="1118" w:type="pct"/>
            <w:vAlign w:val="center"/>
          </w:tcPr>
          <w:p>
            <w:pPr>
              <w:jc w:val="center"/>
              <w:rPr>
                <w:rFonts w:ascii="Arial" w:hAnsi="Arial" w:cs="Arial"/>
              </w:rPr>
            </w:pPr>
            <w:r>
              <w:rPr>
                <w:rFonts w:ascii="Arial" w:hAnsi="宋体" w:cs="Arial"/>
              </w:rPr>
              <w:t>冷冻水系统定期加药及药剂</w:t>
            </w:r>
          </w:p>
        </w:tc>
        <w:tc>
          <w:tcPr>
            <w:tcW w:w="997" w:type="pct"/>
            <w:vAlign w:val="center"/>
          </w:tcPr>
          <w:p>
            <w:pPr>
              <w:jc w:val="center"/>
              <w:rPr>
                <w:rFonts w:ascii="Arial" w:hAnsi="Arial" w:cs="Arial"/>
              </w:rPr>
            </w:pPr>
            <w:r>
              <w:rPr>
                <w:rFonts w:ascii="Arial" w:hAnsi="宋体" w:cs="Arial"/>
              </w:rPr>
              <w:t>阻垢缓蚀剂加药</w:t>
            </w:r>
          </w:p>
        </w:tc>
        <w:tc>
          <w:tcPr>
            <w:tcW w:w="503" w:type="pct"/>
            <w:vAlign w:val="center"/>
          </w:tcPr>
          <w:p>
            <w:pPr>
              <w:widowControl/>
              <w:ind w:firstLine="0" w:firstLineChars="0"/>
              <w:jc w:val="center"/>
              <w:rPr>
                <w:rFonts w:ascii="Arial" w:hAnsi="Arial" w:cs="Arial"/>
              </w:rPr>
            </w:pPr>
            <w:r>
              <w:rPr>
                <w:rFonts w:ascii="Arial" w:hAnsi="Arial" w:cs="Arial"/>
              </w:rPr>
              <w:t>52</w:t>
            </w:r>
          </w:p>
        </w:tc>
        <w:tc>
          <w:tcPr>
            <w:tcW w:w="539" w:type="pct"/>
            <w:vAlign w:val="center"/>
          </w:tcPr>
          <w:p>
            <w:pPr>
              <w:ind w:firstLine="0" w:firstLineChars="0"/>
              <w:jc w:val="center"/>
              <w:rPr>
                <w:rFonts w:ascii="Arial" w:hAnsi="Arial" w:cs="Arial"/>
              </w:rPr>
            </w:pPr>
          </w:p>
        </w:tc>
        <w:tc>
          <w:tcPr>
            <w:tcW w:w="758" w:type="pct"/>
            <w:vAlign w:val="center"/>
          </w:tcPr>
          <w:p>
            <w:pPr>
              <w:ind w:firstLine="401" w:firstLineChars="191"/>
              <w:jc w:val="center"/>
              <w:rPr>
                <w:rFonts w:ascii="Arial" w:hAnsi="Arial" w:cs="Arial"/>
              </w:rPr>
            </w:pPr>
          </w:p>
        </w:tc>
        <w:tc>
          <w:tcPr>
            <w:tcW w:w="758" w:type="pct"/>
            <w:vAlign w:val="center"/>
          </w:tcPr>
          <w:p>
            <w:pPr>
              <w:widowControl/>
              <w:ind w:firstLine="0" w:firstLineChars="0"/>
              <w:jc w:val="center"/>
              <w:rPr>
                <w:rFonts w:ascii="Arial" w:hAnsi="宋体" w:cs="Arial"/>
              </w:rPr>
            </w:pPr>
            <w:r>
              <w:rPr>
                <w:rFonts w:ascii="Arial" w:hAnsi="宋体" w:eastAsia="宋体" w:cs="Arial"/>
                <w:sz w:val="21"/>
                <w:szCs w:val="24"/>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4" w:hRule="atLeast"/>
        </w:trPr>
        <w:tc>
          <w:tcPr>
            <w:tcW w:w="323" w:type="pct"/>
            <w:vAlign w:val="center"/>
          </w:tcPr>
          <w:p>
            <w:pPr>
              <w:tabs>
                <w:tab w:val="left" w:pos="3780"/>
              </w:tabs>
              <w:ind w:right="84"/>
              <w:jc w:val="center"/>
              <w:rPr>
                <w:rFonts w:ascii="Arial" w:hAnsi="Arial" w:cs="Arial"/>
              </w:rPr>
            </w:pPr>
            <w:r>
              <w:rPr>
                <w:rFonts w:hint="eastAsia" w:ascii="Arial" w:hAnsi="Arial" w:cs="Arial"/>
              </w:rPr>
              <w:t>8</w:t>
            </w:r>
          </w:p>
        </w:tc>
        <w:tc>
          <w:tcPr>
            <w:tcW w:w="2116" w:type="pct"/>
            <w:gridSpan w:val="2"/>
            <w:vAlign w:val="center"/>
          </w:tcPr>
          <w:p>
            <w:pPr>
              <w:ind w:firstLine="420"/>
              <w:jc w:val="center"/>
              <w:rPr>
                <w:rFonts w:ascii="Arial" w:hAnsi="Arial" w:cs="Arial"/>
              </w:rPr>
            </w:pPr>
            <w:r>
              <w:rPr>
                <w:rFonts w:ascii="Arial" w:hAnsi="宋体" w:cs="Arial"/>
              </w:rPr>
              <w:t>屋顶</w:t>
            </w:r>
            <w:r>
              <w:rPr>
                <w:rFonts w:ascii="Arial" w:hAnsi="Arial" w:cs="Arial"/>
              </w:rPr>
              <w:t>50</w:t>
            </w:r>
            <w:r>
              <w:rPr>
                <w:rFonts w:ascii="Arial" w:hAnsi="宋体" w:cs="Arial"/>
              </w:rPr>
              <w:t>立方空调补水水箱清洗除垢</w:t>
            </w:r>
          </w:p>
        </w:tc>
        <w:tc>
          <w:tcPr>
            <w:tcW w:w="503" w:type="pct"/>
            <w:vAlign w:val="center"/>
          </w:tcPr>
          <w:p>
            <w:pPr>
              <w:widowControl/>
              <w:ind w:firstLine="0" w:firstLineChars="0"/>
              <w:jc w:val="center"/>
              <w:rPr>
                <w:rFonts w:ascii="Arial" w:hAnsi="Arial" w:cs="Arial"/>
              </w:rPr>
            </w:pPr>
            <w:r>
              <w:rPr>
                <w:rFonts w:ascii="Arial" w:hAnsi="Arial" w:cs="Arial"/>
              </w:rPr>
              <w:t>1</w:t>
            </w:r>
          </w:p>
        </w:tc>
        <w:tc>
          <w:tcPr>
            <w:tcW w:w="539" w:type="pct"/>
            <w:vAlign w:val="center"/>
          </w:tcPr>
          <w:p>
            <w:pPr>
              <w:ind w:firstLine="0"/>
              <w:jc w:val="center"/>
              <w:rPr>
                <w:rFonts w:ascii="Arial" w:hAnsi="Arial" w:cs="Arial"/>
              </w:rPr>
            </w:pPr>
          </w:p>
        </w:tc>
        <w:tc>
          <w:tcPr>
            <w:tcW w:w="758" w:type="pct"/>
            <w:vAlign w:val="center"/>
          </w:tcPr>
          <w:p>
            <w:pPr>
              <w:ind w:firstLine="420"/>
              <w:jc w:val="center"/>
              <w:rPr>
                <w:rFonts w:ascii="Arial" w:hAnsi="Arial" w:cs="Arial"/>
              </w:rPr>
            </w:pPr>
          </w:p>
        </w:tc>
        <w:tc>
          <w:tcPr>
            <w:tcW w:w="758" w:type="pct"/>
            <w:vAlign w:val="center"/>
          </w:tcPr>
          <w:p>
            <w:pPr>
              <w:widowControl/>
              <w:ind w:firstLine="0" w:firstLineChars="0"/>
              <w:jc w:val="center"/>
              <w:rPr>
                <w:rFonts w:ascii="Arial" w:hAnsi="宋体" w:cs="Arial"/>
              </w:rPr>
            </w:pPr>
            <w:r>
              <w:rPr>
                <w:rFonts w:ascii="Arial" w:hAnsi="宋体" w:eastAsia="宋体" w:cs="Arial"/>
                <w:sz w:val="21"/>
                <w:szCs w:val="24"/>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3" w:type="pct"/>
            <w:vAlign w:val="center"/>
          </w:tcPr>
          <w:p>
            <w:pPr>
              <w:tabs>
                <w:tab w:val="left" w:pos="3780"/>
              </w:tabs>
              <w:ind w:right="84"/>
              <w:jc w:val="center"/>
              <w:rPr>
                <w:rFonts w:ascii="Arial" w:hAnsi="Arial" w:cs="Arial"/>
              </w:rPr>
            </w:pPr>
            <w:r>
              <w:rPr>
                <w:rFonts w:hint="eastAsia" w:ascii="Arial" w:hAnsi="Arial" w:cs="Arial"/>
              </w:rPr>
              <w:t>9</w:t>
            </w:r>
          </w:p>
        </w:tc>
        <w:tc>
          <w:tcPr>
            <w:tcW w:w="2116" w:type="pct"/>
            <w:gridSpan w:val="2"/>
            <w:vAlign w:val="center"/>
          </w:tcPr>
          <w:p>
            <w:pPr>
              <w:ind w:firstLine="420"/>
              <w:jc w:val="center"/>
              <w:rPr>
                <w:rFonts w:ascii="Arial" w:hAnsi="Arial" w:cs="Arial"/>
              </w:rPr>
            </w:pPr>
            <w:r>
              <w:rPr>
                <w:rFonts w:ascii="Arial" w:hAnsi="宋体" w:cs="Arial"/>
              </w:rPr>
              <w:t>屋顶</w:t>
            </w:r>
            <w:r>
              <w:rPr>
                <w:rFonts w:ascii="Arial" w:hAnsi="Arial" w:cs="Arial"/>
              </w:rPr>
              <w:t>4</w:t>
            </w:r>
            <w:r>
              <w:rPr>
                <w:rFonts w:ascii="Arial" w:hAnsi="宋体" w:cs="Arial"/>
              </w:rPr>
              <w:t>台</w:t>
            </w:r>
            <w:r>
              <w:rPr>
                <w:rFonts w:ascii="Arial" w:hAnsi="Arial" w:cs="Arial"/>
              </w:rPr>
              <w:t>BAC</w:t>
            </w:r>
            <w:r>
              <w:rPr>
                <w:rFonts w:ascii="Arial" w:hAnsi="宋体" w:cs="Arial"/>
              </w:rPr>
              <w:t>冷却塔清洗除垢</w:t>
            </w:r>
          </w:p>
        </w:tc>
        <w:tc>
          <w:tcPr>
            <w:tcW w:w="503" w:type="pct"/>
            <w:vAlign w:val="center"/>
          </w:tcPr>
          <w:p>
            <w:pPr>
              <w:widowControl/>
              <w:ind w:firstLine="0" w:firstLineChars="0"/>
              <w:jc w:val="center"/>
              <w:rPr>
                <w:rFonts w:ascii="Arial" w:hAnsi="Arial" w:cs="Arial"/>
              </w:rPr>
            </w:pPr>
            <w:r>
              <w:rPr>
                <w:rFonts w:ascii="Arial" w:hAnsi="Arial" w:cs="Arial"/>
              </w:rPr>
              <w:t>12</w:t>
            </w:r>
          </w:p>
        </w:tc>
        <w:tc>
          <w:tcPr>
            <w:tcW w:w="539" w:type="pct"/>
            <w:vAlign w:val="center"/>
          </w:tcPr>
          <w:p>
            <w:pPr>
              <w:ind w:firstLine="0" w:firstLineChars="0"/>
              <w:jc w:val="center"/>
              <w:rPr>
                <w:rFonts w:ascii="Arial" w:hAnsi="Arial" w:cs="Arial"/>
              </w:rPr>
            </w:pPr>
          </w:p>
        </w:tc>
        <w:tc>
          <w:tcPr>
            <w:tcW w:w="758" w:type="pct"/>
            <w:vAlign w:val="center"/>
          </w:tcPr>
          <w:p>
            <w:pPr>
              <w:ind w:firstLine="302" w:firstLineChars="144"/>
              <w:jc w:val="center"/>
              <w:rPr>
                <w:rFonts w:ascii="Arial" w:hAnsi="Arial" w:cs="Arial"/>
              </w:rPr>
            </w:pPr>
          </w:p>
        </w:tc>
        <w:tc>
          <w:tcPr>
            <w:tcW w:w="758" w:type="pct"/>
            <w:vAlign w:val="center"/>
          </w:tcPr>
          <w:p>
            <w:pPr>
              <w:widowControl/>
              <w:ind w:firstLine="0" w:firstLineChars="0"/>
              <w:jc w:val="center"/>
              <w:rPr>
                <w:rFonts w:ascii="Arial" w:hAnsi="宋体" w:cs="Arial"/>
              </w:rPr>
            </w:pPr>
            <w:r>
              <w:rPr>
                <w:rFonts w:ascii="Arial" w:hAnsi="宋体" w:eastAsia="宋体" w:cs="Arial"/>
                <w:sz w:val="21"/>
                <w:szCs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3" w:type="pct"/>
            <w:vAlign w:val="center"/>
          </w:tcPr>
          <w:p>
            <w:pPr>
              <w:tabs>
                <w:tab w:val="left" w:pos="3780"/>
              </w:tabs>
              <w:ind w:right="84"/>
              <w:jc w:val="center"/>
              <w:rPr>
                <w:rFonts w:ascii="Arial" w:hAnsi="Arial" w:cs="Arial"/>
              </w:rPr>
            </w:pPr>
            <w:r>
              <w:rPr>
                <w:rFonts w:ascii="Arial" w:hAnsi="Arial" w:cs="Arial"/>
              </w:rPr>
              <w:t>1</w:t>
            </w:r>
            <w:r>
              <w:rPr>
                <w:rFonts w:hint="eastAsia" w:ascii="Arial" w:hAnsi="Arial" w:cs="Arial"/>
              </w:rPr>
              <w:t>0</w:t>
            </w:r>
          </w:p>
        </w:tc>
        <w:tc>
          <w:tcPr>
            <w:tcW w:w="2116" w:type="pct"/>
            <w:gridSpan w:val="2"/>
            <w:vAlign w:val="center"/>
          </w:tcPr>
          <w:p>
            <w:pPr>
              <w:ind w:firstLine="420"/>
              <w:jc w:val="center"/>
              <w:rPr>
                <w:rFonts w:ascii="Arial" w:hAnsi="Arial" w:cs="Arial"/>
              </w:rPr>
            </w:pPr>
            <w:r>
              <w:rPr>
                <w:rFonts w:ascii="Arial" w:hAnsi="Arial" w:cs="Arial"/>
              </w:rPr>
              <w:t>3</w:t>
            </w:r>
            <w:r>
              <w:rPr>
                <w:rFonts w:ascii="Arial" w:hAnsi="宋体" w:cs="Arial"/>
              </w:rPr>
              <w:t>台冷却塔水清器清洗除垢</w:t>
            </w:r>
          </w:p>
        </w:tc>
        <w:tc>
          <w:tcPr>
            <w:tcW w:w="503" w:type="pct"/>
            <w:vAlign w:val="center"/>
          </w:tcPr>
          <w:p>
            <w:pPr>
              <w:widowControl/>
              <w:ind w:firstLine="0" w:firstLineChars="0"/>
              <w:jc w:val="center"/>
              <w:rPr>
                <w:rFonts w:ascii="Arial" w:hAnsi="Arial" w:cs="Arial"/>
              </w:rPr>
            </w:pPr>
            <w:r>
              <w:rPr>
                <w:rFonts w:ascii="Arial" w:hAnsi="Arial" w:cs="Arial"/>
              </w:rPr>
              <w:t>12</w:t>
            </w:r>
          </w:p>
        </w:tc>
        <w:tc>
          <w:tcPr>
            <w:tcW w:w="539" w:type="pct"/>
            <w:vAlign w:val="center"/>
          </w:tcPr>
          <w:p>
            <w:pPr>
              <w:ind w:firstLine="0" w:firstLineChars="0"/>
              <w:jc w:val="center"/>
              <w:rPr>
                <w:rFonts w:ascii="Arial" w:hAnsi="Arial" w:cs="Arial"/>
              </w:rPr>
            </w:pPr>
          </w:p>
        </w:tc>
        <w:tc>
          <w:tcPr>
            <w:tcW w:w="758" w:type="pct"/>
            <w:vAlign w:val="center"/>
          </w:tcPr>
          <w:p>
            <w:pPr>
              <w:ind w:firstLine="401" w:firstLineChars="191"/>
              <w:jc w:val="center"/>
              <w:rPr>
                <w:rFonts w:ascii="Arial" w:hAnsi="Arial" w:cs="Arial"/>
              </w:rPr>
            </w:pPr>
          </w:p>
        </w:tc>
        <w:tc>
          <w:tcPr>
            <w:tcW w:w="758" w:type="pct"/>
            <w:vAlign w:val="center"/>
          </w:tcPr>
          <w:p>
            <w:pPr>
              <w:widowControl/>
              <w:ind w:firstLine="0" w:firstLineChars="0"/>
              <w:jc w:val="center"/>
              <w:rPr>
                <w:rFonts w:ascii="Arial" w:hAnsi="宋体" w:cs="Arial"/>
              </w:rPr>
            </w:pPr>
            <w:r>
              <w:rPr>
                <w:rFonts w:ascii="Arial" w:hAnsi="宋体" w:eastAsia="宋体" w:cs="Arial"/>
                <w:sz w:val="21"/>
                <w:szCs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3" w:type="pct"/>
            <w:vAlign w:val="center"/>
          </w:tcPr>
          <w:p>
            <w:pPr>
              <w:tabs>
                <w:tab w:val="left" w:pos="3780"/>
              </w:tabs>
              <w:ind w:right="84"/>
              <w:jc w:val="center"/>
              <w:rPr>
                <w:rFonts w:ascii="Arial" w:hAnsi="Arial" w:cs="Arial"/>
              </w:rPr>
            </w:pPr>
            <w:r>
              <w:rPr>
                <w:rFonts w:ascii="Arial" w:hAnsi="Arial" w:cs="Arial"/>
              </w:rPr>
              <w:t>1</w:t>
            </w:r>
            <w:r>
              <w:rPr>
                <w:rFonts w:hint="eastAsia" w:ascii="Arial" w:hAnsi="Arial" w:cs="Arial"/>
              </w:rPr>
              <w:t>1</w:t>
            </w:r>
          </w:p>
        </w:tc>
        <w:tc>
          <w:tcPr>
            <w:tcW w:w="2116" w:type="pct"/>
            <w:gridSpan w:val="2"/>
            <w:vAlign w:val="center"/>
          </w:tcPr>
          <w:p>
            <w:pPr>
              <w:ind w:firstLine="420"/>
              <w:jc w:val="center"/>
              <w:rPr>
                <w:rFonts w:ascii="Arial" w:hAnsi="Arial" w:cs="Arial"/>
              </w:rPr>
            </w:pPr>
            <w:r>
              <w:rPr>
                <w:rFonts w:ascii="Arial" w:hAnsi="宋体" w:cs="Arial"/>
              </w:rPr>
              <w:t>屋顶软化水装置定期清洗检测</w:t>
            </w:r>
          </w:p>
        </w:tc>
        <w:tc>
          <w:tcPr>
            <w:tcW w:w="503" w:type="pct"/>
            <w:vAlign w:val="center"/>
          </w:tcPr>
          <w:p>
            <w:pPr>
              <w:widowControl/>
              <w:ind w:firstLine="405" w:firstLineChars="193"/>
              <w:jc w:val="center"/>
              <w:rPr>
                <w:rFonts w:ascii="Arial" w:hAnsi="Arial" w:cs="Arial"/>
              </w:rPr>
            </w:pPr>
            <w:r>
              <w:rPr>
                <w:rFonts w:ascii="Arial" w:hAnsi="Arial" w:cs="Arial"/>
              </w:rPr>
              <w:t>1</w:t>
            </w:r>
          </w:p>
        </w:tc>
        <w:tc>
          <w:tcPr>
            <w:tcW w:w="539" w:type="pct"/>
            <w:vAlign w:val="center"/>
          </w:tcPr>
          <w:p>
            <w:pPr>
              <w:ind w:firstLine="0" w:firstLineChars="0"/>
              <w:jc w:val="center"/>
              <w:rPr>
                <w:rFonts w:ascii="Arial" w:hAnsi="Arial" w:cs="Arial"/>
              </w:rPr>
            </w:pPr>
          </w:p>
        </w:tc>
        <w:tc>
          <w:tcPr>
            <w:tcW w:w="758" w:type="pct"/>
            <w:vAlign w:val="center"/>
          </w:tcPr>
          <w:p>
            <w:pPr>
              <w:ind w:firstLine="302" w:firstLineChars="144"/>
              <w:jc w:val="center"/>
              <w:rPr>
                <w:rFonts w:ascii="Arial" w:hAnsi="Arial" w:cs="Arial"/>
              </w:rPr>
            </w:pPr>
          </w:p>
        </w:tc>
        <w:tc>
          <w:tcPr>
            <w:tcW w:w="758" w:type="pct"/>
            <w:vAlign w:val="center"/>
          </w:tcPr>
          <w:p>
            <w:pPr>
              <w:widowControl/>
              <w:spacing w:line="240" w:lineRule="auto"/>
              <w:jc w:val="center"/>
              <w:rPr>
                <w:rFonts w:ascii="Arial" w:hAnsi="宋体" w:cs="Arial"/>
              </w:rPr>
            </w:pPr>
            <w:r>
              <w:rPr>
                <w:rFonts w:ascii="Arial" w:hAnsi="宋体" w:eastAsia="宋体" w:cs="Arial"/>
                <w:sz w:val="21"/>
                <w:szCs w:val="24"/>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3" w:type="pct"/>
            <w:vAlign w:val="center"/>
          </w:tcPr>
          <w:p>
            <w:pPr>
              <w:tabs>
                <w:tab w:val="left" w:pos="3780"/>
              </w:tabs>
              <w:ind w:right="84"/>
              <w:jc w:val="center"/>
              <w:rPr>
                <w:rFonts w:ascii="Arial" w:hAnsi="Arial" w:cs="Arial"/>
              </w:rPr>
            </w:pPr>
            <w:r>
              <w:rPr>
                <w:rFonts w:ascii="Arial" w:hAnsi="Arial" w:cs="Arial"/>
              </w:rPr>
              <w:t>1</w:t>
            </w:r>
            <w:r>
              <w:rPr>
                <w:rFonts w:hint="eastAsia" w:ascii="Arial" w:hAnsi="Arial" w:cs="Arial"/>
              </w:rPr>
              <w:t>2</w:t>
            </w:r>
          </w:p>
        </w:tc>
        <w:tc>
          <w:tcPr>
            <w:tcW w:w="2116" w:type="pct"/>
            <w:gridSpan w:val="2"/>
            <w:vAlign w:val="center"/>
          </w:tcPr>
          <w:p>
            <w:pPr>
              <w:jc w:val="center"/>
              <w:rPr>
                <w:rFonts w:ascii="Arial" w:hAnsi="Arial" w:cs="Arial"/>
              </w:rPr>
            </w:pPr>
            <w:r>
              <w:rPr>
                <w:rFonts w:ascii="Arial" w:hAnsi="Arial" w:cs="Arial"/>
              </w:rPr>
              <w:t>34</w:t>
            </w:r>
            <w:r>
              <w:rPr>
                <w:rFonts w:ascii="Arial" w:hAnsi="宋体" w:cs="Arial"/>
              </w:rPr>
              <w:t>台末端机房空调</w:t>
            </w:r>
            <w:r>
              <w:rPr>
                <w:rFonts w:ascii="Arial" w:hAnsi="Arial" w:cs="Arial"/>
              </w:rPr>
              <w:t>Y</w:t>
            </w:r>
            <w:r>
              <w:rPr>
                <w:rFonts w:ascii="Arial" w:hAnsi="宋体" w:cs="Arial"/>
              </w:rPr>
              <w:t>型过滤器清洗、密封及螺丝更换</w:t>
            </w:r>
          </w:p>
        </w:tc>
        <w:tc>
          <w:tcPr>
            <w:tcW w:w="503" w:type="pct"/>
            <w:vAlign w:val="center"/>
          </w:tcPr>
          <w:p>
            <w:pPr>
              <w:widowControl/>
              <w:ind w:firstLine="405" w:firstLineChars="193"/>
              <w:jc w:val="center"/>
              <w:rPr>
                <w:rFonts w:ascii="Arial" w:hAnsi="Arial" w:cs="Arial"/>
              </w:rPr>
            </w:pPr>
            <w:r>
              <w:rPr>
                <w:rFonts w:ascii="Arial" w:hAnsi="Arial" w:cs="Arial"/>
              </w:rPr>
              <w:t>1</w:t>
            </w:r>
          </w:p>
        </w:tc>
        <w:tc>
          <w:tcPr>
            <w:tcW w:w="539" w:type="pct"/>
            <w:vAlign w:val="center"/>
          </w:tcPr>
          <w:p>
            <w:pPr>
              <w:ind w:firstLine="0" w:firstLineChars="0"/>
              <w:jc w:val="center"/>
              <w:rPr>
                <w:rFonts w:ascii="Arial" w:hAnsi="Arial" w:cs="Arial"/>
              </w:rPr>
            </w:pPr>
          </w:p>
        </w:tc>
        <w:tc>
          <w:tcPr>
            <w:tcW w:w="758" w:type="pct"/>
            <w:vAlign w:val="center"/>
          </w:tcPr>
          <w:p>
            <w:pPr>
              <w:ind w:firstLine="298" w:firstLineChars="142"/>
              <w:jc w:val="center"/>
              <w:rPr>
                <w:rFonts w:ascii="Arial" w:hAnsi="Arial" w:cs="Arial"/>
              </w:rPr>
            </w:pPr>
          </w:p>
        </w:tc>
        <w:tc>
          <w:tcPr>
            <w:tcW w:w="758" w:type="pct"/>
            <w:vAlign w:val="center"/>
          </w:tcPr>
          <w:p>
            <w:pPr>
              <w:ind w:right="0" w:firstLine="0" w:firstLineChars="0"/>
              <w:jc w:val="center"/>
              <w:rPr>
                <w:rFonts w:ascii="Arial" w:hAnsi="宋体" w:cs="Arial"/>
              </w:rPr>
            </w:pPr>
            <w:r>
              <w:rPr>
                <w:rFonts w:ascii="Arial" w:hAnsi="宋体" w:eastAsia="宋体" w:cs="Arial"/>
                <w:sz w:val="21"/>
                <w:szCs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3" w:type="pct"/>
            <w:vAlign w:val="center"/>
          </w:tcPr>
          <w:p>
            <w:pPr>
              <w:tabs>
                <w:tab w:val="left" w:pos="3780"/>
              </w:tabs>
              <w:ind w:right="84"/>
              <w:jc w:val="center"/>
              <w:rPr>
                <w:rFonts w:ascii="Arial" w:hAnsi="Arial" w:cs="Arial"/>
              </w:rPr>
            </w:pPr>
            <w:r>
              <w:rPr>
                <w:rFonts w:hint="eastAsia" w:ascii="Arial" w:hAnsi="Arial" w:cs="Arial"/>
              </w:rPr>
              <w:t>13</w:t>
            </w:r>
          </w:p>
        </w:tc>
        <w:tc>
          <w:tcPr>
            <w:tcW w:w="2116" w:type="pct"/>
            <w:gridSpan w:val="2"/>
            <w:vAlign w:val="center"/>
          </w:tcPr>
          <w:p>
            <w:pPr>
              <w:ind w:firstLine="420"/>
              <w:jc w:val="center"/>
              <w:rPr>
                <w:rFonts w:ascii="Arial" w:hAnsi="Arial" w:cs="Arial"/>
              </w:rPr>
            </w:pPr>
            <w:r>
              <w:rPr>
                <w:rFonts w:ascii="Arial" w:hAnsi="宋体" w:cs="Arial"/>
              </w:rPr>
              <w:t>全系统水质测试分析</w:t>
            </w:r>
          </w:p>
        </w:tc>
        <w:tc>
          <w:tcPr>
            <w:tcW w:w="503" w:type="pct"/>
            <w:vAlign w:val="center"/>
          </w:tcPr>
          <w:p>
            <w:pPr>
              <w:widowControl/>
              <w:ind w:firstLine="298" w:firstLineChars="142"/>
              <w:jc w:val="center"/>
              <w:rPr>
                <w:rFonts w:ascii="Arial" w:hAnsi="Arial" w:cs="Arial"/>
              </w:rPr>
            </w:pPr>
            <w:r>
              <w:rPr>
                <w:rFonts w:ascii="Arial" w:hAnsi="Arial" w:cs="Arial"/>
              </w:rPr>
              <w:t>12</w:t>
            </w:r>
          </w:p>
        </w:tc>
        <w:tc>
          <w:tcPr>
            <w:tcW w:w="539" w:type="pct"/>
            <w:vAlign w:val="center"/>
          </w:tcPr>
          <w:p>
            <w:pPr>
              <w:ind w:firstLine="0" w:firstLineChars="0"/>
              <w:jc w:val="center"/>
              <w:rPr>
                <w:rFonts w:ascii="Arial" w:hAnsi="Arial" w:cs="Arial"/>
              </w:rPr>
            </w:pPr>
          </w:p>
        </w:tc>
        <w:tc>
          <w:tcPr>
            <w:tcW w:w="758" w:type="pct"/>
            <w:vAlign w:val="center"/>
          </w:tcPr>
          <w:p>
            <w:pPr>
              <w:ind w:firstLine="405" w:firstLineChars="193"/>
              <w:jc w:val="center"/>
              <w:rPr>
                <w:rFonts w:ascii="Arial" w:hAnsi="Arial" w:cs="Arial"/>
              </w:rPr>
            </w:pPr>
          </w:p>
        </w:tc>
        <w:tc>
          <w:tcPr>
            <w:tcW w:w="758" w:type="pct"/>
            <w:vAlign w:val="center"/>
          </w:tcPr>
          <w:p>
            <w:pPr>
              <w:ind w:right="0" w:firstLine="0" w:firstLineChars="0"/>
              <w:jc w:val="center"/>
              <w:rPr>
                <w:rFonts w:ascii="Arial" w:hAnsi="宋体" w:cs="Arial"/>
              </w:rPr>
            </w:pPr>
            <w:r>
              <w:rPr>
                <w:rFonts w:ascii="Arial" w:hAnsi="宋体" w:eastAsia="宋体" w:cs="Arial"/>
                <w:sz w:val="21"/>
                <w:szCs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439" w:type="pct"/>
            <w:gridSpan w:val="3"/>
            <w:vAlign w:val="center"/>
          </w:tcPr>
          <w:p>
            <w:pPr>
              <w:tabs>
                <w:tab w:val="left" w:pos="3780"/>
              </w:tabs>
              <w:ind w:right="84" w:firstLine="420"/>
              <w:jc w:val="center"/>
              <w:rPr>
                <w:rFonts w:hint="eastAsia" w:ascii="Arial" w:hAnsi="宋体" w:cs="Arial"/>
              </w:rPr>
            </w:pPr>
            <w:r>
              <w:rPr>
                <w:rFonts w:hint="eastAsia" w:ascii="Arial" w:hAnsi="宋体" w:cs="Arial"/>
              </w:rPr>
              <w:t>投标总报价</w:t>
            </w:r>
            <w:r>
              <w:rPr>
                <w:rFonts w:ascii="Arial" w:hAnsi="宋体" w:cs="Arial"/>
              </w:rPr>
              <w:t>（元）</w:t>
            </w:r>
          </w:p>
        </w:tc>
        <w:tc>
          <w:tcPr>
            <w:tcW w:w="2560" w:type="pct"/>
            <w:gridSpan w:val="4"/>
            <w:vAlign w:val="center"/>
          </w:tcPr>
          <w:p>
            <w:pPr>
              <w:widowControl/>
              <w:ind w:firstLine="0" w:firstLineChars="0"/>
              <w:jc w:val="center"/>
              <w:rPr>
                <w:rFonts w:ascii="Arial" w:hAnsi="宋体" w:cs="Arial"/>
              </w:rPr>
            </w:pPr>
          </w:p>
        </w:tc>
      </w:tr>
    </w:tbl>
    <w:p>
      <w:pPr>
        <w:numPr>
          <w:ilvl w:val="255"/>
          <w:numId w:val="0"/>
        </w:numPr>
      </w:pPr>
    </w:p>
    <w:p>
      <w:pPr>
        <w:widowControl/>
        <w:jc w:val="left"/>
        <w:textAlignment w:val="top"/>
        <w:rPr>
          <w:rFonts w:ascii="宋体" w:hAnsi="宋体" w:cs="宋体"/>
          <w:kern w:val="0"/>
          <w:sz w:val="22"/>
          <w:szCs w:val="22"/>
          <w:lang w:bidi="ar"/>
        </w:rPr>
      </w:pPr>
    </w:p>
    <w:p>
      <w:pPr>
        <w:spacing w:line="360" w:lineRule="auto"/>
        <w:ind w:left="2" w:leftChars="1"/>
        <w:rPr>
          <w:sz w:val="24"/>
          <w:lang w:val="zh-CN"/>
        </w:rPr>
      </w:pPr>
      <w:r>
        <w:rPr>
          <w:rFonts w:hint="eastAsia"/>
          <w:sz w:val="24"/>
          <w:lang w:val="zh-CN"/>
        </w:rPr>
        <w:t>注：</w:t>
      </w:r>
    </w:p>
    <w:p>
      <w:pPr>
        <w:spacing w:after="120"/>
        <w:ind w:firstLine="240" w:firstLineChars="100"/>
        <w:rPr>
          <w:sz w:val="24"/>
        </w:rPr>
      </w:pPr>
      <w:r>
        <w:rPr>
          <w:sz w:val="24"/>
        </w:rPr>
        <w:t>1.</w:t>
      </w:r>
      <w:r>
        <w:rPr>
          <w:rFonts w:hint="eastAsia"/>
          <w:sz w:val="24"/>
        </w:rPr>
        <w:t>此表的投标总价是所有需采购人支付的本次采购标的金额总数即</w:t>
      </w:r>
      <w:r>
        <w:rPr>
          <w:rFonts w:hint="eastAsia"/>
          <w:b/>
          <w:sz w:val="24"/>
        </w:rPr>
        <w:t>投标总报价</w:t>
      </w:r>
      <w:r>
        <w:rPr>
          <w:rFonts w:hint="eastAsia"/>
          <w:sz w:val="24"/>
        </w:rPr>
        <w:t>。</w:t>
      </w:r>
    </w:p>
    <w:p>
      <w:pPr>
        <w:spacing w:after="120"/>
        <w:ind w:firstLine="240" w:firstLineChars="100"/>
        <w:rPr>
          <w:sz w:val="24"/>
        </w:rPr>
      </w:pPr>
      <w:r>
        <w:rPr>
          <w:sz w:val="24"/>
        </w:rPr>
        <w:t>2.</w:t>
      </w:r>
      <w:r>
        <w:rPr>
          <w:rFonts w:hint="eastAsia"/>
          <w:sz w:val="24"/>
        </w:rPr>
        <w:t>投标总价栏用文字和数字两种方式表示投标总价。</w:t>
      </w:r>
    </w:p>
    <w:p>
      <w:pPr>
        <w:spacing w:after="120"/>
        <w:ind w:firstLine="240" w:firstLineChars="100"/>
        <w:rPr>
          <w:sz w:val="24"/>
        </w:rPr>
      </w:pPr>
      <w:r>
        <w:rPr>
          <w:sz w:val="24"/>
        </w:rPr>
        <w:t>3.</w:t>
      </w:r>
      <w:r>
        <w:rPr>
          <w:rFonts w:hint="eastAsia"/>
          <w:sz w:val="24"/>
        </w:rPr>
        <w:t>投标总价的大小写不一致的，以大写为准。</w:t>
      </w:r>
    </w:p>
    <w:p>
      <w:pPr>
        <w:spacing w:line="360" w:lineRule="auto"/>
        <w:ind w:firstLine="240" w:firstLineChars="100"/>
        <w:rPr>
          <w:sz w:val="24"/>
        </w:rPr>
      </w:pPr>
      <w:r>
        <w:rPr>
          <w:sz w:val="24"/>
        </w:rPr>
        <w:t>4.</w:t>
      </w:r>
      <w:r>
        <w:rPr>
          <w:rFonts w:hint="eastAsia"/>
          <w:sz w:val="24"/>
        </w:rPr>
        <w:t>投标报价结果以人民币元为单位，保留到小数点后两位。</w:t>
      </w:r>
    </w:p>
    <w:p>
      <w:pPr>
        <w:overflowPunct w:val="0"/>
        <w:adjustRightInd w:val="0"/>
        <w:spacing w:line="360" w:lineRule="auto"/>
        <w:ind w:firstLine="240" w:firstLineChars="100"/>
        <w:rPr>
          <w:sz w:val="24"/>
        </w:rPr>
      </w:pPr>
      <w:r>
        <w:rPr>
          <w:sz w:val="24"/>
        </w:rPr>
        <w:t>5.</w:t>
      </w:r>
      <w:r>
        <w:rPr>
          <w:rFonts w:hint="eastAsia"/>
          <w:sz w:val="24"/>
        </w:rPr>
        <w:t>投标总价必须准确唯一，以本报价表价格为准，修正其他表格。</w:t>
      </w:r>
    </w:p>
    <w:p>
      <w:pPr>
        <w:overflowPunct w:val="0"/>
        <w:adjustRightInd w:val="0"/>
        <w:spacing w:line="360" w:lineRule="auto"/>
        <w:ind w:firstLine="240" w:firstLineChars="100"/>
        <w:rPr>
          <w:sz w:val="24"/>
        </w:rPr>
      </w:pPr>
      <w:r>
        <w:rPr>
          <w:rFonts w:hint="eastAsia"/>
          <w:sz w:val="24"/>
        </w:rPr>
        <w:t>6.最终支付金额以实际结算为准。</w:t>
      </w:r>
    </w:p>
    <w:p>
      <w:pPr>
        <w:widowControl/>
        <w:spacing w:line="360" w:lineRule="auto"/>
        <w:ind w:firstLine="240" w:firstLineChars="100"/>
        <w:jc w:val="left"/>
        <w:textAlignment w:val="auto"/>
        <w:rPr>
          <w:rFonts w:ascii="宋体" w:hAnsi="宋体" w:cs="宋体"/>
          <w:color w:val="000000" w:themeColor="text1"/>
          <w:kern w:val="0"/>
          <w:sz w:val="22"/>
          <w:szCs w:val="22"/>
          <w:lang w:bidi="ar"/>
          <w14:textFill>
            <w14:solidFill>
              <w14:schemeClr w14:val="tx1"/>
            </w14:solidFill>
          </w14:textFill>
        </w:rPr>
      </w:pPr>
      <w:r>
        <w:rPr>
          <w:rFonts w:hint="eastAsia"/>
          <w:sz w:val="24"/>
        </w:rPr>
        <w:t>8.本项目预算金额为131,515元，投标人</w:t>
      </w:r>
      <w:r>
        <w:rPr>
          <w:rFonts w:hint="eastAsia"/>
          <w:sz w:val="24"/>
          <w:lang w:val="en-US" w:eastAsia="zh-CN"/>
        </w:rPr>
        <w:t>总</w:t>
      </w:r>
      <w:r>
        <w:rPr>
          <w:rFonts w:hint="eastAsia"/>
          <w:sz w:val="24"/>
        </w:rPr>
        <w:t>报价不能超过预算金额要求，否则做废标处理。</w:t>
      </w:r>
    </w:p>
    <w:p>
      <w:pPr>
        <w:widowControl/>
        <w:spacing w:line="280" w:lineRule="exact"/>
        <w:ind w:firstLine="880" w:firstLineChars="400"/>
        <w:jc w:val="left"/>
        <w:textAlignment w:val="top"/>
        <w:rPr>
          <w:rFonts w:ascii="宋体" w:hAnsi="宋体" w:cs="宋体"/>
          <w:kern w:val="0"/>
          <w:sz w:val="22"/>
          <w:szCs w:val="22"/>
          <w:lang w:bidi="ar"/>
        </w:rPr>
      </w:pPr>
      <w:r>
        <w:rPr>
          <w:rFonts w:hint="eastAsia" w:ascii="宋体" w:hAnsi="宋体" w:cs="宋体"/>
          <w:kern w:val="0"/>
          <w:sz w:val="22"/>
          <w:szCs w:val="22"/>
          <w:lang w:bidi="ar"/>
        </w:rPr>
        <w:t xml:space="preserve"> </w:t>
      </w:r>
    </w:p>
    <w:tbl>
      <w:tblPr>
        <w:tblStyle w:val="17"/>
        <w:tblpPr w:leftFromText="180" w:rightFromText="180" w:vertAnchor="text" w:horzAnchor="page" w:tblpX="1873" w:tblpY="410"/>
        <w:tblOverlap w:val="never"/>
        <w:tblW w:w="8481" w:type="dxa"/>
        <w:tblInd w:w="0" w:type="dxa"/>
        <w:tblLayout w:type="fixed"/>
        <w:tblCellMar>
          <w:top w:w="0" w:type="dxa"/>
          <w:left w:w="0" w:type="dxa"/>
          <w:bottom w:w="0" w:type="dxa"/>
          <w:right w:w="0" w:type="dxa"/>
        </w:tblCellMar>
      </w:tblPr>
      <w:tblGrid>
        <w:gridCol w:w="742"/>
        <w:gridCol w:w="2204"/>
        <w:gridCol w:w="810"/>
        <w:gridCol w:w="870"/>
        <w:gridCol w:w="1170"/>
        <w:gridCol w:w="1425"/>
        <w:gridCol w:w="1260"/>
      </w:tblGrid>
      <w:tr>
        <w:tblPrEx>
          <w:tblCellMar>
            <w:top w:w="0" w:type="dxa"/>
            <w:left w:w="0" w:type="dxa"/>
            <w:bottom w:w="0" w:type="dxa"/>
            <w:right w:w="0" w:type="dxa"/>
          </w:tblCellMar>
        </w:tblPrEx>
        <w:trPr>
          <w:trHeight w:val="500" w:hRule="atLeast"/>
        </w:trPr>
        <w:tc>
          <w:tcPr>
            <w:tcW w:w="2946" w:type="dxa"/>
            <w:gridSpan w:val="2"/>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r>
              <w:rPr>
                <w:rFonts w:hint="eastAsia" w:ascii="宋体" w:hAnsi="宋体" w:cs="宋体"/>
                <w:kern w:val="0"/>
                <w:sz w:val="22"/>
                <w:szCs w:val="22"/>
                <w:lang w:bidi="ar"/>
              </w:rPr>
              <w:t xml:space="preserve">     法定代表人</w:t>
            </w:r>
          </w:p>
        </w:tc>
        <w:tc>
          <w:tcPr>
            <w:tcW w:w="81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87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r>
              <w:rPr>
                <w:rFonts w:hint="eastAsia" w:ascii="宋体" w:hAnsi="宋体" w:cs="宋体"/>
                <w:kern w:val="0"/>
                <w:sz w:val="22"/>
                <w:szCs w:val="22"/>
                <w:lang w:bidi="ar"/>
              </w:rPr>
              <w:t xml:space="preserve">    </w:t>
            </w:r>
          </w:p>
        </w:tc>
        <w:tc>
          <w:tcPr>
            <w:tcW w:w="2595" w:type="dxa"/>
            <w:gridSpan w:val="2"/>
            <w:tcBorders>
              <w:top w:val="nil"/>
              <w:left w:val="nil"/>
              <w:bottom w:val="nil"/>
              <w:right w:val="nil"/>
            </w:tcBorders>
            <w:noWrap/>
            <w:tcMar>
              <w:top w:w="15" w:type="dxa"/>
              <w:left w:w="15" w:type="dxa"/>
              <w:right w:w="15" w:type="dxa"/>
            </w:tcMar>
            <w:vAlign w:val="center"/>
          </w:tcPr>
          <w:p>
            <w:pPr>
              <w:ind w:firstLine="220" w:firstLineChars="100"/>
              <w:rPr>
                <w:rFonts w:ascii="宋体" w:hAnsi="宋体" w:cs="宋体"/>
                <w:sz w:val="22"/>
                <w:szCs w:val="22"/>
              </w:rPr>
            </w:pPr>
            <w:r>
              <w:rPr>
                <w:rFonts w:hint="eastAsia" w:ascii="宋体" w:hAnsi="宋体" w:cs="宋体"/>
                <w:kern w:val="0"/>
                <w:sz w:val="22"/>
                <w:szCs w:val="22"/>
                <w:lang w:bidi="ar"/>
              </w:rPr>
              <w:t>投标单位：（公章）</w:t>
            </w:r>
          </w:p>
        </w:tc>
        <w:tc>
          <w:tcPr>
            <w:tcW w:w="1260" w:type="dxa"/>
            <w:tcBorders>
              <w:top w:val="nil"/>
              <w:left w:val="nil"/>
              <w:bottom w:val="nil"/>
              <w:right w:val="nil"/>
            </w:tcBorders>
            <w:noWrap/>
            <w:tcMar>
              <w:top w:w="15" w:type="dxa"/>
              <w:left w:w="15" w:type="dxa"/>
              <w:right w:w="15" w:type="dxa"/>
            </w:tcMar>
            <w:vAlign w:val="center"/>
          </w:tcPr>
          <w:p>
            <w:pPr>
              <w:rPr>
                <w:rFonts w:ascii="宋体" w:hAnsi="宋体" w:cs="宋体"/>
                <w:kern w:val="0"/>
                <w:sz w:val="22"/>
                <w:szCs w:val="22"/>
                <w:lang w:bidi="ar"/>
              </w:rPr>
            </w:pPr>
          </w:p>
        </w:tc>
      </w:tr>
      <w:tr>
        <w:tblPrEx>
          <w:tblCellMar>
            <w:top w:w="0" w:type="dxa"/>
            <w:left w:w="0" w:type="dxa"/>
            <w:bottom w:w="0" w:type="dxa"/>
            <w:right w:w="0" w:type="dxa"/>
          </w:tblCellMar>
        </w:tblPrEx>
        <w:trPr>
          <w:trHeight w:val="500" w:hRule="atLeast"/>
        </w:trPr>
        <w:tc>
          <w:tcPr>
            <w:tcW w:w="742"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2204"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81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87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117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1425"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126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500" w:hRule="atLeast"/>
        </w:trPr>
        <w:tc>
          <w:tcPr>
            <w:tcW w:w="2946" w:type="dxa"/>
            <w:gridSpan w:val="2"/>
            <w:tcBorders>
              <w:top w:val="nil"/>
              <w:left w:val="nil"/>
              <w:bottom w:val="nil"/>
              <w:right w:val="nil"/>
            </w:tcBorders>
            <w:noWrap/>
            <w:tcMar>
              <w:top w:w="15" w:type="dxa"/>
              <w:left w:w="15" w:type="dxa"/>
              <w:right w:w="15" w:type="dxa"/>
            </w:tcMar>
            <w:vAlign w:val="center"/>
          </w:tcPr>
          <w:p>
            <w:pPr>
              <w:ind w:left="440" w:hanging="440" w:hangingChars="200"/>
              <w:rPr>
                <w:rFonts w:ascii="宋体" w:hAnsi="宋体" w:cs="宋体"/>
                <w:sz w:val="22"/>
                <w:szCs w:val="22"/>
              </w:rPr>
            </w:pPr>
            <w:r>
              <w:rPr>
                <w:rFonts w:hint="eastAsia" w:ascii="宋体" w:hAnsi="宋体" w:cs="宋体"/>
                <w:kern w:val="0"/>
                <w:sz w:val="22"/>
                <w:szCs w:val="22"/>
                <w:lang w:bidi="ar"/>
              </w:rPr>
              <w:t xml:space="preserve">     或授权代理人：（签字或盖章）</w:t>
            </w:r>
          </w:p>
        </w:tc>
        <w:tc>
          <w:tcPr>
            <w:tcW w:w="81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870" w:type="dxa"/>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 xml:space="preserve">    </w:t>
            </w:r>
          </w:p>
        </w:tc>
        <w:tc>
          <w:tcPr>
            <w:tcW w:w="1170" w:type="dxa"/>
            <w:tcBorders>
              <w:top w:val="nil"/>
              <w:left w:val="nil"/>
              <w:bottom w:val="nil"/>
              <w:right w:val="nil"/>
            </w:tcBorders>
            <w:noWrap/>
            <w:tcMar>
              <w:top w:w="15" w:type="dxa"/>
              <w:left w:w="15" w:type="dxa"/>
              <w:right w:w="15" w:type="dxa"/>
            </w:tcMar>
            <w:vAlign w:val="center"/>
          </w:tcPr>
          <w:p>
            <w:pPr>
              <w:ind w:firstLine="220" w:firstLineChars="100"/>
              <w:rPr>
                <w:rFonts w:ascii="宋体" w:hAnsi="宋体" w:cs="宋体"/>
                <w:sz w:val="22"/>
                <w:szCs w:val="22"/>
              </w:rPr>
            </w:pPr>
            <w:r>
              <w:rPr>
                <w:rFonts w:hint="eastAsia" w:ascii="宋体" w:hAnsi="宋体" w:cs="宋体"/>
                <w:kern w:val="0"/>
                <w:sz w:val="22"/>
                <w:szCs w:val="22"/>
                <w:lang w:bidi="ar"/>
              </w:rPr>
              <w:t>日  期：</w:t>
            </w:r>
          </w:p>
        </w:tc>
        <w:tc>
          <w:tcPr>
            <w:tcW w:w="1425"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126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r>
    </w:tbl>
    <w:p>
      <w:pPr>
        <w:pStyle w:val="8"/>
        <w:rPr>
          <w:lang w:val="en-US"/>
        </w:rPr>
      </w:pPr>
    </w:p>
    <w:p>
      <w:pPr>
        <w:pStyle w:val="8"/>
        <w:rPr>
          <w:rStyle w:val="33"/>
          <w:sz w:val="22"/>
          <w:szCs w:val="22"/>
          <w:lang w:val="en-US"/>
        </w:rPr>
      </w:pPr>
    </w:p>
    <w:p>
      <w:pPr>
        <w:pStyle w:val="8"/>
        <w:rPr>
          <w:rStyle w:val="33"/>
          <w:sz w:val="22"/>
          <w:szCs w:val="22"/>
          <w:lang w:val="en-US"/>
        </w:rPr>
      </w:pPr>
    </w:p>
    <w:p>
      <w:pPr>
        <w:pStyle w:val="8"/>
        <w:rPr>
          <w:rStyle w:val="33"/>
          <w:sz w:val="22"/>
          <w:szCs w:val="22"/>
          <w:lang w:val="en-US"/>
        </w:rPr>
      </w:pPr>
    </w:p>
    <w:p>
      <w:pPr>
        <w:pStyle w:val="8"/>
        <w:rPr>
          <w:rStyle w:val="33"/>
          <w:sz w:val="22"/>
          <w:szCs w:val="22"/>
          <w:lang w:val="en-US"/>
        </w:rPr>
      </w:pPr>
    </w:p>
    <w:p>
      <w:pPr>
        <w:pStyle w:val="8"/>
        <w:rPr>
          <w:rStyle w:val="33"/>
          <w:sz w:val="22"/>
          <w:szCs w:val="22"/>
          <w:lang w:val="en-US"/>
        </w:rPr>
      </w:pPr>
    </w:p>
    <w:p>
      <w:pPr>
        <w:pStyle w:val="8"/>
        <w:rPr>
          <w:rStyle w:val="33"/>
          <w:sz w:val="22"/>
          <w:szCs w:val="22"/>
          <w:lang w:val="en-US"/>
        </w:rPr>
      </w:pPr>
    </w:p>
    <w:p>
      <w:pPr>
        <w:pStyle w:val="8"/>
        <w:rPr>
          <w:rStyle w:val="33"/>
          <w:sz w:val="22"/>
          <w:szCs w:val="22"/>
          <w:lang w:val="en-US"/>
        </w:rPr>
      </w:pPr>
    </w:p>
    <w:p>
      <w:pPr>
        <w:pStyle w:val="8"/>
        <w:rPr>
          <w:rStyle w:val="33"/>
          <w:sz w:val="22"/>
          <w:szCs w:val="22"/>
          <w:lang w:val="en-US"/>
        </w:rPr>
      </w:pPr>
    </w:p>
    <w:p>
      <w:pPr>
        <w:pStyle w:val="8"/>
        <w:rPr>
          <w:rStyle w:val="33"/>
          <w:sz w:val="22"/>
          <w:szCs w:val="22"/>
          <w:lang w:val="en-US"/>
        </w:rPr>
      </w:pPr>
    </w:p>
    <w:p>
      <w:pPr>
        <w:pStyle w:val="8"/>
        <w:rPr>
          <w:rStyle w:val="33"/>
          <w:sz w:val="22"/>
          <w:szCs w:val="22"/>
          <w:lang w:val="en-US"/>
        </w:rPr>
      </w:pPr>
    </w:p>
    <w:p>
      <w:pPr>
        <w:pStyle w:val="8"/>
        <w:rPr>
          <w:rStyle w:val="33"/>
          <w:sz w:val="22"/>
          <w:szCs w:val="22"/>
          <w:lang w:val="en-US"/>
        </w:rPr>
      </w:pPr>
    </w:p>
    <w:p>
      <w:pPr>
        <w:tabs>
          <w:tab w:val="left" w:pos="654"/>
          <w:tab w:val="left" w:pos="1734"/>
          <w:tab w:val="left" w:pos="2814"/>
          <w:tab w:val="left" w:pos="3894"/>
          <w:tab w:val="left" w:pos="5334"/>
          <w:tab w:val="left" w:pos="6414"/>
          <w:tab w:val="left" w:pos="7254"/>
          <w:tab w:val="left" w:pos="8574"/>
          <w:tab w:val="left" w:pos="9654"/>
        </w:tabs>
        <w:spacing w:line="360" w:lineRule="auto"/>
        <w:ind w:left="420" w:leftChars="200"/>
        <w:jc w:val="center"/>
        <w:outlineLvl w:val="2"/>
        <w:rPr>
          <w:rFonts w:ascii="宋体" w:hAnsi="宋体"/>
          <w:color w:val="000000" w:themeColor="text1"/>
          <w:szCs w:val="21"/>
          <w14:textFill>
            <w14:solidFill>
              <w14:schemeClr w14:val="tx1"/>
            </w14:solidFill>
          </w14:textFill>
        </w:rPr>
      </w:pPr>
      <w:bookmarkStart w:id="295" w:name="_Toc6596"/>
      <w:bookmarkStart w:id="296" w:name="_Toc8809"/>
      <w:bookmarkStart w:id="297" w:name="_Toc17939"/>
      <w:r>
        <w:rPr>
          <w:rFonts w:hint="eastAsia" w:ascii="宋体" w:hAnsi="宋体"/>
          <w:b/>
          <w:bCs/>
          <w:color w:val="000000" w:themeColor="text1"/>
          <w:kern w:val="0"/>
          <w:sz w:val="22"/>
          <w:szCs w:val="22"/>
          <w14:textFill>
            <w14:solidFill>
              <w14:schemeClr w14:val="tx1"/>
            </w14:solidFill>
          </w14:textFill>
        </w:rPr>
        <w:t>3.承诺书</w:t>
      </w:r>
      <w:bookmarkEnd w:id="289"/>
      <w:bookmarkEnd w:id="290"/>
      <w:r>
        <w:rPr>
          <w:rFonts w:ascii="宋体" w:hAnsi="宋体"/>
          <w:color w:val="000000" w:themeColor="text1"/>
          <w:szCs w:val="21"/>
          <w14:textFill>
            <w14:solidFill>
              <w14:schemeClr w14:val="tx1"/>
            </w14:solidFill>
          </w14:textFill>
        </w:rPr>
        <w:cr/>
      </w:r>
      <w:bookmarkEnd w:id="291"/>
      <w:bookmarkEnd w:id="295"/>
      <w:bookmarkEnd w:id="296"/>
      <w:bookmarkEnd w:id="297"/>
    </w:p>
    <w:p>
      <w:pPr>
        <w:pStyle w:val="27"/>
        <w:spacing w:line="360" w:lineRule="exact"/>
        <w:ind w:firstLine="0" w:firstLineChars="0"/>
        <w:jc w:val="center"/>
        <w:rPr>
          <w:rFonts w:ascii="宋体"/>
          <w:color w:val="000000" w:themeColor="text1"/>
          <w:sz w:val="21"/>
          <w:szCs w:val="21"/>
          <w14:textFill>
            <w14:solidFill>
              <w14:schemeClr w14:val="tx1"/>
            </w14:solidFill>
          </w14:textFill>
        </w:rPr>
      </w:pPr>
    </w:p>
    <w:p>
      <w:pPr>
        <w:spacing w:line="5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hint="eastAsia" w:ascii="宋体"/>
          <w:i/>
          <w:color w:val="000000" w:themeColor="text1"/>
          <w:szCs w:val="21"/>
          <w:u w:val="single"/>
          <w14:textFill>
            <w14:solidFill>
              <w14:schemeClr w14:val="tx1"/>
            </w14:solidFill>
          </w14:textFill>
        </w:rPr>
        <w:t>（招标人名称）</w:t>
      </w:r>
    </w:p>
    <w:p>
      <w:pPr>
        <w:spacing w:line="560" w:lineRule="exact"/>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我方已完整阅读了</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项目（项目编号：</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招标文件（竞争性谈判或询价文件）的所有内容（包括澄清，以及所有已提供的参考资料和有关附件），并完全理解上述文件所表达的意思，该项目递交投标文件（谈判或询价响应性文件）时间截止后，我方承诺满足招标文件、用户需求书中的所有要求且不再对上述文件内容进行询问或质疑。</w:t>
      </w:r>
      <w:r>
        <w:rPr>
          <w:rFonts w:ascii="宋体" w:hAnsi="宋体"/>
          <w:color w:val="000000" w:themeColor="text1"/>
          <w:szCs w:val="21"/>
          <w14:textFill>
            <w14:solidFill>
              <w14:schemeClr w14:val="tx1"/>
            </w14:solidFill>
          </w14:textFill>
        </w:rPr>
        <w:cr/>
      </w:r>
    </w:p>
    <w:p>
      <w:pPr>
        <w:spacing w:line="360" w:lineRule="auto"/>
        <w:ind w:firstLine="420"/>
        <w:rPr>
          <w:rFonts w:ascii="宋体" w:hAnsi="宋体"/>
          <w:color w:val="000000" w:themeColor="text1"/>
          <w:szCs w:val="21"/>
          <w14:textFill>
            <w14:solidFill>
              <w14:schemeClr w14:val="tx1"/>
            </w14:solidFill>
          </w14:textFill>
        </w:rPr>
      </w:pPr>
    </w:p>
    <w:p>
      <w:pPr>
        <w:spacing w:line="360" w:lineRule="auto"/>
        <w:ind w:firstLine="420"/>
        <w:rPr>
          <w:rFonts w:ascii="宋体" w:hAnsi="宋体"/>
          <w:color w:val="000000" w:themeColor="text1"/>
          <w:szCs w:val="21"/>
          <w14:textFill>
            <w14:solidFill>
              <w14:schemeClr w14:val="tx1"/>
            </w14:solidFill>
          </w14:textFill>
        </w:rPr>
      </w:pPr>
    </w:p>
    <w:p>
      <w:pPr>
        <w:spacing w:line="360" w:lineRule="auto"/>
        <w:ind w:firstLine="420"/>
        <w:rPr>
          <w:rFonts w:ascii="宋体" w:hAnsi="宋体"/>
          <w:color w:val="000000" w:themeColor="text1"/>
          <w:szCs w:val="21"/>
          <w14:textFill>
            <w14:solidFill>
              <w14:schemeClr w14:val="tx1"/>
            </w14:solidFill>
          </w14:textFill>
        </w:rPr>
      </w:pPr>
    </w:p>
    <w:p>
      <w:pPr>
        <w:spacing w:line="360" w:lineRule="auto"/>
        <w:ind w:firstLine="3780" w:firstLineChars="18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投标人名称（公章）：</w:t>
      </w:r>
    </w:p>
    <w:p>
      <w:pPr>
        <w:pStyle w:val="10"/>
        <w:spacing w:line="360" w:lineRule="auto"/>
        <w:ind w:firstLine="420"/>
        <w:jc w:val="right"/>
        <w:rPr>
          <w:rFonts w:hAnsi="宋体"/>
          <w:color w:val="000000" w:themeColor="text1"/>
          <w:sz w:val="21"/>
          <w:szCs w:val="21"/>
          <w14:textFill>
            <w14:solidFill>
              <w14:schemeClr w14:val="tx1"/>
            </w14:solidFill>
          </w14:textFill>
        </w:rPr>
      </w:pPr>
    </w:p>
    <w:p>
      <w:pPr>
        <w:pStyle w:val="10"/>
        <w:spacing w:line="360" w:lineRule="auto"/>
        <w:ind w:right="420" w:firstLine="3780" w:firstLineChars="18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授权代表签字：</w:t>
      </w:r>
    </w:p>
    <w:p>
      <w:pPr>
        <w:pStyle w:val="10"/>
        <w:spacing w:line="360" w:lineRule="auto"/>
        <w:ind w:right="420" w:firstLine="4935" w:firstLineChars="2350"/>
        <w:rPr>
          <w:rFonts w:hAnsi="宋体"/>
          <w:color w:val="000000" w:themeColor="text1"/>
          <w:sz w:val="21"/>
          <w:szCs w:val="21"/>
          <w14:textFill>
            <w14:solidFill>
              <w14:schemeClr w14:val="tx1"/>
            </w14:solidFill>
          </w14:textFill>
        </w:rPr>
      </w:pPr>
    </w:p>
    <w:p>
      <w:pPr>
        <w:pStyle w:val="10"/>
        <w:spacing w:line="360" w:lineRule="auto"/>
        <w:ind w:right="420" w:firstLine="3780" w:firstLineChars="18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日 </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 xml:space="preserve">期： </w:t>
      </w:r>
      <w:r>
        <w:rPr>
          <w:rFonts w:hAnsi="宋体"/>
          <w:color w:val="000000" w:themeColor="text1"/>
          <w:sz w:val="21"/>
          <w:szCs w:val="21"/>
          <w14:textFill>
            <w14:solidFill>
              <w14:schemeClr w14:val="tx1"/>
            </w14:solidFill>
          </w14:textFill>
        </w:rPr>
        <w:t xml:space="preserve"> </w:t>
      </w:r>
    </w:p>
    <w:p>
      <w:pPr>
        <w:spacing w:line="360" w:lineRule="auto"/>
        <w:rPr>
          <w:rFonts w:ascii="宋体" w:hAnsi="宋体"/>
          <w:color w:val="000000" w:themeColor="text1"/>
          <w:szCs w:val="21"/>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pStyle w:val="5"/>
        <w:rPr>
          <w:rFonts w:ascii="宋体" w:hAnsi="宋体"/>
          <w:color w:val="000000" w:themeColor="text1"/>
          <w:sz w:val="21"/>
          <w:szCs w:val="21"/>
          <w:lang w:val="en-US"/>
          <w14:textFill>
            <w14:solidFill>
              <w14:schemeClr w14:val="tx1"/>
            </w14:solidFill>
          </w14:textFill>
        </w:rPr>
      </w:pPr>
      <w:bookmarkStart w:id="298" w:name="_Toc441844118"/>
    </w:p>
    <w:p/>
    <w:p>
      <w:pPr>
        <w:pStyle w:val="5"/>
        <w:jc w:val="center"/>
        <w:rPr>
          <w:rFonts w:ascii="宋体" w:hAnsi="宋体"/>
          <w:color w:val="000000" w:themeColor="text1"/>
          <w:sz w:val="22"/>
          <w:szCs w:val="22"/>
          <w14:textFill>
            <w14:solidFill>
              <w14:schemeClr w14:val="tx1"/>
            </w14:solidFill>
          </w14:textFill>
        </w:rPr>
      </w:pPr>
      <w:bookmarkStart w:id="299" w:name="_Toc25517"/>
      <w:bookmarkStart w:id="300" w:name="_Toc15564"/>
      <w:bookmarkStart w:id="301" w:name="_Toc23596"/>
      <w:r>
        <w:rPr>
          <w:rFonts w:hint="eastAsia" w:ascii="宋体" w:hAnsi="宋体"/>
          <w:color w:val="000000" w:themeColor="text1"/>
          <w:sz w:val="22"/>
          <w:szCs w:val="22"/>
          <w:lang w:val="en-US"/>
          <w14:textFill>
            <w14:solidFill>
              <w14:schemeClr w14:val="tx1"/>
            </w14:solidFill>
          </w14:textFill>
        </w:rPr>
        <w:t>4</w:t>
      </w:r>
      <w:r>
        <w:rPr>
          <w:rFonts w:ascii="宋体" w:hAnsi="宋体"/>
          <w:color w:val="000000" w:themeColor="text1"/>
          <w:sz w:val="22"/>
          <w:szCs w:val="22"/>
          <w14:textFill>
            <w14:solidFill>
              <w14:schemeClr w14:val="tx1"/>
            </w14:solidFill>
          </w14:textFill>
        </w:rPr>
        <w:t>、</w:t>
      </w:r>
      <w:bookmarkStart w:id="302" w:name="_Toc401738103"/>
      <w:bookmarkStart w:id="303" w:name="_Toc395863122"/>
      <w:bookmarkStart w:id="304" w:name="_Toc427232351"/>
      <w:bookmarkStart w:id="305" w:name="_Toc321994782"/>
      <w:bookmarkStart w:id="306" w:name="_Toc326689517"/>
      <w:r>
        <w:rPr>
          <w:rFonts w:ascii="宋体" w:hAnsi="宋体"/>
          <w:color w:val="000000" w:themeColor="text1"/>
          <w:sz w:val="22"/>
          <w:szCs w:val="22"/>
          <w14:textFill>
            <w14:solidFill>
              <w14:schemeClr w14:val="tx1"/>
            </w14:solidFill>
          </w14:textFill>
        </w:rPr>
        <w:t>法定代表人身份证明书</w:t>
      </w:r>
      <w:bookmarkEnd w:id="298"/>
      <w:bookmarkEnd w:id="299"/>
      <w:bookmarkEnd w:id="300"/>
      <w:bookmarkEnd w:id="301"/>
      <w:bookmarkEnd w:id="302"/>
      <w:bookmarkEnd w:id="303"/>
      <w:bookmarkEnd w:id="304"/>
      <w:bookmarkEnd w:id="305"/>
      <w:bookmarkEnd w:id="306"/>
    </w:p>
    <w:p>
      <w:pPr>
        <w:spacing w:line="560" w:lineRule="exact"/>
        <w:jc w:val="center"/>
        <w:rPr>
          <w:rFonts w:ascii="宋体" w:hAnsi="宋体"/>
          <w:b/>
          <w:color w:val="000000" w:themeColor="text1"/>
          <w:szCs w:val="21"/>
          <w14:textFill>
            <w14:solidFill>
              <w14:schemeClr w14:val="tx1"/>
            </w14:solidFill>
          </w14:textFill>
        </w:rPr>
      </w:pPr>
    </w:p>
    <w:p>
      <w:pPr>
        <w:spacing w:line="56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致：</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招标人</w:t>
      </w:r>
      <w:r>
        <w:rPr>
          <w:rFonts w:ascii="宋体" w:hAnsi="宋体"/>
          <w:color w:val="000000" w:themeColor="text1"/>
          <w:szCs w:val="21"/>
          <w:u w:val="single"/>
          <w14:textFill>
            <w14:solidFill>
              <w14:schemeClr w14:val="tx1"/>
            </w14:solidFill>
          </w14:textFill>
        </w:rPr>
        <w:t>名称）</w:t>
      </w:r>
    </w:p>
    <w:p>
      <w:pPr>
        <w:pStyle w:val="27"/>
        <w:spacing w:line="560" w:lineRule="exact"/>
        <w:ind w:firstLine="537" w:firstLineChars="256"/>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本证明书声明：注册于（国家名称）的</w:t>
      </w:r>
      <w:r>
        <w:rPr>
          <w:rFonts w:ascii="宋体" w:eastAsia="宋体"/>
          <w:color w:val="000000" w:themeColor="text1"/>
          <w:sz w:val="21"/>
          <w:szCs w:val="21"/>
          <w:u w:val="single"/>
          <w14:textFill>
            <w14:solidFill>
              <w14:schemeClr w14:val="tx1"/>
            </w14:solidFill>
          </w14:textFill>
        </w:rPr>
        <w:t xml:space="preserve">　      （投标人名称）   　   </w:t>
      </w:r>
      <w:r>
        <w:rPr>
          <w:rFonts w:ascii="宋体" w:eastAsia="宋体"/>
          <w:color w:val="000000" w:themeColor="text1"/>
          <w:sz w:val="21"/>
          <w:szCs w:val="21"/>
          <w14:textFill>
            <w14:solidFill>
              <w14:schemeClr w14:val="tx1"/>
            </w14:solidFill>
          </w14:textFill>
        </w:rPr>
        <w:t>在下面签字的</w:t>
      </w:r>
      <w:r>
        <w:rPr>
          <w:rFonts w:ascii="宋体" w:eastAsia="宋体"/>
          <w:color w:val="000000" w:themeColor="text1"/>
          <w:sz w:val="21"/>
          <w:szCs w:val="21"/>
          <w:u w:val="single"/>
          <w14:textFill>
            <w14:solidFill>
              <w14:schemeClr w14:val="tx1"/>
            </w14:solidFill>
          </w14:textFill>
        </w:rPr>
        <w:t xml:space="preserve">　（法定代表人姓名、职务）  </w:t>
      </w:r>
      <w:r>
        <w:rPr>
          <w:rFonts w:ascii="宋体" w:eastAsia="宋体"/>
          <w:color w:val="000000" w:themeColor="text1"/>
          <w:sz w:val="21"/>
          <w:szCs w:val="21"/>
          <w14:textFill>
            <w14:solidFill>
              <w14:schemeClr w14:val="tx1"/>
            </w14:solidFill>
          </w14:textFill>
        </w:rPr>
        <w:t>为本公司的</w:t>
      </w:r>
      <w:r>
        <w:rPr>
          <w:rFonts w:hint="eastAsia" w:ascii="宋体" w:eastAsia="宋体"/>
          <w:color w:val="000000" w:themeColor="text1"/>
          <w:sz w:val="21"/>
          <w:szCs w:val="21"/>
          <w:lang w:val="en-US"/>
          <w14:textFill>
            <w14:solidFill>
              <w14:schemeClr w14:val="tx1"/>
            </w14:solidFill>
          </w14:textFill>
        </w:rPr>
        <w:t>法定</w:t>
      </w:r>
      <w:r>
        <w:rPr>
          <w:rFonts w:ascii="宋体" w:eastAsia="宋体"/>
          <w:color w:val="000000" w:themeColor="text1"/>
          <w:sz w:val="21"/>
          <w:szCs w:val="21"/>
          <w14:textFill>
            <w14:solidFill>
              <w14:schemeClr w14:val="tx1"/>
            </w14:solidFill>
          </w14:textFill>
        </w:rPr>
        <w:t>代表人（</w:t>
      </w:r>
      <w:r>
        <w:rPr>
          <w:rFonts w:ascii="宋体" w:eastAsia="宋体"/>
          <w:b/>
          <w:color w:val="000000" w:themeColor="text1"/>
          <w:sz w:val="21"/>
          <w:szCs w:val="21"/>
          <w14:textFill>
            <w14:solidFill>
              <w14:schemeClr w14:val="tx1"/>
            </w14:solidFill>
          </w14:textFill>
        </w:rPr>
        <w:t>相关身份证复印件须附后</w:t>
      </w:r>
      <w:r>
        <w:rPr>
          <w:rFonts w:ascii="宋体" w:eastAsia="宋体"/>
          <w:color w:val="000000" w:themeColor="text1"/>
          <w:sz w:val="21"/>
          <w:szCs w:val="21"/>
          <w14:textFill>
            <w14:solidFill>
              <w14:schemeClr w14:val="tx1"/>
            </w14:solidFill>
          </w14:textFill>
        </w:rPr>
        <w:t>）。</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特此证明</w:t>
      </w:r>
    </w:p>
    <w:p>
      <w:pPr>
        <w:spacing w:line="560" w:lineRule="exact"/>
        <w:ind w:firstLine="420" w:firstLineChars="200"/>
        <w:rPr>
          <w:rFonts w:ascii="宋体" w:hAnsi="宋体"/>
          <w:color w:val="000000" w:themeColor="text1"/>
          <w:szCs w:val="21"/>
          <w14:textFill>
            <w14:solidFill>
              <w14:schemeClr w14:val="tx1"/>
            </w14:solidFill>
          </w14:textFill>
        </w:rPr>
      </w:pPr>
    </w:p>
    <w:p>
      <w:pPr>
        <w:spacing w:line="560" w:lineRule="exact"/>
        <w:ind w:firstLine="420" w:firstLineChars="200"/>
        <w:rPr>
          <w:rFonts w:ascii="宋体" w:hAnsi="宋体"/>
          <w:color w:val="000000" w:themeColor="text1"/>
          <w:szCs w:val="21"/>
          <w14:textFill>
            <w14:solidFill>
              <w14:schemeClr w14:val="tx1"/>
            </w14:solidFill>
          </w14:textFill>
        </w:rPr>
      </w:pPr>
    </w:p>
    <w:p>
      <w:pPr>
        <w:pStyle w:val="27"/>
        <w:ind w:firstLine="3360" w:firstLineChars="1600"/>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投标人名称（公章）：</w:t>
      </w:r>
    </w:p>
    <w:p>
      <w:pPr>
        <w:pStyle w:val="27"/>
        <w:ind w:firstLine="3360" w:firstLineChars="1600"/>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投标人地址：</w:t>
      </w:r>
    </w:p>
    <w:p>
      <w:pPr>
        <w:pStyle w:val="27"/>
        <w:ind w:firstLine="3360" w:firstLineChars="1600"/>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法定代表人（</w:t>
      </w:r>
      <w:r>
        <w:rPr>
          <w:rFonts w:hint="eastAsia" w:ascii="宋体" w:eastAsia="宋体"/>
          <w:color w:val="000000" w:themeColor="text1"/>
          <w:sz w:val="21"/>
          <w:szCs w:val="21"/>
          <w14:textFill>
            <w14:solidFill>
              <w14:schemeClr w14:val="tx1"/>
            </w14:solidFill>
          </w14:textFill>
        </w:rPr>
        <w:t>签名或盖章</w:t>
      </w:r>
      <w:r>
        <w:rPr>
          <w:rFonts w:ascii="宋体" w:eastAsia="宋体"/>
          <w:color w:val="000000" w:themeColor="text1"/>
          <w:sz w:val="21"/>
          <w:szCs w:val="21"/>
          <w14:textFill>
            <w14:solidFill>
              <w14:schemeClr w14:val="tx1"/>
            </w14:solidFill>
          </w14:textFill>
        </w:rPr>
        <w:t>）：</w:t>
      </w:r>
    </w:p>
    <w:p>
      <w:pPr>
        <w:pStyle w:val="27"/>
        <w:ind w:firstLine="3360" w:firstLineChars="1600"/>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职</w:t>
      </w:r>
      <w:r>
        <w:rPr>
          <w:rFonts w:hint="eastAsia" w:ascii="宋体" w:eastAsia="宋体"/>
          <w:color w:val="000000" w:themeColor="text1"/>
          <w:sz w:val="21"/>
          <w:szCs w:val="21"/>
          <w14:textFill>
            <w14:solidFill>
              <w14:schemeClr w14:val="tx1"/>
            </w14:solidFill>
          </w14:textFill>
        </w:rPr>
        <w:t xml:space="preserve"> </w:t>
      </w:r>
      <w:r>
        <w:rPr>
          <w:rFonts w:ascii="宋体" w:eastAsia="宋体"/>
          <w:color w:val="000000" w:themeColor="text1"/>
          <w:sz w:val="21"/>
          <w:szCs w:val="21"/>
          <w14:textFill>
            <w14:solidFill>
              <w14:schemeClr w14:val="tx1"/>
            </w14:solidFill>
          </w14:textFill>
        </w:rPr>
        <w:t xml:space="preserve">    务：</w:t>
      </w:r>
    </w:p>
    <w:p>
      <w:pPr>
        <w:spacing w:line="560" w:lineRule="exact"/>
        <w:ind w:left="4320" w:leftChars="2057"/>
        <w:rPr>
          <w:rFonts w:ascii="Times New Roman" w:hAnsi="Times New Roman"/>
          <w:color w:val="000000" w:themeColor="text1"/>
          <w:sz w:val="22"/>
          <w:szCs w:val="22"/>
          <w14:textFill>
            <w14:solidFill>
              <w14:schemeClr w14:val="tx1"/>
            </w14:solidFill>
          </w14:textFill>
        </w:rPr>
      </w:pPr>
      <w:bookmarkStart w:id="307" w:name="_Toc88985368"/>
      <w:bookmarkStart w:id="308" w:name="_Toc210188797"/>
      <w:bookmarkStart w:id="309" w:name="_Toc230422786"/>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560" w:lineRule="exact"/>
        <w:rPr>
          <w:rFonts w:ascii="Times New Roman" w:hAnsi="Times New Roman"/>
          <w:color w:val="000000" w:themeColor="text1"/>
          <w:sz w:val="22"/>
          <w:szCs w:val="22"/>
          <w14:textFill>
            <w14:solidFill>
              <w14:schemeClr w14:val="tx1"/>
            </w14:solidFill>
          </w14:textFill>
        </w:rPr>
      </w:pPr>
    </w:p>
    <w:p>
      <w:pPr>
        <w:spacing w:line="560" w:lineRule="exact"/>
        <w:rPr>
          <w:rFonts w:ascii="Times New Roman" w:hAnsi="Times New Roman"/>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bookmarkStart w:id="310" w:name="_Toc427232352"/>
      <w:bookmarkStart w:id="311" w:name="_Toc13358"/>
      <w:bookmarkStart w:id="312" w:name="_Toc22459"/>
      <w:bookmarkStart w:id="313" w:name="_Toc31921"/>
      <w:bookmarkStart w:id="314" w:name="_Toc401738104"/>
      <w:bookmarkStart w:id="315" w:name="_Toc395863123"/>
      <w:bookmarkStart w:id="316" w:name="_Toc441844119"/>
      <w:bookmarkStart w:id="317" w:name="_Toc321994783"/>
      <w:bookmarkStart w:id="318" w:name="_Toc326689518"/>
      <w:r>
        <w:rPr>
          <w:rFonts w:hint="eastAsia" w:ascii="宋体" w:hAnsi="宋体"/>
          <w:color w:val="000000" w:themeColor="text1"/>
          <w:sz w:val="22"/>
          <w:szCs w:val="22"/>
          <w:lang w:val="en-US"/>
          <w14:textFill>
            <w14:solidFill>
              <w14:schemeClr w14:val="tx1"/>
            </w14:solidFill>
          </w14:textFill>
        </w:rPr>
        <w:t>5</w:t>
      </w:r>
      <w:r>
        <w:rPr>
          <w:rFonts w:hint="eastAsia" w:ascii="宋体" w:hAnsi="宋体"/>
          <w:color w:val="000000" w:themeColor="text1"/>
          <w:sz w:val="22"/>
          <w:szCs w:val="22"/>
          <w14:textFill>
            <w14:solidFill>
              <w14:schemeClr w14:val="tx1"/>
            </w14:solidFill>
          </w14:textFill>
        </w:rPr>
        <w:t>、法人授权委托证明书</w:t>
      </w:r>
      <w:bookmarkEnd w:id="307"/>
      <w:bookmarkEnd w:id="308"/>
      <w:bookmarkEnd w:id="309"/>
      <w:bookmarkEnd w:id="310"/>
      <w:bookmarkEnd w:id="311"/>
      <w:bookmarkEnd w:id="312"/>
      <w:bookmarkEnd w:id="313"/>
      <w:bookmarkEnd w:id="314"/>
      <w:bookmarkEnd w:id="315"/>
      <w:bookmarkEnd w:id="316"/>
      <w:bookmarkEnd w:id="317"/>
      <w:bookmarkEnd w:id="318"/>
    </w:p>
    <w:p>
      <w:pPr>
        <w:spacing w:line="560" w:lineRule="exact"/>
        <w:jc w:val="center"/>
        <w:rPr>
          <w:rFonts w:asciiTheme="minorEastAsia" w:hAnsiTheme="minorEastAsia" w:eastAsiaTheme="minorEastAsia"/>
          <w:b/>
          <w:color w:val="000000" w:themeColor="text1"/>
          <w:szCs w:val="21"/>
          <w14:textFill>
            <w14:solidFill>
              <w14:schemeClr w14:val="tx1"/>
            </w14:solidFill>
          </w14:textFill>
        </w:rPr>
      </w:pPr>
    </w:p>
    <w:p>
      <w:pPr>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致：</w:t>
      </w:r>
      <w:r>
        <w:rPr>
          <w:rFonts w:asciiTheme="minorEastAsia" w:hAnsiTheme="minorEastAsia" w:eastAsiaTheme="minorEastAsia"/>
          <w:color w:val="000000" w:themeColor="text1"/>
          <w:szCs w:val="21"/>
          <w:u w:val="single"/>
          <w14:textFill>
            <w14:solidFill>
              <w14:schemeClr w14:val="tx1"/>
            </w14:solidFill>
          </w14:textFill>
        </w:rPr>
        <w:t>（</w:t>
      </w:r>
      <w:r>
        <w:rPr>
          <w:rFonts w:hint="eastAsia" w:asciiTheme="minorEastAsia" w:hAnsiTheme="minorEastAsia" w:eastAsiaTheme="minorEastAsia"/>
          <w:color w:val="000000" w:themeColor="text1"/>
          <w:szCs w:val="21"/>
          <w:u w:val="single"/>
          <w14:textFill>
            <w14:solidFill>
              <w14:schemeClr w14:val="tx1"/>
            </w14:solidFill>
          </w14:textFill>
        </w:rPr>
        <w:t>招标人</w:t>
      </w:r>
      <w:r>
        <w:rPr>
          <w:rFonts w:asciiTheme="minorEastAsia" w:hAnsiTheme="minorEastAsia" w:eastAsiaTheme="minorEastAsia"/>
          <w:color w:val="000000" w:themeColor="text1"/>
          <w:szCs w:val="21"/>
          <w:u w:val="single"/>
          <w14:textFill>
            <w14:solidFill>
              <w14:schemeClr w14:val="tx1"/>
            </w14:solidFill>
          </w14:textFill>
        </w:rPr>
        <w:t>名称）</w:t>
      </w:r>
    </w:p>
    <w:p>
      <w:pPr>
        <w:pStyle w:val="27"/>
        <w:spacing w:line="360" w:lineRule="auto"/>
        <w:ind w:firstLine="433"/>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本委托书声明：在下面签字的（法定代表人姓名、职务）代表（投标人名称）委托在下面签字的（受委托人的姓名、职务）为本公司的合法代表人，就</w:t>
      </w:r>
      <w:r>
        <w:rPr>
          <w:rFonts w:asciiTheme="minorEastAsia" w:hAnsiTheme="minorEastAsia" w:eastAsiaTheme="minorEastAsia"/>
          <w:color w:val="000000" w:themeColor="text1"/>
          <w:sz w:val="21"/>
          <w:szCs w:val="21"/>
          <w:u w:val="single"/>
          <w14:textFill>
            <w14:solidFill>
              <w14:schemeClr w14:val="tx1"/>
            </w14:solidFill>
          </w14:textFill>
        </w:rPr>
        <w:t xml:space="preserve">          项目</w:t>
      </w:r>
      <w:r>
        <w:rPr>
          <w:rFonts w:asciiTheme="minorEastAsia" w:hAnsiTheme="minorEastAsia" w:eastAsiaTheme="minorEastAsia"/>
          <w:color w:val="000000" w:themeColor="text1"/>
          <w:sz w:val="21"/>
          <w:szCs w:val="21"/>
          <w14:textFill>
            <w14:solidFill>
              <w14:schemeClr w14:val="tx1"/>
            </w14:solidFill>
          </w14:textFill>
        </w:rPr>
        <w:t>（</w:t>
      </w:r>
      <w:r>
        <w:rPr>
          <w:rFonts w:hint="eastAsia" w:asciiTheme="minorEastAsia" w:hAnsiTheme="minorEastAsia" w:eastAsiaTheme="minorEastAsia"/>
          <w:color w:val="000000" w:themeColor="text1"/>
          <w:sz w:val="21"/>
          <w:szCs w:val="21"/>
          <w14:textFill>
            <w14:solidFill>
              <w14:schemeClr w14:val="tx1"/>
            </w14:solidFill>
          </w14:textFill>
        </w:rPr>
        <w:t>项目</w:t>
      </w:r>
      <w:r>
        <w:rPr>
          <w:rFonts w:asciiTheme="minorEastAsia" w:hAnsiTheme="minorEastAsia" w:eastAsiaTheme="minorEastAsia"/>
          <w:color w:val="000000" w:themeColor="text1"/>
          <w:sz w:val="21"/>
          <w:szCs w:val="21"/>
          <w14:textFill>
            <w14:solidFill>
              <w14:schemeClr w14:val="tx1"/>
            </w14:solidFill>
          </w14:textFill>
        </w:rPr>
        <w:t>编号：</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lang w:val="en-US"/>
          <w14:textFill>
            <w14:solidFill>
              <w14:schemeClr w14:val="tx1"/>
            </w14:solidFill>
          </w14:textFill>
        </w:rPr>
        <w:t xml:space="preserve"> </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包号：</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lang w:val="en-US"/>
          <w14:textFill>
            <w14:solidFill>
              <w14:schemeClr w14:val="tx1"/>
            </w14:solidFill>
          </w14:textFill>
        </w:rPr>
        <w:t xml:space="preserve"> </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）的投标</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合同</w:t>
      </w:r>
      <w:r>
        <w:rPr>
          <w:rFonts w:hint="eastAsia" w:asciiTheme="minorEastAsia" w:hAnsiTheme="minorEastAsia" w:eastAsiaTheme="minorEastAsia"/>
          <w:color w:val="000000" w:themeColor="text1"/>
          <w:sz w:val="21"/>
          <w:szCs w:val="21"/>
          <w14:textFill>
            <w14:solidFill>
              <w14:schemeClr w14:val="tx1"/>
            </w14:solidFill>
          </w14:textFill>
        </w:rPr>
        <w:t>、计量结算、工程变更等与项目相关的</w:t>
      </w:r>
      <w:r>
        <w:rPr>
          <w:rFonts w:asciiTheme="minorEastAsia" w:hAnsiTheme="minorEastAsia" w:eastAsiaTheme="minorEastAsia"/>
          <w:color w:val="000000" w:themeColor="text1"/>
          <w:sz w:val="21"/>
          <w:szCs w:val="21"/>
          <w14:textFill>
            <w14:solidFill>
              <w14:schemeClr w14:val="tx1"/>
            </w14:solidFill>
          </w14:textFill>
        </w:rPr>
        <w:t>执行，以我方的名义处理一切与之有关的事宜（</w:t>
      </w:r>
      <w:r>
        <w:rPr>
          <w:rFonts w:asciiTheme="minorEastAsia" w:hAnsiTheme="minorEastAsia" w:eastAsiaTheme="minorEastAsia"/>
          <w:b/>
          <w:color w:val="000000" w:themeColor="text1"/>
          <w:sz w:val="21"/>
          <w:szCs w:val="21"/>
          <w14:textFill>
            <w14:solidFill>
              <w14:schemeClr w14:val="tx1"/>
            </w14:solidFill>
          </w14:textFill>
        </w:rPr>
        <w:t>相关身份证复印件须附后</w:t>
      </w:r>
      <w:r>
        <w:rPr>
          <w:rFonts w:asciiTheme="minorEastAsia" w:hAnsiTheme="minorEastAsia" w:eastAsiaTheme="minorEastAsia"/>
          <w:color w:val="000000" w:themeColor="text1"/>
          <w:sz w:val="21"/>
          <w:szCs w:val="21"/>
          <w14:textFill>
            <w14:solidFill>
              <w14:schemeClr w14:val="tx1"/>
            </w14:solidFill>
          </w14:textFill>
        </w:rPr>
        <w:t>）。</w:t>
      </w:r>
    </w:p>
    <w:p>
      <w:pPr>
        <w:pStyle w:val="27"/>
        <w:spacing w:line="360" w:lineRule="auto"/>
        <w:ind w:firstLine="433"/>
        <w:rPr>
          <w:rFonts w:asciiTheme="minorEastAsia" w:hAnsiTheme="minorEastAsia" w:eastAsiaTheme="minorEastAsia"/>
          <w:color w:val="000000" w:themeColor="text1"/>
          <w:sz w:val="21"/>
          <w:szCs w:val="21"/>
          <w14:textFill>
            <w14:solidFill>
              <w14:schemeClr w14:val="tx1"/>
            </w14:solidFill>
          </w14:textFill>
        </w:rPr>
      </w:pPr>
    </w:p>
    <w:p>
      <w:pPr>
        <w:pStyle w:val="27"/>
        <w:spacing w:line="360" w:lineRule="auto"/>
        <w:ind w:firstLine="433"/>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本委托书于</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年</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月</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日签字生效。</w:t>
      </w:r>
    </w:p>
    <w:p>
      <w:pPr>
        <w:pStyle w:val="27"/>
        <w:spacing w:line="360" w:lineRule="auto"/>
        <w:ind w:firstLine="433"/>
        <w:rPr>
          <w:rFonts w:asciiTheme="minorEastAsia" w:hAnsiTheme="minorEastAsia" w:eastAsiaTheme="minorEastAsia"/>
          <w:color w:val="000000" w:themeColor="text1"/>
          <w:sz w:val="21"/>
          <w:szCs w:val="21"/>
          <w14:textFill>
            <w14:solidFill>
              <w14:schemeClr w14:val="tx1"/>
            </w14:solidFill>
          </w14:textFill>
        </w:rPr>
      </w:pPr>
    </w:p>
    <w:p>
      <w:pPr>
        <w:pStyle w:val="27"/>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投标人名称（公章）：</w:t>
      </w:r>
    </w:p>
    <w:p>
      <w:pPr>
        <w:pStyle w:val="27"/>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投标人地址：</w:t>
      </w:r>
    </w:p>
    <w:p>
      <w:pPr>
        <w:pStyle w:val="27"/>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法定代表人（</w:t>
      </w:r>
      <w:r>
        <w:rPr>
          <w:rFonts w:hint="eastAsia" w:asciiTheme="minorEastAsia" w:hAnsiTheme="minorEastAsia" w:eastAsiaTheme="minorEastAsia"/>
          <w:color w:val="000000" w:themeColor="text1"/>
          <w:sz w:val="21"/>
          <w:szCs w:val="21"/>
          <w14:textFill>
            <w14:solidFill>
              <w14:schemeClr w14:val="tx1"/>
            </w14:solidFill>
          </w14:textFill>
        </w:rPr>
        <w:t>签名或盖章</w:t>
      </w:r>
      <w:r>
        <w:rPr>
          <w:rFonts w:asciiTheme="minorEastAsia" w:hAnsiTheme="minorEastAsia" w:eastAsiaTheme="minorEastAsia"/>
          <w:color w:val="000000" w:themeColor="text1"/>
          <w:sz w:val="21"/>
          <w:szCs w:val="21"/>
          <w14:textFill>
            <w14:solidFill>
              <w14:schemeClr w14:val="tx1"/>
            </w14:solidFill>
          </w14:textFill>
        </w:rPr>
        <w:t>）：</w:t>
      </w:r>
    </w:p>
    <w:p>
      <w:pPr>
        <w:pStyle w:val="27"/>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职　　　务：</w:t>
      </w:r>
    </w:p>
    <w:p>
      <w:pPr>
        <w:pStyle w:val="27"/>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受委托人（</w:t>
      </w:r>
      <w:r>
        <w:rPr>
          <w:rFonts w:hint="eastAsia" w:asciiTheme="minorEastAsia" w:hAnsiTheme="minorEastAsia" w:eastAsiaTheme="minorEastAsia"/>
          <w:color w:val="000000" w:themeColor="text1"/>
          <w:sz w:val="21"/>
          <w:szCs w:val="21"/>
          <w14:textFill>
            <w14:solidFill>
              <w14:schemeClr w14:val="tx1"/>
            </w14:solidFill>
          </w14:textFill>
        </w:rPr>
        <w:t>签名或盖章</w:t>
      </w:r>
      <w:r>
        <w:rPr>
          <w:rFonts w:asciiTheme="minorEastAsia" w:hAnsiTheme="minorEastAsia" w:eastAsiaTheme="minorEastAsia"/>
          <w:color w:val="000000" w:themeColor="text1"/>
          <w:sz w:val="21"/>
          <w:szCs w:val="21"/>
          <w14:textFill>
            <w14:solidFill>
              <w14:schemeClr w14:val="tx1"/>
            </w14:solidFill>
          </w14:textFill>
        </w:rPr>
        <w:t>）：</w:t>
      </w:r>
    </w:p>
    <w:p>
      <w:pPr>
        <w:pStyle w:val="27"/>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职　　　务：</w:t>
      </w:r>
    </w:p>
    <w:p>
      <w:pPr>
        <w:pStyle w:val="27"/>
        <w:spacing w:line="360" w:lineRule="auto"/>
        <w:ind w:firstLine="433"/>
        <w:rPr>
          <w:rFonts w:asciiTheme="minorEastAsia" w:hAnsiTheme="minorEastAsia" w:eastAsiaTheme="minorEastAsia"/>
          <w:color w:val="000000" w:themeColor="text1"/>
          <w:sz w:val="21"/>
          <w:szCs w:val="21"/>
          <w14:textFill>
            <w14:solidFill>
              <w14:schemeClr w14:val="tx1"/>
            </w14:solidFill>
          </w14:textFill>
        </w:rPr>
      </w:pPr>
    </w:p>
    <w:p>
      <w:pPr>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w:t>
      </w:r>
    </w:p>
    <w:p>
      <w:pPr>
        <w:spacing w:line="360" w:lineRule="auto"/>
        <w:rPr>
          <w:rFonts w:asciiTheme="minorEastAsia" w:hAnsiTheme="minorEastAsia" w:eastAsiaTheme="minorEastAsia"/>
          <w:b/>
          <w:color w:val="000000" w:themeColor="text1"/>
          <w:szCs w:val="21"/>
          <w14:textFill>
            <w14:solidFill>
              <w14:schemeClr w14:val="tx1"/>
            </w14:solidFill>
          </w14:textFill>
        </w:rPr>
      </w:pPr>
      <w:bookmarkStart w:id="319" w:name="_Toc210188799"/>
      <w:bookmarkStart w:id="320" w:name="_Toc88985370"/>
      <w:r>
        <w:rPr>
          <w:rFonts w:asciiTheme="minorEastAsia" w:hAnsiTheme="minorEastAsia" w:eastAsiaTheme="minorEastAsia"/>
          <w:b/>
          <w:color w:val="000000" w:themeColor="text1"/>
          <w:szCs w:val="21"/>
          <w14:textFill>
            <w14:solidFill>
              <w14:schemeClr w14:val="tx1"/>
            </w14:solidFill>
          </w14:textFill>
        </w:rPr>
        <w:t>注：如法定代表人投标</w:t>
      </w:r>
      <w:r>
        <w:rPr>
          <w:rFonts w:hint="eastAsia" w:asciiTheme="minorEastAsia" w:hAnsiTheme="minorEastAsia" w:eastAsiaTheme="minorEastAsia"/>
          <w:b/>
          <w:color w:val="000000" w:themeColor="text1"/>
          <w:szCs w:val="21"/>
          <w14:textFill>
            <w14:solidFill>
              <w14:schemeClr w14:val="tx1"/>
            </w14:solidFill>
          </w14:textFill>
        </w:rPr>
        <w:t>则</w:t>
      </w:r>
      <w:r>
        <w:rPr>
          <w:rFonts w:asciiTheme="minorEastAsia" w:hAnsiTheme="minorEastAsia" w:eastAsiaTheme="minorEastAsia"/>
          <w:b/>
          <w:color w:val="000000" w:themeColor="text1"/>
          <w:szCs w:val="21"/>
          <w14:textFill>
            <w14:solidFill>
              <w14:schemeClr w14:val="tx1"/>
            </w14:solidFill>
          </w14:textFill>
        </w:rPr>
        <w:t>不需附本</w:t>
      </w:r>
      <w:r>
        <w:rPr>
          <w:rFonts w:hint="eastAsia" w:asciiTheme="minorEastAsia" w:hAnsiTheme="minorEastAsia" w:eastAsiaTheme="minorEastAsia"/>
          <w:b/>
          <w:color w:val="000000" w:themeColor="text1"/>
          <w:szCs w:val="21"/>
          <w14:textFill>
            <w14:solidFill>
              <w14:schemeClr w14:val="tx1"/>
            </w14:solidFill>
          </w14:textFill>
        </w:rPr>
        <w:t>证明</w:t>
      </w:r>
      <w:r>
        <w:rPr>
          <w:rFonts w:asciiTheme="minorEastAsia" w:hAnsiTheme="minorEastAsia" w:eastAsiaTheme="minorEastAsia"/>
          <w:b/>
          <w:color w:val="000000" w:themeColor="text1"/>
          <w:szCs w:val="21"/>
          <w14:textFill>
            <w14:solidFill>
              <w14:schemeClr w14:val="tx1"/>
            </w14:solidFill>
          </w14:textFill>
        </w:rPr>
        <w:t>。</w:t>
      </w:r>
    </w:p>
    <w:p>
      <w:pPr>
        <w:spacing w:line="360" w:lineRule="auto"/>
        <w:rPr>
          <w:rFonts w:ascii="宋体" w:hAnsi="宋体"/>
          <w:b/>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bookmarkStart w:id="321" w:name="_Toc441844120"/>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b/>
          <w:bCs/>
          <w:color w:val="000000" w:themeColor="text1"/>
          <w:sz w:val="22"/>
          <w:szCs w:val="22"/>
          <w14:textFill>
            <w14:solidFill>
              <w14:schemeClr w14:val="tx1"/>
            </w14:solidFill>
          </w14:textFill>
        </w:rPr>
      </w:pPr>
      <w:r>
        <w:rPr>
          <w:rFonts w:ascii="宋体" w:hAnsi="宋体"/>
          <w:b/>
          <w:bCs/>
          <w:color w:val="000000" w:themeColor="text1"/>
          <w:sz w:val="22"/>
          <w:szCs w:val="22"/>
          <w14:textFill>
            <w14:solidFill>
              <w14:schemeClr w14:val="tx1"/>
            </w14:solidFill>
          </w14:textFill>
        </w:rPr>
        <w:br w:type="page"/>
      </w:r>
    </w:p>
    <w:p>
      <w:pPr>
        <w:widowControl/>
        <w:jc w:val="left"/>
        <w:rPr>
          <w:rFonts w:ascii="宋体" w:hAnsi="宋体"/>
          <w:b/>
          <w:bCs/>
          <w:color w:val="000000" w:themeColor="text1"/>
          <w:sz w:val="22"/>
          <w:szCs w:val="22"/>
          <w14:textFill>
            <w14:solidFill>
              <w14:schemeClr w14:val="tx1"/>
            </w14:solidFill>
          </w14:textFill>
        </w:rPr>
      </w:pPr>
    </w:p>
    <w:bookmarkEnd w:id="321"/>
    <w:p>
      <w:pPr>
        <w:pStyle w:val="5"/>
        <w:jc w:val="center"/>
        <w:rPr>
          <w:rFonts w:ascii="宋体" w:hAnsi="宋体"/>
          <w:color w:val="000000" w:themeColor="text1"/>
          <w:sz w:val="22"/>
          <w:szCs w:val="22"/>
          <w14:textFill>
            <w14:solidFill>
              <w14:schemeClr w14:val="tx1"/>
            </w14:solidFill>
          </w14:textFill>
        </w:rPr>
      </w:pPr>
      <w:bookmarkStart w:id="322" w:name="_Toc10609"/>
      <w:bookmarkStart w:id="323" w:name="_Toc24678"/>
      <w:bookmarkStart w:id="324" w:name="_Toc401738105"/>
      <w:bookmarkStart w:id="325" w:name="_Toc31110"/>
      <w:bookmarkStart w:id="326" w:name="_Toc441844122"/>
      <w:bookmarkStart w:id="327" w:name="_Toc427232353"/>
      <w:bookmarkStart w:id="328" w:name="_Toc395863124"/>
      <w:bookmarkStart w:id="329" w:name="_Toc326689519"/>
      <w:bookmarkStart w:id="330" w:name="_Toc321994784"/>
      <w:r>
        <w:rPr>
          <w:rFonts w:hint="eastAsia" w:ascii="宋体" w:hAnsi="宋体"/>
          <w:color w:val="000000" w:themeColor="text1"/>
          <w:sz w:val="22"/>
          <w:szCs w:val="22"/>
          <w:lang w:val="en-US"/>
          <w14:textFill>
            <w14:solidFill>
              <w14:schemeClr w14:val="tx1"/>
            </w14:solidFill>
          </w14:textFill>
        </w:rPr>
        <w:t>6</w:t>
      </w:r>
      <w:r>
        <w:rPr>
          <w:rFonts w:ascii="宋体" w:hAnsi="宋体"/>
          <w:color w:val="000000" w:themeColor="text1"/>
          <w:sz w:val="22"/>
          <w:szCs w:val="22"/>
          <w14:textFill>
            <w14:solidFill>
              <w14:schemeClr w14:val="tx1"/>
            </w14:solidFill>
          </w14:textFill>
        </w:rPr>
        <w:t>、投标人资格证明文件</w:t>
      </w:r>
      <w:bookmarkEnd w:id="319"/>
      <w:bookmarkEnd w:id="320"/>
      <w:bookmarkEnd w:id="322"/>
      <w:bookmarkEnd w:id="323"/>
      <w:bookmarkEnd w:id="324"/>
      <w:bookmarkEnd w:id="325"/>
      <w:bookmarkEnd w:id="326"/>
      <w:bookmarkEnd w:id="327"/>
      <w:bookmarkEnd w:id="328"/>
      <w:bookmarkEnd w:id="329"/>
      <w:bookmarkEnd w:id="330"/>
    </w:p>
    <w:p>
      <w:pPr>
        <w:spacing w:line="360" w:lineRule="auto"/>
        <w:jc w:val="center"/>
        <w:rPr>
          <w:rFonts w:ascii="宋体" w:hAnsi="宋体"/>
          <w:b/>
          <w:color w:val="000000" w:themeColor="text1"/>
          <w:sz w:val="22"/>
          <w:szCs w:val="22"/>
          <w14:textFill>
            <w14:solidFill>
              <w14:schemeClr w14:val="tx1"/>
            </w14:solidFill>
          </w14:textFill>
        </w:rPr>
      </w:pPr>
    </w:p>
    <w:p>
      <w:pPr>
        <w:pStyle w:val="10"/>
        <w:spacing w:line="360" w:lineRule="auto"/>
        <w:ind w:firstLine="442" w:firstLineChars="200"/>
        <w:rPr>
          <w:rFonts w:hAnsi="宋体"/>
          <w:b/>
          <w:color w:val="000000" w:themeColor="text1"/>
          <w:sz w:val="22"/>
          <w:szCs w:val="22"/>
          <w14:textFill>
            <w14:solidFill>
              <w14:schemeClr w14:val="tx1"/>
            </w14:solidFill>
          </w14:textFill>
        </w:rPr>
      </w:pPr>
      <w:r>
        <w:rPr>
          <w:rFonts w:hint="eastAsia" w:hAnsi="宋体"/>
          <w:b/>
          <w:color w:val="000000" w:themeColor="text1"/>
          <w:sz w:val="22"/>
          <w:szCs w:val="22"/>
          <w14:textFill>
            <w14:solidFill>
              <w14:schemeClr w14:val="tx1"/>
            </w14:solidFill>
          </w14:textFill>
        </w:rPr>
        <w:t>投标人资格证明文件请按招标文件投标须知要求文件提供。包括但不限于：</w:t>
      </w:r>
    </w:p>
    <w:p>
      <w:pPr>
        <w:pStyle w:val="28"/>
        <w:spacing w:line="360" w:lineRule="auto"/>
        <w:ind w:firstLineChars="183"/>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w:t>
      </w:r>
      <w:r>
        <w:rPr>
          <w:rFonts w:ascii="宋体" w:eastAsia="宋体"/>
          <w:color w:val="000000" w:themeColor="text1"/>
          <w:sz w:val="22"/>
          <w:szCs w:val="22"/>
          <w14:textFill>
            <w14:solidFill>
              <w14:schemeClr w14:val="tx1"/>
            </w14:solidFill>
          </w14:textFill>
        </w:rPr>
        <w:t>1</w:t>
      </w:r>
      <w:r>
        <w:rPr>
          <w:rFonts w:hint="eastAsia" w:ascii="宋体" w:eastAsia="宋体"/>
          <w:color w:val="000000" w:themeColor="text1"/>
          <w:sz w:val="22"/>
          <w:szCs w:val="22"/>
          <w14:textFill>
            <w14:solidFill>
              <w14:schemeClr w14:val="tx1"/>
            </w14:solidFill>
          </w14:textFill>
        </w:rPr>
        <w:t>）多证</w:t>
      </w:r>
      <w:r>
        <w:rPr>
          <w:rFonts w:ascii="宋体" w:eastAsia="宋体"/>
          <w:color w:val="000000" w:themeColor="text1"/>
          <w:sz w:val="22"/>
          <w:szCs w:val="22"/>
          <w14:textFill>
            <w14:solidFill>
              <w14:schemeClr w14:val="tx1"/>
            </w14:solidFill>
          </w14:textFill>
        </w:rPr>
        <w:t>合一营业执照</w:t>
      </w:r>
      <w:r>
        <w:rPr>
          <w:rFonts w:hint="eastAsia" w:ascii="宋体" w:eastAsia="宋体"/>
          <w:color w:val="000000" w:themeColor="text1"/>
          <w:sz w:val="22"/>
          <w:szCs w:val="22"/>
          <w14:textFill>
            <w14:solidFill>
              <w14:schemeClr w14:val="tx1"/>
            </w14:solidFill>
          </w14:textFill>
        </w:rPr>
        <w:t>的复印件（或事业单位法人证书）；</w:t>
      </w:r>
    </w:p>
    <w:p>
      <w:pPr>
        <w:pStyle w:val="28"/>
        <w:spacing w:line="360" w:lineRule="auto"/>
        <w:ind w:firstLineChars="0"/>
        <w:rPr>
          <w:rFonts w:ascii="宋体" w:eastAsia="宋体"/>
          <w:b/>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w:t>
      </w:r>
      <w:r>
        <w:rPr>
          <w:rFonts w:ascii="宋体" w:eastAsia="宋体"/>
          <w:color w:val="000000" w:themeColor="text1"/>
          <w:sz w:val="22"/>
          <w:szCs w:val="22"/>
          <w14:textFill>
            <w14:solidFill>
              <w14:schemeClr w14:val="tx1"/>
            </w14:solidFill>
          </w14:textFill>
        </w:rPr>
        <w:t>2</w:t>
      </w:r>
      <w:r>
        <w:rPr>
          <w:rFonts w:hint="eastAsia" w:ascii="宋体" w:eastAsia="宋体"/>
          <w:color w:val="000000" w:themeColor="text1"/>
          <w:sz w:val="22"/>
          <w:szCs w:val="22"/>
          <w14:textFill>
            <w14:solidFill>
              <w14:schemeClr w14:val="tx1"/>
            </w14:solidFill>
          </w14:textFill>
        </w:rPr>
        <w:t>）“投标人资格要求”中的相关资格文件复印件，</w:t>
      </w:r>
      <w:r>
        <w:rPr>
          <w:rFonts w:hint="eastAsia" w:ascii="宋体" w:eastAsia="宋体"/>
          <w:b/>
          <w:bCs/>
          <w:color w:val="000000" w:themeColor="text1"/>
          <w:sz w:val="22"/>
          <w:szCs w:val="22"/>
          <w14:textFill>
            <w14:solidFill>
              <w14:schemeClr w14:val="tx1"/>
            </w14:solidFill>
          </w14:textFill>
        </w:rPr>
        <w:t>包括</w:t>
      </w:r>
      <w:r>
        <w:rPr>
          <w:rFonts w:hint="eastAsia" w:ascii="宋体" w:eastAsia="宋体"/>
          <w:b/>
          <w:bCs/>
          <w:color w:val="000000" w:themeColor="text1"/>
          <w:sz w:val="22"/>
          <w:szCs w:val="22"/>
          <w:lang w:val="en-US"/>
          <w14:textFill>
            <w14:solidFill>
              <w14:schemeClr w14:val="tx1"/>
            </w14:solidFill>
          </w14:textFill>
        </w:rPr>
        <w:t>有效期内的“工业、商用循环水处理”资质证书</w:t>
      </w:r>
      <w:r>
        <w:rPr>
          <w:rFonts w:hint="eastAsia" w:ascii="宋体" w:eastAsia="宋体"/>
          <w:color w:val="000000" w:themeColor="text1"/>
          <w:sz w:val="22"/>
          <w:szCs w:val="22"/>
          <w14:textFill>
            <w14:solidFill>
              <w14:schemeClr w14:val="tx1"/>
            </w14:solidFill>
          </w14:textFill>
        </w:rPr>
        <w:t>；</w:t>
      </w:r>
    </w:p>
    <w:p>
      <w:pPr>
        <w:pStyle w:val="10"/>
        <w:spacing w:line="360" w:lineRule="auto"/>
        <w:ind w:firstLine="442" w:firstLineChars="200"/>
        <w:rPr>
          <w:rFonts w:hAnsi="宋体"/>
          <w:b/>
          <w:color w:val="000000" w:themeColor="text1"/>
          <w:sz w:val="22"/>
          <w:szCs w:val="22"/>
          <w14:textFill>
            <w14:solidFill>
              <w14:schemeClr w14:val="tx1"/>
            </w14:solidFill>
          </w14:textFill>
        </w:rPr>
      </w:pPr>
    </w:p>
    <w:p>
      <w:pPr>
        <w:pStyle w:val="10"/>
        <w:spacing w:line="360" w:lineRule="auto"/>
        <w:ind w:firstLine="440" w:firstLineChars="200"/>
        <w:rPr>
          <w:rFonts w:hAnsi="宋体"/>
          <w:color w:val="000000" w:themeColor="text1"/>
          <w:sz w:val="22"/>
          <w:szCs w:val="22"/>
          <w14:textFill>
            <w14:solidFill>
              <w14:schemeClr w14:val="tx1"/>
            </w14:solidFill>
          </w14:textFill>
        </w:rPr>
      </w:pPr>
      <w:r>
        <w:rPr>
          <w:rFonts w:hint="eastAsia" w:hAnsi="宋体"/>
          <w:color w:val="000000" w:themeColor="text1"/>
          <w:sz w:val="22"/>
          <w:szCs w:val="22"/>
          <w14:textFill>
            <w14:solidFill>
              <w14:schemeClr w14:val="tx1"/>
            </w14:solidFill>
          </w14:textFill>
        </w:rPr>
        <w:t>注：</w:t>
      </w:r>
      <w:r>
        <w:rPr>
          <w:rFonts w:hAnsi="宋体"/>
          <w:color w:val="000000" w:themeColor="text1"/>
          <w:sz w:val="22"/>
          <w:szCs w:val="22"/>
          <w14:textFill>
            <w14:solidFill>
              <w14:schemeClr w14:val="tx1"/>
            </w14:solidFill>
          </w14:textFill>
        </w:rPr>
        <w:t>若投标人提供虚假信息的，将按省市及东莞市交通投资集团有限公司</w:t>
      </w:r>
      <w:r>
        <w:rPr>
          <w:rFonts w:hint="eastAsia" w:hAnsi="宋体"/>
          <w:color w:val="000000" w:themeColor="text1"/>
          <w:sz w:val="22"/>
          <w:szCs w:val="22"/>
          <w14:textFill>
            <w14:solidFill>
              <w14:schemeClr w14:val="tx1"/>
            </w14:solidFill>
          </w14:textFill>
        </w:rPr>
        <w:t>招标</w:t>
      </w:r>
      <w:r>
        <w:rPr>
          <w:rFonts w:hAnsi="宋体"/>
          <w:color w:val="000000" w:themeColor="text1"/>
          <w:sz w:val="22"/>
          <w:szCs w:val="22"/>
          <w14:textFill>
            <w14:solidFill>
              <w14:schemeClr w14:val="tx1"/>
            </w14:solidFill>
          </w14:textFill>
        </w:rPr>
        <w:t>采购管理办法相关规定严肃处理。</w:t>
      </w:r>
    </w:p>
    <w:p>
      <w:pPr>
        <w:pStyle w:val="10"/>
        <w:spacing w:line="360" w:lineRule="auto"/>
        <w:ind w:firstLine="442" w:firstLineChars="200"/>
        <w:rPr>
          <w:rFonts w:hAnsi="宋体"/>
          <w:b/>
          <w:bCs/>
          <w:color w:val="000000" w:themeColor="text1"/>
          <w:sz w:val="22"/>
          <w:szCs w:val="22"/>
          <w14:textFill>
            <w14:solidFill>
              <w14:schemeClr w14:val="tx1"/>
            </w14:solidFill>
          </w14:textFill>
        </w:rPr>
      </w:pPr>
    </w:p>
    <w:p>
      <w:pPr>
        <w:pStyle w:val="10"/>
        <w:spacing w:line="360" w:lineRule="auto"/>
        <w:jc w:val="center"/>
        <w:rPr>
          <w:rFonts w:hAnsi="宋体"/>
          <w:b/>
          <w:bCs/>
          <w:color w:val="000000" w:themeColor="text1"/>
          <w:sz w:val="22"/>
          <w:szCs w:val="22"/>
          <w14:textFill>
            <w14:solidFill>
              <w14:schemeClr w14:val="tx1"/>
            </w14:solidFill>
          </w14:textFill>
        </w:rPr>
      </w:pPr>
    </w:p>
    <w:p>
      <w:pPr>
        <w:pStyle w:val="10"/>
        <w:spacing w:line="360" w:lineRule="auto"/>
        <w:jc w:val="center"/>
        <w:rPr>
          <w:rFonts w:hAnsi="宋体"/>
          <w:b/>
          <w:bCs/>
          <w:color w:val="000000" w:themeColor="text1"/>
          <w:sz w:val="22"/>
          <w:szCs w:val="22"/>
          <w14:textFill>
            <w14:solidFill>
              <w14:schemeClr w14:val="tx1"/>
            </w14:solidFill>
          </w14:textFill>
        </w:rPr>
      </w:pPr>
    </w:p>
    <w:p>
      <w:pPr>
        <w:spacing w:line="560" w:lineRule="exact"/>
        <w:rPr>
          <w:rFonts w:ascii="Times New Roman" w:hAnsi="Times New Roman"/>
          <w:b/>
          <w:color w:val="000000" w:themeColor="text1"/>
          <w:sz w:val="22"/>
          <w:szCs w:val="22"/>
          <w14:textFill>
            <w14:solidFill>
              <w14:schemeClr w14:val="tx1"/>
            </w14:solidFill>
          </w14:textFill>
        </w:rPr>
      </w:pPr>
    </w:p>
    <w:p>
      <w:pPr>
        <w:spacing w:line="560" w:lineRule="exact"/>
        <w:jc w:val="center"/>
        <w:rPr>
          <w:rFonts w:ascii="Times New Roman" w:hAnsi="Times New Roman"/>
          <w:b/>
          <w:color w:val="000000" w:themeColor="text1"/>
          <w:sz w:val="22"/>
          <w:szCs w:val="22"/>
          <w14:textFill>
            <w14:solidFill>
              <w14:schemeClr w14:val="tx1"/>
            </w14:solidFill>
          </w14:textFill>
        </w:rPr>
      </w:pPr>
    </w:p>
    <w:p>
      <w:pPr>
        <w:widowControl/>
        <w:jc w:val="left"/>
        <w:rPr>
          <w:rFonts w:ascii="Times New Roman" w:hAnsi="Times New Roman"/>
          <w:b/>
          <w:bCs/>
          <w:color w:val="000000" w:themeColor="text1"/>
          <w:sz w:val="22"/>
          <w:szCs w:val="22"/>
          <w14:textFill>
            <w14:solidFill>
              <w14:schemeClr w14:val="tx1"/>
            </w14:solidFill>
          </w14:textFill>
        </w:rPr>
        <w:sectPr>
          <w:headerReference r:id="rId21" w:type="first"/>
          <w:headerReference r:id="rId20" w:type="default"/>
          <w:footerReference r:id="rId22" w:type="default"/>
          <w:pgSz w:w="11906" w:h="16838"/>
          <w:pgMar w:top="1327" w:right="1440" w:bottom="1327" w:left="1440" w:header="851" w:footer="992" w:gutter="0"/>
          <w:cols w:space="720" w:num="1"/>
          <w:titlePg/>
          <w:docGrid w:type="lines" w:linePitch="312" w:charSpace="0"/>
        </w:sectPr>
      </w:pPr>
      <w:bookmarkStart w:id="331" w:name="_Toc441844123"/>
    </w:p>
    <w:p>
      <w:pPr>
        <w:pStyle w:val="5"/>
        <w:jc w:val="center"/>
        <w:rPr>
          <w:rFonts w:ascii="宋体" w:hAnsi="宋体"/>
          <w:color w:val="000000" w:themeColor="text1"/>
          <w:sz w:val="22"/>
          <w:szCs w:val="22"/>
          <w14:textFill>
            <w14:solidFill>
              <w14:schemeClr w14:val="tx1"/>
            </w14:solidFill>
          </w14:textFill>
        </w:rPr>
      </w:pPr>
      <w:bookmarkStart w:id="332" w:name="_Toc20587"/>
      <w:bookmarkStart w:id="333" w:name="_Toc18742"/>
      <w:bookmarkStart w:id="334" w:name="_Toc11612"/>
      <w:r>
        <w:rPr>
          <w:rFonts w:hint="eastAsia" w:ascii="宋体" w:hAnsi="宋体"/>
          <w:color w:val="000000" w:themeColor="text1"/>
          <w:sz w:val="22"/>
          <w:szCs w:val="22"/>
          <w:lang w:val="en-US"/>
          <w14:textFill>
            <w14:solidFill>
              <w14:schemeClr w14:val="tx1"/>
            </w14:solidFill>
          </w14:textFill>
        </w:rPr>
        <w:t>7</w:t>
      </w:r>
      <w:r>
        <w:rPr>
          <w:rFonts w:ascii="宋体" w:hAnsi="宋体"/>
          <w:color w:val="000000" w:themeColor="text1"/>
          <w:sz w:val="22"/>
          <w:szCs w:val="22"/>
          <w14:textFill>
            <w14:solidFill>
              <w14:schemeClr w14:val="tx1"/>
            </w14:solidFill>
          </w14:textFill>
        </w:rPr>
        <w:t>、</w:t>
      </w:r>
      <w:bookmarkEnd w:id="331"/>
      <w:r>
        <w:rPr>
          <w:rFonts w:hint="eastAsia" w:ascii="宋体" w:hAnsi="宋体"/>
          <w:color w:val="000000" w:themeColor="text1"/>
          <w:sz w:val="22"/>
          <w:szCs w:val="22"/>
          <w14:textFill>
            <w14:solidFill>
              <w14:schemeClr w14:val="tx1"/>
            </w14:solidFill>
          </w14:textFill>
        </w:rPr>
        <w:t>最近</w:t>
      </w:r>
      <w:r>
        <w:rPr>
          <w:rFonts w:ascii="宋体" w:hAnsi="宋体"/>
          <w:color w:val="000000" w:themeColor="text1"/>
          <w:sz w:val="22"/>
          <w:szCs w:val="22"/>
          <w14:textFill>
            <w14:solidFill>
              <w14:schemeClr w14:val="tx1"/>
            </w14:solidFill>
          </w14:textFill>
        </w:rPr>
        <w:t>3年企业牵涉的主要诉讼案件或仲裁案件或处罚说明格式</w:t>
      </w:r>
      <w:bookmarkEnd w:id="332"/>
      <w:bookmarkEnd w:id="333"/>
      <w:bookmarkEnd w:id="334"/>
    </w:p>
    <w:p>
      <w:pPr>
        <w:spacing w:line="360" w:lineRule="auto"/>
        <w:jc w:val="center"/>
        <w:rPr>
          <w:rFonts w:ascii="宋体" w:hAnsi="宋体"/>
          <w:b/>
          <w:bCs/>
          <w:color w:val="000000" w:themeColor="text1"/>
          <w:sz w:val="22"/>
          <w:szCs w:val="22"/>
          <w:lang w:val="zh-CN"/>
          <w14:textFill>
            <w14:solidFill>
              <w14:schemeClr w14:val="tx1"/>
            </w14:solidFill>
          </w14:textFill>
        </w:rPr>
      </w:pPr>
      <w:r>
        <w:rPr>
          <w:rFonts w:hint="eastAsia" w:ascii="宋体" w:hAnsi="宋体"/>
          <w:b/>
          <w:bCs/>
          <w:color w:val="000000" w:themeColor="text1"/>
          <w:sz w:val="22"/>
          <w:szCs w:val="22"/>
          <w:lang w:val="zh-CN"/>
          <w14:textFill>
            <w14:solidFill>
              <w14:schemeClr w14:val="tx1"/>
            </w14:solidFill>
          </w14:textFill>
        </w:rPr>
        <w:t>最近</w:t>
      </w:r>
      <w:r>
        <w:rPr>
          <w:rFonts w:ascii="宋体" w:hAnsi="宋体"/>
          <w:b/>
          <w:bCs/>
          <w:color w:val="000000" w:themeColor="text1"/>
          <w:sz w:val="22"/>
          <w:szCs w:val="22"/>
          <w:lang w:val="zh-CN"/>
          <w14:textFill>
            <w14:solidFill>
              <w14:schemeClr w14:val="tx1"/>
            </w14:solidFill>
          </w14:textFill>
        </w:rPr>
        <w:t>3年企业牵涉的主要诉讼案件或仲裁案件或处罚说明</w:t>
      </w:r>
    </w:p>
    <w:tbl>
      <w:tblPr>
        <w:tblStyle w:val="1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859"/>
        <w:gridCol w:w="2203"/>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 xml:space="preserve">         事项</w:t>
            </w:r>
            <w:r>
              <w:rPr>
                <w:rFonts w:hint="eastAsia" w:ascii="宋体" w:hAnsi="宋体"/>
                <w:color w:val="000000" w:themeColor="text1"/>
                <w:sz w:val="22"/>
                <w:szCs w:val="22"/>
                <w:shd w:val="clear" w:color="auto" w:fill="FFFFFF"/>
                <w14:textFill>
                  <w14:solidFill>
                    <w14:schemeClr w14:val="tx1"/>
                  </w14:solidFill>
                </w14:textFill>
              </w:rPr>
              <w:t>名称</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认定时间</w:t>
            </w:r>
          </w:p>
        </w:tc>
        <w:tc>
          <w:tcPr>
            <w:tcW w:w="2203" w:type="dxa"/>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处罚期届满</w:t>
            </w:r>
            <w:r>
              <w:rPr>
                <w:rFonts w:ascii="宋体" w:hAnsi="宋体"/>
                <w:color w:val="000000" w:themeColor="text1"/>
                <w:sz w:val="22"/>
                <w:szCs w:val="22"/>
                <w:shd w:val="clear" w:color="auto" w:fill="FFFFFF"/>
                <w14:textFill>
                  <w14:solidFill>
                    <w14:schemeClr w14:val="tx1"/>
                  </w14:solidFill>
                </w14:textFill>
              </w:rPr>
              <w:t>/异常名录信息失效时间</w:t>
            </w: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是否被认定为失信被执行人</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是否被认定为重大税收违法案件当事人名单</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是否被认定为严重违法失信行为记录名单</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有无受各级管理部门的处罚</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有无发生经济诉讼或纠纷</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bl>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注：根据投标人及其不具有独立法人资格的分支机构的实际情况自行编写，无相关事项的，在</w:t>
      </w:r>
      <w:r>
        <w:rPr>
          <w:rFonts w:ascii="宋体" w:hAnsi="宋体"/>
          <w:color w:val="000000" w:themeColor="text1"/>
          <w:sz w:val="22"/>
          <w:szCs w:val="22"/>
          <w:shd w:val="clear" w:color="auto" w:fill="FFFFFF"/>
          <w14:textFill>
            <w14:solidFill>
              <w14:schemeClr w14:val="tx1"/>
            </w14:solidFill>
          </w14:textFill>
        </w:rPr>
        <w:t xml:space="preserve"> </w:t>
      </w:r>
      <w:r>
        <w:rPr>
          <w:rFonts w:hint="eastAsia" w:ascii="宋体" w:hAnsi="宋体"/>
          <w:color w:val="000000" w:themeColor="text1"/>
          <w:sz w:val="22"/>
          <w:szCs w:val="22"/>
          <w:shd w:val="clear" w:color="auto" w:fill="FFFFFF"/>
          <w14:textFill>
            <w14:solidFill>
              <w14:schemeClr w14:val="tx1"/>
            </w14:solidFill>
          </w14:textFill>
        </w:rPr>
        <w:t>“认定时间”列填“无”；若受到相关处罚的应附处罚相关材料复印件，发生经济诉讼或纠纷的应附法院判决书、仲裁决议等相关材料复印件；如相关异常名录信息已失效，投标人需提供相关证明资料。</w:t>
      </w:r>
    </w:p>
    <w:p>
      <w:pPr>
        <w:spacing w:line="360" w:lineRule="auto"/>
        <w:rPr>
          <w:rFonts w:ascii="宋体" w:hAnsi="宋体"/>
          <w:color w:val="000000" w:themeColor="text1"/>
          <w:sz w:val="22"/>
          <w:szCs w:val="22"/>
          <w:shd w:val="clear" w:color="auto" w:fill="FFFFFF"/>
          <w14:textFill>
            <w14:solidFill>
              <w14:schemeClr w14:val="tx1"/>
            </w14:solidFill>
          </w14:textFill>
        </w:rPr>
      </w:pPr>
    </w:p>
    <w:p>
      <w:pPr>
        <w:pStyle w:val="27"/>
        <w:spacing w:line="360" w:lineRule="auto"/>
        <w:ind w:firstLine="0" w:firstLineChars="0"/>
        <w:rPr>
          <w:rFonts w:ascii="宋体" w:eastAsia="宋体"/>
          <w:color w:val="000000" w:themeColor="text1"/>
          <w:sz w:val="22"/>
          <w:szCs w:val="22"/>
          <w14:textFill>
            <w14:solidFill>
              <w14:schemeClr w14:val="tx1"/>
            </w14:solidFill>
          </w14:textFill>
        </w:rPr>
      </w:pPr>
    </w:p>
    <w:p>
      <w:pPr>
        <w:spacing w:line="360" w:lineRule="auto"/>
        <w:ind w:firstLine="5280" w:firstLineChars="2400"/>
        <w:rPr>
          <w:rFonts w:ascii="宋体"/>
          <w:color w:val="000000" w:themeColor="text1"/>
          <w:sz w:val="22"/>
          <w:szCs w:val="22"/>
          <w14:textFill>
            <w14:solidFill>
              <w14:schemeClr w14:val="tx1"/>
            </w14:solidFill>
          </w14:textFill>
        </w:rPr>
      </w:pPr>
      <w:r>
        <w:rPr>
          <w:rFonts w:hint="eastAsia" w:ascii="宋体"/>
          <w:color w:val="000000" w:themeColor="text1"/>
          <w:sz w:val="22"/>
          <w:szCs w:val="22"/>
          <w14:textFill>
            <w14:solidFill>
              <w14:schemeClr w14:val="tx1"/>
            </w14:solidFill>
          </w14:textFill>
        </w:rPr>
        <w:t>投标人名称（公章）：</w:t>
      </w:r>
    </w:p>
    <w:p>
      <w:pPr>
        <w:spacing w:line="360" w:lineRule="auto"/>
        <w:ind w:firstLine="5280" w:firstLineChars="240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日期：</w:t>
      </w:r>
      <w:r>
        <w:rPr>
          <w:rFonts w:ascii="宋体" w:hAnsi="宋体"/>
          <w:color w:val="000000" w:themeColor="text1"/>
          <w:sz w:val="22"/>
          <w:szCs w:val="22"/>
          <w:lang w:val="zh-CN"/>
          <w14:textFill>
            <w14:solidFill>
              <w14:schemeClr w14:val="tx1"/>
            </w14:solidFill>
          </w14:textFill>
        </w:rPr>
        <w:t xml:space="preserve">   </w:t>
      </w:r>
      <w:r>
        <w:rPr>
          <w:rFonts w:hint="eastAsia" w:ascii="宋体" w:hAnsi="宋体"/>
          <w:color w:val="000000" w:themeColor="text1"/>
          <w:sz w:val="22"/>
          <w:szCs w:val="22"/>
          <w:lang w:val="zh-CN"/>
          <w14:textFill>
            <w14:solidFill>
              <w14:schemeClr w14:val="tx1"/>
            </w14:solidFill>
          </w14:textFill>
        </w:rPr>
        <w:t>年</w:t>
      </w:r>
      <w:r>
        <w:rPr>
          <w:rFonts w:ascii="宋体" w:hAnsi="宋体"/>
          <w:color w:val="000000" w:themeColor="text1"/>
          <w:sz w:val="22"/>
          <w:szCs w:val="22"/>
          <w:lang w:val="zh-CN"/>
          <w14:textFill>
            <w14:solidFill>
              <w14:schemeClr w14:val="tx1"/>
            </w14:solidFill>
          </w14:textFill>
        </w:rPr>
        <w:t xml:space="preserve">   </w:t>
      </w:r>
      <w:r>
        <w:rPr>
          <w:rFonts w:hint="eastAsia" w:ascii="宋体" w:hAnsi="宋体"/>
          <w:color w:val="000000" w:themeColor="text1"/>
          <w:sz w:val="22"/>
          <w:szCs w:val="22"/>
          <w:lang w:val="zh-CN"/>
          <w14:textFill>
            <w14:solidFill>
              <w14:schemeClr w14:val="tx1"/>
            </w14:solidFill>
          </w14:textFill>
        </w:rPr>
        <w:t>月</w:t>
      </w:r>
      <w:r>
        <w:rPr>
          <w:rFonts w:ascii="宋体" w:hAnsi="宋体"/>
          <w:color w:val="000000" w:themeColor="text1"/>
          <w:sz w:val="22"/>
          <w:szCs w:val="22"/>
          <w:lang w:val="zh-CN"/>
          <w14:textFill>
            <w14:solidFill>
              <w14:schemeClr w14:val="tx1"/>
            </w14:solidFill>
          </w14:textFill>
        </w:rPr>
        <w:t xml:space="preserve">   </w:t>
      </w:r>
      <w:r>
        <w:rPr>
          <w:rFonts w:hint="eastAsia" w:ascii="宋体" w:hAnsi="宋体"/>
          <w:color w:val="000000" w:themeColor="text1"/>
          <w:sz w:val="22"/>
          <w:szCs w:val="22"/>
          <w:lang w:val="zh-CN"/>
          <w14:textFill>
            <w14:solidFill>
              <w14:schemeClr w14:val="tx1"/>
            </w14:solidFill>
          </w14:textFill>
        </w:rPr>
        <w:t>日</w:t>
      </w:r>
    </w:p>
    <w:p>
      <w:pPr>
        <w:pStyle w:val="10"/>
        <w:spacing w:line="360" w:lineRule="auto"/>
        <w:jc w:val="center"/>
        <w:rPr>
          <w:rFonts w:hAnsi="宋体"/>
          <w:b/>
          <w:bCs/>
          <w:color w:val="000000" w:themeColor="text1"/>
          <w:sz w:val="22"/>
          <w:szCs w:val="22"/>
          <w14:textFill>
            <w14:solidFill>
              <w14:schemeClr w14:val="tx1"/>
            </w14:solidFill>
          </w14:textFill>
        </w:rPr>
      </w:pPr>
    </w:p>
    <w:p>
      <w:pPr>
        <w:pStyle w:val="10"/>
        <w:spacing w:line="360" w:lineRule="auto"/>
        <w:jc w:val="center"/>
        <w:rPr>
          <w:rFonts w:hAnsi="宋体"/>
          <w:b/>
          <w:bCs/>
          <w:color w:val="000000" w:themeColor="text1"/>
          <w:sz w:val="22"/>
          <w:szCs w:val="22"/>
          <w14:textFill>
            <w14:solidFill>
              <w14:schemeClr w14:val="tx1"/>
            </w14:solidFill>
          </w14:textFill>
        </w:rPr>
      </w:pPr>
    </w:p>
    <w:p>
      <w:pPr>
        <w:widowControl/>
        <w:jc w:val="left"/>
        <w:rPr>
          <w:rFonts w:ascii="Times New Roman" w:hAnsi="Times New Roman"/>
          <w:b/>
          <w:bCs/>
          <w:color w:val="000000" w:themeColor="text1"/>
          <w:sz w:val="22"/>
          <w:szCs w:val="22"/>
          <w14:textFill>
            <w14:solidFill>
              <w14:schemeClr w14:val="tx1"/>
            </w14:solidFill>
          </w14:textFill>
        </w:rPr>
      </w:pPr>
    </w:p>
    <w:p>
      <w:pPr>
        <w:pStyle w:val="5"/>
        <w:spacing w:line="360" w:lineRule="auto"/>
        <w:jc w:val="center"/>
        <w:rPr>
          <w:rFonts w:ascii="宋体" w:hAnsi="宋体"/>
          <w:color w:val="000000" w:themeColor="text1"/>
          <w:sz w:val="22"/>
          <w:szCs w:val="22"/>
          <w14:textFill>
            <w14:solidFill>
              <w14:schemeClr w14:val="tx1"/>
            </w14:solidFill>
          </w14:textFill>
        </w:rPr>
        <w:sectPr>
          <w:pgSz w:w="11906" w:h="16838"/>
          <w:pgMar w:top="1327" w:right="1440" w:bottom="1327" w:left="1440" w:header="851" w:footer="992" w:gutter="0"/>
          <w:cols w:space="720" w:num="1"/>
          <w:titlePg/>
          <w:docGrid w:type="lines" w:linePitch="312" w:charSpace="0"/>
        </w:sectPr>
      </w:pPr>
      <w:bookmarkStart w:id="335" w:name="_Toc22389"/>
      <w:bookmarkStart w:id="336" w:name="_Toc2461"/>
      <w:bookmarkStart w:id="337" w:name="_Toc441844124"/>
      <w:bookmarkStart w:id="338" w:name="_Toc32310"/>
      <w:bookmarkStart w:id="339" w:name="_Toc11396"/>
      <w:bookmarkStart w:id="340" w:name="_Toc23885"/>
    </w:p>
    <w:bookmarkEnd w:id="335"/>
    <w:bookmarkEnd w:id="336"/>
    <w:bookmarkEnd w:id="337"/>
    <w:bookmarkEnd w:id="338"/>
    <w:bookmarkEnd w:id="339"/>
    <w:bookmarkEnd w:id="340"/>
    <w:p>
      <w:pPr>
        <w:pStyle w:val="5"/>
        <w:jc w:val="left"/>
        <w:rPr>
          <w:rFonts w:ascii="宋体" w:hAnsi="宋体"/>
          <w:color w:val="000000" w:themeColor="text1"/>
          <w:sz w:val="22"/>
          <w:szCs w:val="22"/>
          <w:lang w:val="en-US"/>
          <w14:textFill>
            <w14:solidFill>
              <w14:schemeClr w14:val="tx1"/>
            </w14:solidFill>
          </w14:textFill>
        </w:rPr>
      </w:pPr>
      <w:bookmarkStart w:id="341" w:name="_Toc26569"/>
      <w:bookmarkStart w:id="342" w:name="_Toc6848"/>
      <w:bookmarkStart w:id="343" w:name="_Toc28259"/>
      <w:bookmarkStart w:id="344" w:name="_Toc441844132"/>
      <w:r>
        <w:rPr>
          <w:rFonts w:hint="eastAsia" w:ascii="宋体" w:hAnsi="宋体"/>
          <w:color w:val="000000" w:themeColor="text1"/>
          <w:sz w:val="22"/>
          <w:szCs w:val="22"/>
          <w:lang w:val="en-US"/>
          <w14:textFill>
            <w14:solidFill>
              <w14:schemeClr w14:val="tx1"/>
            </w14:solidFill>
          </w14:textFill>
        </w:rPr>
        <w:t>8</w:t>
      </w:r>
      <w:r>
        <w:rPr>
          <w:rFonts w:ascii="宋体" w:hAnsi="宋体"/>
          <w:color w:val="000000" w:themeColor="text1"/>
          <w:sz w:val="22"/>
          <w:szCs w:val="22"/>
          <w14:textFill>
            <w14:solidFill>
              <w14:schemeClr w14:val="tx1"/>
            </w14:solidFill>
          </w14:textFill>
        </w:rPr>
        <w:t>、</w:t>
      </w:r>
      <w:r>
        <w:rPr>
          <w:rFonts w:hint="eastAsia" w:ascii="宋体" w:hAnsi="宋体"/>
          <w:color w:val="000000" w:themeColor="text1"/>
          <w:sz w:val="22"/>
          <w:szCs w:val="22"/>
          <w:lang w:val="en-US"/>
          <w14:textFill>
            <w14:solidFill>
              <w14:schemeClr w14:val="tx1"/>
            </w14:solidFill>
          </w14:textFill>
        </w:rPr>
        <w:t>“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bookmarkEnd w:id="341"/>
      <w:bookmarkEnd w:id="342"/>
      <w:bookmarkEnd w:id="343"/>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rPr>
          <w:rFonts w:ascii="宋体" w:hAnsi="宋体"/>
          <w:color w:val="000000" w:themeColor="text1"/>
          <w:sz w:val="22"/>
          <w:szCs w:val="22"/>
          <w14:textFill>
            <w14:solidFill>
              <w14:schemeClr w14:val="tx1"/>
            </w14:solidFill>
          </w14:textFill>
        </w:rPr>
      </w:pPr>
    </w:p>
    <w:p>
      <w:pPr>
        <w:pStyle w:val="5"/>
        <w:jc w:val="center"/>
        <w:rPr>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lang w:val="en-US"/>
          <w14:textFill>
            <w14:solidFill>
              <w14:schemeClr w14:val="tx1"/>
            </w14:solidFill>
          </w14:textFill>
        </w:rPr>
      </w:pPr>
      <w:bookmarkStart w:id="345" w:name="_Toc23845"/>
      <w:bookmarkStart w:id="346" w:name="_Toc23736"/>
      <w:bookmarkStart w:id="347" w:name="_Toc26917"/>
      <w:r>
        <w:rPr>
          <w:rFonts w:hint="eastAsia" w:ascii="宋体" w:hAnsi="宋体"/>
          <w:color w:val="000000" w:themeColor="text1"/>
          <w:sz w:val="22"/>
          <w:szCs w:val="22"/>
          <w:lang w:val="en-US"/>
          <w14:textFill>
            <w14:solidFill>
              <w14:schemeClr w14:val="tx1"/>
            </w14:solidFill>
          </w14:textFill>
        </w:rPr>
        <w:t>9、投标人资格承诺书格式</w:t>
      </w:r>
      <w:bookmarkEnd w:id="345"/>
      <w:bookmarkEnd w:id="346"/>
      <w:bookmarkEnd w:id="347"/>
    </w:p>
    <w:p>
      <w:pPr>
        <w:pStyle w:val="16"/>
        <w:spacing w:before="0" w:beforeAutospacing="0" w:after="0" w:afterAutospacing="0" w:line="360" w:lineRule="auto"/>
        <w:jc w:val="center"/>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投标人资格承诺书</w:t>
      </w:r>
    </w:p>
    <w:p>
      <w:pPr>
        <w:pStyle w:val="16"/>
        <w:spacing w:before="0" w:beforeAutospacing="0" w:after="0" w:afterAutospacing="0" w:line="360" w:lineRule="auto"/>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致∶ 东莞市数据互联有限公司</w:t>
      </w:r>
    </w:p>
    <w:p>
      <w:pPr>
        <w:pStyle w:val="16"/>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本公司参加_____采购项目（采购编号∶____）的采购活动，并声明∶</w:t>
      </w:r>
    </w:p>
    <w:p>
      <w:pPr>
        <w:pStyle w:val="16"/>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本公司完全符合以下条件∶</w:t>
      </w:r>
    </w:p>
    <w:p>
      <w:pPr>
        <w:pStyle w:val="16"/>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（1） 我司（含其授权的下属单位、分支机构）在投标前三年内，在经营活动中不存在大额诉讼或多宗诉讼或其它违法、违约等影响本次招标项目正常履行的情形。</w:t>
      </w:r>
    </w:p>
    <w:p>
      <w:pPr>
        <w:pStyle w:val="16"/>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（2） 我司及关联公司与东莞市交通投资集团有限公司及其下属企业曾签订的合同在履约过程中无严重违约而导致合同变更、中止、解除的情况。</w:t>
      </w:r>
    </w:p>
    <w:p>
      <w:pPr>
        <w:pStyle w:val="16"/>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（3）我司及关联公司无正在与东莞市交通投资集团有限公司及其下属企业发生诉讼的情况。</w:t>
      </w:r>
    </w:p>
    <w:p>
      <w:pPr>
        <w:pStyle w:val="16"/>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（4）我司及关联公司无法院判决或仲裁裁决认定在与东莞市交通投资集团有限公司及其下属企业履约过程中存在违约责任或过失责任的情况。</w:t>
      </w:r>
    </w:p>
    <w:p>
      <w:pPr>
        <w:pStyle w:val="16"/>
        <w:spacing w:before="0" w:beforeAutospacing="0" w:after="0" w:afterAutospacing="0" w:line="360" w:lineRule="auto"/>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p>
    <w:p>
      <w:pPr>
        <w:pStyle w:val="16"/>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注∶我司已清楚招标文件所有要求及有关规定∶并承诺参加本次采购活动中，如有违法、违规、弄虚作假行为，所造成的损失、不良后果及法律责任，一律由本公司承担。</w:t>
      </w:r>
    </w:p>
    <w:p>
      <w:pPr>
        <w:pStyle w:val="16"/>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特此声明！</w:t>
      </w:r>
    </w:p>
    <w:p>
      <w:pPr>
        <w:pStyle w:val="16"/>
        <w:spacing w:before="0" w:beforeAutospacing="0" w:after="0" w:afterAutospacing="0" w:line="360" w:lineRule="auto"/>
        <w:ind w:firstLine="2860" w:firstLineChars="13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p>
    <w:p>
      <w:pPr>
        <w:pStyle w:val="16"/>
        <w:spacing w:before="0" w:beforeAutospacing="0" w:after="0" w:afterAutospacing="0" w:line="360" w:lineRule="auto"/>
        <w:ind w:firstLine="2860" w:firstLineChars="13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p>
    <w:p>
      <w:pPr>
        <w:pStyle w:val="16"/>
        <w:spacing w:before="0" w:beforeAutospacing="0" w:after="0" w:afterAutospacing="0" w:line="360" w:lineRule="auto"/>
        <w:ind w:firstLine="2860" w:firstLineChars="13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p>
    <w:p>
      <w:pPr>
        <w:pStyle w:val="16"/>
        <w:spacing w:before="0" w:beforeAutospacing="0" w:after="0" w:afterAutospacing="0" w:line="360" w:lineRule="auto"/>
        <w:ind w:firstLine="3740" w:firstLineChars="17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投标人名称（加盖公章）∶</w:t>
      </w:r>
    </w:p>
    <w:p>
      <w:pPr>
        <w:pStyle w:val="16"/>
        <w:spacing w:before="0" w:beforeAutospacing="0" w:after="0" w:afterAutospacing="0" w:line="360" w:lineRule="auto"/>
        <w:ind w:firstLine="3740" w:firstLineChars="1700"/>
        <w:rPr>
          <w:color w:val="000000" w:themeColor="text1"/>
          <w:sz w:val="21"/>
          <w:szCs w:val="22"/>
          <w:lang w:val="en-US"/>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法定代表人（签名或盖章）</w:t>
      </w:r>
    </w:p>
    <w:bookmarkEnd w:id="344"/>
    <w:p>
      <w:pPr>
        <w:pStyle w:val="5"/>
        <w:jc w:val="center"/>
        <w:rPr>
          <w:rFonts w:ascii="宋体" w:hAnsi="宋体"/>
          <w:color w:val="000000" w:themeColor="text1"/>
          <w:sz w:val="22"/>
          <w:szCs w:val="22"/>
          <w:lang w:val="en-US"/>
          <w14:textFill>
            <w14:solidFill>
              <w14:schemeClr w14:val="tx1"/>
            </w14:solidFill>
          </w14:textFill>
        </w:rPr>
      </w:pPr>
      <w:bookmarkStart w:id="348" w:name="_Toc2753"/>
      <w:bookmarkStart w:id="349" w:name="_Toc9185"/>
      <w:bookmarkStart w:id="350" w:name="_Toc18084"/>
      <w:bookmarkStart w:id="351" w:name="_Toc439325729"/>
      <w:bookmarkStart w:id="352" w:name="_Toc441844134"/>
      <w:bookmarkStart w:id="353" w:name="_Toc14568"/>
      <w:r>
        <w:rPr>
          <w:rFonts w:hint="eastAsia" w:ascii="宋体" w:hAnsi="宋体"/>
          <w:color w:val="000000" w:themeColor="text1"/>
          <w:sz w:val="22"/>
          <w:szCs w:val="22"/>
          <w:lang w:val="en-US"/>
          <w14:textFill>
            <w14:solidFill>
              <w14:schemeClr w14:val="tx1"/>
            </w14:solidFill>
          </w14:textFill>
        </w:rPr>
        <w:t>10、投标人认为需加以说明的其他内容</w:t>
      </w:r>
      <w:bookmarkEnd w:id="348"/>
      <w:bookmarkEnd w:id="349"/>
      <w:bookmarkEnd w:id="350"/>
      <w:bookmarkEnd w:id="351"/>
      <w:bookmarkEnd w:id="352"/>
      <w:bookmarkEnd w:id="353"/>
    </w:p>
    <w:p>
      <w:pPr>
        <w:spacing w:after="60"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格  式  自  定</w:t>
      </w: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rPr>
          <w:color w:val="000000" w:themeColor="text1"/>
          <w14:textFill>
            <w14:solidFill>
              <w14:schemeClr w14:val="tx1"/>
            </w14:solidFill>
          </w14:textFill>
        </w:rPr>
      </w:pPr>
    </w:p>
    <w:p/>
    <w:sectPr>
      <w:headerReference r:id="rId23" w:type="default"/>
      <w:footerReference r:id="rId24" w:type="default"/>
      <w:pgSz w:w="11906" w:h="16838"/>
      <w:pgMar w:top="1327" w:right="1274"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t>111</w:t>
    </w:r>
    <w:r>
      <w:fldChar w:fldCharType="end"/>
    </w:r>
  </w:p>
  <w:p>
    <w:pPr>
      <w:pStyle w:val="12"/>
      <w:jc w:val="both"/>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pPr>
    <w:r>
      <mc:AlternateContent>
        <mc:Choice Requires="wps">
          <w:drawing>
            <wp:anchor distT="0" distB="0" distL="114300" distR="114300" simplePos="0" relativeHeight="251660288"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81.2pt;height:12pt;width:13.1pt;mso-position-horizontal-relative:page;mso-position-vertical-relative:page;z-index:-251656192;mso-width-relative:page;mso-height-relative:page;" filled="f" stroked="f" coordsize="21600,21600" o:gfxdata="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6fJ/GdsAAAANAQAADwAAAAAA&#10;AAABACAAAAAiAAAAZHJzL2Rvd25yZXYueG1sUEsBAhQAFAAAAAgAh07iQCDH3s+eAQAAIwMAAA4A&#10;AAAAAAAAAQAgAAAAKgEAAGRycy9lMm9Eb2MueG1sUEsFBgAAAAAGAAYAWQEAADoFAAAAAA==&#10;">
              <v:fill on="f" focussize="0,0"/>
              <v:stroke on="f"/>
              <v:imagedata o:title=""/>
              <o:lock v:ext="edit" aspectratio="f"/>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t>109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t>1</w: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81</w:t>
    </w:r>
    <w:r>
      <w:rPr>
        <w:rStyle w:val="20"/>
      </w:rPr>
      <w:fldChar w:fldCharType="end"/>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3360" behindDoc="1" locked="0" layoutInCell="1" allowOverlap="1">
              <wp:simplePos x="0" y="0"/>
              <wp:positionH relativeFrom="page">
                <wp:posOffset>3696335</wp:posOffset>
              </wp:positionH>
              <wp:positionV relativeFrom="page">
                <wp:posOffset>9933305</wp:posOffset>
              </wp:positionV>
              <wp:extent cx="167005" cy="139700"/>
              <wp:effectExtent l="635" t="0" r="3810" b="4445"/>
              <wp:wrapNone/>
              <wp:docPr id="18" name="Text Box 3"/>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rPr>
                              <w:rFonts w:eastAsia="Calibri" w:cs="Calibri"/>
                              <w:sz w:val="18"/>
                              <w:szCs w:val="18"/>
                            </w:rPr>
                          </w:pPr>
                          <w:r>
                            <w:fldChar w:fldCharType="begin"/>
                          </w:r>
                          <w:r>
                            <w:rPr>
                              <w:w w:val="99"/>
                              <w:sz w:val="18"/>
                            </w:rPr>
                            <w:instrText xml:space="preserve"> PAGE </w:instrText>
                          </w:r>
                          <w:r>
                            <w:fldChar w:fldCharType="separate"/>
                          </w:r>
                          <w:r>
                            <w:rPr>
                              <w:w w:val="99"/>
                              <w:sz w:val="18"/>
                            </w:rPr>
                            <w:t>20</w:t>
                          </w:r>
                          <w:r>
                            <w:fldChar w:fldCharType="end"/>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291.05pt;margin-top:782.15pt;height:11pt;width:13.15pt;mso-position-horizontal-relative:page;mso-position-vertical-relative:page;z-index:-251653120;mso-width-relative:page;mso-height-relative:page;" filled="f" stroked="f" coordsize="21600,21600" o:gfxdata="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uzoh2wAAAA0B&#10;AAAPAAAAAAAAAAEAIAAAACIAAABkcnMvZG93bnJldi54bWxQSwECFAAUAAAACACHTuJAMYC7Jd8B&#10;AAC2AwAADgAAAAAAAAABACAAAAAqAQAAZHJzL2Uyb0RvYy54bWxQSwUGAAAAAAYABgBZAQAAewUA&#10;AAAA&#10;">
              <v:fill on="f" focussize="0,0"/>
              <v:stroke on="f"/>
              <v:imagedata o:title=""/>
              <o:lock v:ext="edit" aspectratio="f"/>
              <v:textbox inset="0mm,0mm,0mm,0mm">
                <w:txbxContent>
                  <w:p>
                    <w:pPr>
                      <w:spacing w:line="203" w:lineRule="exact"/>
                      <w:ind w:left="40"/>
                      <w:rPr>
                        <w:rFonts w:eastAsia="Calibri" w:cs="Calibri"/>
                        <w:sz w:val="18"/>
                        <w:szCs w:val="18"/>
                      </w:rPr>
                    </w:pPr>
                    <w:r>
                      <w:fldChar w:fldCharType="begin"/>
                    </w:r>
                    <w:r>
                      <w:rPr>
                        <w:w w:val="99"/>
                        <w:sz w:val="18"/>
                      </w:rPr>
                      <w:instrText xml:space="preserve"> PAGE </w:instrText>
                    </w:r>
                    <w:r>
                      <w:fldChar w:fldCharType="separate"/>
                    </w:r>
                    <w:r>
                      <w:rPr>
                        <w:w w:val="99"/>
                        <w:sz w:val="18"/>
                      </w:rPr>
                      <w:t>20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320" w:lineRule="atLeast"/>
      <w:jc w:val="left"/>
    </w:pPr>
  </w:p>
  <w:p>
    <w:pPr>
      <w:pStyle w:val="1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g">
          <w:drawing>
            <wp:anchor distT="0" distB="0" distL="114300" distR="114300" simplePos="0" relativeHeight="251662336" behindDoc="1" locked="0" layoutInCell="1" allowOverlap="1">
              <wp:simplePos x="0" y="0"/>
              <wp:positionH relativeFrom="page">
                <wp:posOffset>1000760</wp:posOffset>
              </wp:positionH>
              <wp:positionV relativeFrom="page">
                <wp:posOffset>696595</wp:posOffset>
              </wp:positionV>
              <wp:extent cx="5558790" cy="1270"/>
              <wp:effectExtent l="10160" t="10795" r="12700" b="6985"/>
              <wp:wrapNone/>
              <wp:docPr id="16" name="Group 1"/>
              <wp:cNvGraphicFramePr/>
              <a:graphic xmlns:a="http://schemas.openxmlformats.org/drawingml/2006/main">
                <a:graphicData uri="http://schemas.microsoft.com/office/word/2010/wordprocessingGroup">
                  <wpg:wgp>
                    <wpg:cNvGrpSpPr/>
                    <wpg:grpSpPr>
                      <a:xfrm>
                        <a:off x="0" y="0"/>
                        <a:ext cx="5558790" cy="1270"/>
                        <a:chOff x="1576" y="1097"/>
                        <a:chExt cx="8754" cy="2"/>
                      </a:xfrm>
                    </wpg:grpSpPr>
                    <wps:wsp>
                      <wps:cNvPr id="17" name="Freeform 2"/>
                      <wps:cNvSpPr/>
                      <wps:spPr bwMode="auto">
                        <a:xfrm>
                          <a:off x="1576" y="1097"/>
                          <a:ext cx="8754" cy="2"/>
                        </a:xfrm>
                        <a:custGeom>
                          <a:avLst/>
                          <a:gdLst>
                            <a:gd name="T0" fmla="+- 0 1576 1576"/>
                            <a:gd name="T1" fmla="*/ T0 w 8754"/>
                            <a:gd name="T2" fmla="+- 0 10330 1576"/>
                            <a:gd name="T3" fmla="*/ T2 w 8754"/>
                          </a:gdLst>
                          <a:ahLst/>
                          <a:cxnLst>
                            <a:cxn ang="0">
                              <a:pos x="T1" y="0"/>
                            </a:cxn>
                            <a:cxn ang="0">
                              <a:pos x="T3" y="0"/>
                            </a:cxn>
                          </a:cxnLst>
                          <a:rect l="0" t="0" r="r" b="b"/>
                          <a:pathLst>
                            <a:path w="8754">
                              <a:moveTo>
                                <a:pt x="0" y="0"/>
                              </a:moveTo>
                              <a:lnTo>
                                <a:pt x="8754" y="0"/>
                              </a:lnTo>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1" o:spid="_x0000_s1026" o:spt="203" style="position:absolute;left:0pt;margin-left:78.8pt;margin-top:54.85pt;height:0.1pt;width:437.7pt;mso-position-horizontal-relative:page;mso-position-vertical-relative:page;z-index:-251654144;mso-width-relative:page;mso-height-relative:page;" coordorigin="1576,1097" coordsize="8754,2" o:gfxdata="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BwPSWe2gAAAAwBAAAPAAAAAAAAAAEAIAAAACIAAABkcnMvZG93bnJldi54&#10;bWxQSwECFAAUAAAACACHTuJAcnarmNwCAACfBgAADgAAAAAAAAABACAAAAApAQAAZHJzL2Uyb0Rv&#10;Yy54bWxQSwUGAAAAAAYABgBZAQAAdwYAAAAA&#10;">
              <o:lock v:ext="edit" aspectratio="f"/>
              <v:shape id="Freeform 2" o:spid="_x0000_s1026" o:spt="100" style="position:absolute;left:1576;top:1097;height:2;width:8754;" filled="f" stroked="t" coordsize="8754,1" o:gfxdata="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zl6em8AAAA&#10;2wAAAA8AAAAAAAAAAQAgAAAAIgAAAGRycy9kb3ducmV2LnhtbFBLAQIUABQAAAAIAIdO4kAzLwWe&#10;OwAAADkAAAAQAAAAAAAAAAEAIAAAAAsBAABkcnMvc2hhcGV4bWwueG1sUEsFBgAAAAAGAAYAWwEA&#10;ALUDAAAAAA==&#10;" path="m0,0l8754,0e">
                <v:path o:connectlocs="0,0;8754,0" o:connectangles="0,0"/>
                <v:fill on="f" focussize="0,0"/>
                <v:stroke weight="0.72pt" color="#000000" joinstyle="round"/>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079D0"/>
    <w:multiLevelType w:val="singleLevel"/>
    <w:tmpl w:val="847079D0"/>
    <w:lvl w:ilvl="0" w:tentative="0">
      <w:start w:val="1"/>
      <w:numFmt w:val="decimal"/>
      <w:suff w:val="nothing"/>
      <w:lvlText w:val="%1）"/>
      <w:lvlJc w:val="left"/>
    </w:lvl>
  </w:abstractNum>
  <w:abstractNum w:abstractNumId="1">
    <w:nsid w:val="00000039"/>
    <w:multiLevelType w:val="multilevel"/>
    <w:tmpl w:val="00000039"/>
    <w:lvl w:ilvl="0" w:tentative="0">
      <w:start w:val="1"/>
      <w:numFmt w:val="decimal"/>
      <w:pStyle w:val="23"/>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2B62084"/>
    <w:multiLevelType w:val="multilevel"/>
    <w:tmpl w:val="02B62084"/>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4802286"/>
    <w:multiLevelType w:val="multilevel"/>
    <w:tmpl w:val="14802286"/>
    <w:lvl w:ilvl="0" w:tentative="0">
      <w:start w:val="1"/>
      <w:numFmt w:val="decimalEnclosedCircle"/>
      <w:lvlText w:val="%1"/>
      <w:lvlJc w:val="left"/>
      <w:pPr>
        <w:ind w:left="644" w:hanging="360"/>
      </w:pPr>
      <w:rPr>
        <w:rFonts w:hint="default"/>
        <w:b w:val="0"/>
        <w:color w:val="auto"/>
        <w:lang w:val="en-US"/>
      </w:rPr>
    </w:lvl>
    <w:lvl w:ilvl="1" w:tentative="0">
      <w:start w:val="1"/>
      <w:numFmt w:val="lowerLetter"/>
      <w:lvlText w:val="%2)"/>
      <w:lvlJc w:val="left"/>
      <w:pPr>
        <w:ind w:left="958" w:hanging="420"/>
      </w:pPr>
    </w:lvl>
    <w:lvl w:ilvl="2" w:tentative="0">
      <w:start w:val="1"/>
      <w:numFmt w:val="lowerRoman"/>
      <w:lvlText w:val="%3."/>
      <w:lvlJc w:val="right"/>
      <w:pPr>
        <w:ind w:left="1378" w:hanging="420"/>
      </w:pPr>
    </w:lvl>
    <w:lvl w:ilvl="3" w:tentative="0">
      <w:start w:val="1"/>
      <w:numFmt w:val="decimal"/>
      <w:lvlText w:val="%4."/>
      <w:lvlJc w:val="left"/>
      <w:pPr>
        <w:ind w:left="1798" w:hanging="420"/>
      </w:pPr>
    </w:lvl>
    <w:lvl w:ilvl="4" w:tentative="0">
      <w:start w:val="1"/>
      <w:numFmt w:val="lowerLetter"/>
      <w:lvlText w:val="%5)"/>
      <w:lvlJc w:val="left"/>
      <w:pPr>
        <w:ind w:left="2218" w:hanging="420"/>
      </w:pPr>
    </w:lvl>
    <w:lvl w:ilvl="5" w:tentative="0">
      <w:start w:val="1"/>
      <w:numFmt w:val="lowerRoman"/>
      <w:lvlText w:val="%6."/>
      <w:lvlJc w:val="right"/>
      <w:pPr>
        <w:ind w:left="2638" w:hanging="420"/>
      </w:pPr>
    </w:lvl>
    <w:lvl w:ilvl="6" w:tentative="0">
      <w:start w:val="1"/>
      <w:numFmt w:val="decimal"/>
      <w:lvlText w:val="%7."/>
      <w:lvlJc w:val="left"/>
      <w:pPr>
        <w:ind w:left="3058" w:hanging="420"/>
      </w:pPr>
    </w:lvl>
    <w:lvl w:ilvl="7" w:tentative="0">
      <w:start w:val="1"/>
      <w:numFmt w:val="lowerLetter"/>
      <w:lvlText w:val="%8)"/>
      <w:lvlJc w:val="left"/>
      <w:pPr>
        <w:ind w:left="3478" w:hanging="420"/>
      </w:pPr>
    </w:lvl>
    <w:lvl w:ilvl="8" w:tentative="0">
      <w:start w:val="1"/>
      <w:numFmt w:val="lowerRoman"/>
      <w:lvlText w:val="%9."/>
      <w:lvlJc w:val="right"/>
      <w:pPr>
        <w:ind w:left="3898" w:hanging="420"/>
      </w:pPr>
    </w:lvl>
  </w:abstractNum>
  <w:abstractNum w:abstractNumId="5">
    <w:nsid w:val="1F0547E2"/>
    <w:multiLevelType w:val="multilevel"/>
    <w:tmpl w:val="1F0547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E20252C"/>
    <w:multiLevelType w:val="singleLevel"/>
    <w:tmpl w:val="3E20252C"/>
    <w:lvl w:ilvl="0" w:tentative="0">
      <w:start w:val="2"/>
      <w:numFmt w:val="decimal"/>
      <w:lvlText w:val="%1."/>
      <w:lvlJc w:val="left"/>
      <w:pPr>
        <w:tabs>
          <w:tab w:val="left" w:pos="312"/>
        </w:tabs>
      </w:pPr>
    </w:lvl>
  </w:abstractNum>
  <w:abstractNum w:abstractNumId="7">
    <w:nsid w:val="433E725E"/>
    <w:multiLevelType w:val="multilevel"/>
    <w:tmpl w:val="433E725E"/>
    <w:lvl w:ilvl="0" w:tentative="0">
      <w:start w:val="1"/>
      <w:numFmt w:val="japaneseCounting"/>
      <w:lvlText w:val="第%1条、"/>
      <w:lvlJc w:val="left"/>
      <w:pPr>
        <w:tabs>
          <w:tab w:val="left" w:pos="1500"/>
        </w:tabs>
        <w:ind w:left="1500" w:hanging="1080"/>
      </w:pPr>
      <w:rPr>
        <w:rFonts w:hint="default"/>
      </w:rPr>
    </w:lvl>
    <w:lvl w:ilvl="1" w:tentative="0">
      <w:start w:val="1"/>
      <w:numFmt w:val="decimal"/>
      <w:lvlText w:val="%2、"/>
      <w:lvlJc w:val="left"/>
      <w:pPr>
        <w:tabs>
          <w:tab w:val="left" w:pos="1200"/>
        </w:tabs>
        <w:ind w:left="1200" w:hanging="360"/>
      </w:pPr>
      <w:rPr>
        <w:rFonts w:hint="default" w:ascii="Arial" w:hAnsi="Arial" w:cs="Arial"/>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47C16F3C"/>
    <w:multiLevelType w:val="multilevel"/>
    <w:tmpl w:val="47C16F3C"/>
    <w:lvl w:ilvl="0" w:tentative="0">
      <w:start w:val="1"/>
      <w:numFmt w:val="decimal"/>
      <w:lvlText w:val="%1."/>
      <w:lvlJc w:val="left"/>
      <w:pPr>
        <w:ind w:left="3114" w:hanging="420"/>
      </w:pPr>
      <w:rPr>
        <w:lang w:eastAsia="zh-CN"/>
      </w:rPr>
    </w:lvl>
    <w:lvl w:ilvl="1" w:tentative="0">
      <w:start w:val="1"/>
      <w:numFmt w:val="decimal"/>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9">
    <w:nsid w:val="47FD0804"/>
    <w:multiLevelType w:val="multilevel"/>
    <w:tmpl w:val="47FD0804"/>
    <w:lvl w:ilvl="0" w:tentative="0">
      <w:start w:val="1"/>
      <w:numFmt w:val="decimal"/>
      <w:lvlText w:val="%1、"/>
      <w:lvlJc w:val="left"/>
      <w:pPr>
        <w:tabs>
          <w:tab w:val="left" w:pos="502"/>
        </w:tabs>
        <w:ind w:left="502"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53F2C71E"/>
    <w:multiLevelType w:val="singleLevel"/>
    <w:tmpl w:val="53F2C71E"/>
    <w:lvl w:ilvl="0" w:tentative="0">
      <w:start w:val="1"/>
      <w:numFmt w:val="decimal"/>
      <w:pStyle w:val="24"/>
      <w:lvlText w:val="(%1)"/>
      <w:lvlJc w:val="left"/>
      <w:pPr>
        <w:ind w:left="420" w:hanging="420"/>
      </w:pPr>
      <w:rPr>
        <w:rFonts w:hint="default"/>
      </w:rPr>
    </w:lvl>
  </w:abstractNum>
  <w:num w:numId="1">
    <w:abstractNumId w:val="1"/>
  </w:num>
  <w:num w:numId="2">
    <w:abstractNumId w:val="10"/>
  </w:num>
  <w:num w:numId="3">
    <w:abstractNumId w:val="0"/>
  </w:num>
  <w:num w:numId="4">
    <w:abstractNumId w:val="3"/>
  </w:num>
  <w:num w:numId="5">
    <w:abstractNumId w:val="2"/>
  </w:num>
  <w:num w:numId="6">
    <w:abstractNumId w:val="8"/>
  </w:num>
  <w:num w:numId="7">
    <w:abstractNumId w:val="4"/>
  </w:num>
  <w:num w:numId="8">
    <w:abstractNumId w:val="7"/>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3YjViZTYwNTZhNDE2MGFiYzFjMmU1ZWMzZjk1NzgifQ=="/>
  </w:docVars>
  <w:rsids>
    <w:rsidRoot w:val="77D8723E"/>
    <w:rsid w:val="002E369C"/>
    <w:rsid w:val="006C633A"/>
    <w:rsid w:val="00817EDD"/>
    <w:rsid w:val="0083701B"/>
    <w:rsid w:val="00A6551B"/>
    <w:rsid w:val="00AC38CE"/>
    <w:rsid w:val="00B6650C"/>
    <w:rsid w:val="00BA35F2"/>
    <w:rsid w:val="00C31197"/>
    <w:rsid w:val="00C360BC"/>
    <w:rsid w:val="00DA2BAE"/>
    <w:rsid w:val="02A4721B"/>
    <w:rsid w:val="037103BE"/>
    <w:rsid w:val="0E055FB4"/>
    <w:rsid w:val="0F73260B"/>
    <w:rsid w:val="114D0EBE"/>
    <w:rsid w:val="12F6200E"/>
    <w:rsid w:val="13802F74"/>
    <w:rsid w:val="1F29514F"/>
    <w:rsid w:val="20FB22FC"/>
    <w:rsid w:val="21C74C84"/>
    <w:rsid w:val="22BA3FDE"/>
    <w:rsid w:val="2F2C68F5"/>
    <w:rsid w:val="31A87C8F"/>
    <w:rsid w:val="37125A08"/>
    <w:rsid w:val="3A1B14FB"/>
    <w:rsid w:val="3AF7416F"/>
    <w:rsid w:val="3BE261A9"/>
    <w:rsid w:val="3C51617C"/>
    <w:rsid w:val="3CE12FE9"/>
    <w:rsid w:val="3E353FD4"/>
    <w:rsid w:val="3FA60334"/>
    <w:rsid w:val="45990743"/>
    <w:rsid w:val="47B12A83"/>
    <w:rsid w:val="4E5341C9"/>
    <w:rsid w:val="5D335D49"/>
    <w:rsid w:val="620C24A0"/>
    <w:rsid w:val="67941A60"/>
    <w:rsid w:val="6E115C43"/>
    <w:rsid w:val="6FEC6762"/>
    <w:rsid w:val="705B2773"/>
    <w:rsid w:val="756E43BF"/>
    <w:rsid w:val="77D8723E"/>
    <w:rsid w:val="7A646563"/>
    <w:rsid w:val="7D660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link w:val="29"/>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lang w:val="zh-CN"/>
    </w:rPr>
  </w:style>
  <w:style w:type="paragraph" w:styleId="5">
    <w:name w:val="heading 3"/>
    <w:basedOn w:val="1"/>
    <w:next w:val="1"/>
    <w:link w:val="33"/>
    <w:qFormat/>
    <w:uiPriority w:val="0"/>
    <w:pPr>
      <w:keepNext/>
      <w:keepLines/>
      <w:spacing w:before="260" w:after="260" w:line="416" w:lineRule="auto"/>
      <w:outlineLvl w:val="2"/>
    </w:pPr>
    <w:rPr>
      <w:b/>
      <w:bCs/>
      <w:kern w:val="0"/>
      <w:sz w:val="32"/>
      <w:szCs w:val="32"/>
      <w:lang w:val="zh-CN"/>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6">
    <w:name w:val="annotation text"/>
    <w:basedOn w:val="1"/>
    <w:qFormat/>
    <w:uiPriority w:val="0"/>
    <w:pPr>
      <w:jc w:val="left"/>
    </w:pPr>
  </w:style>
  <w:style w:type="paragraph" w:styleId="7">
    <w:name w:val="Body Text"/>
    <w:basedOn w:val="1"/>
    <w:next w:val="8"/>
    <w:unhideWhenUsed/>
    <w:qFormat/>
    <w:uiPriority w:val="0"/>
    <w:pPr>
      <w:spacing w:after="120"/>
    </w:pPr>
    <w:rPr>
      <w:kern w:val="0"/>
      <w:sz w:val="20"/>
      <w:lang w:val="zh-CN"/>
    </w:rPr>
  </w:style>
  <w:style w:type="paragraph" w:styleId="8">
    <w:name w:val="Body Text Indent"/>
    <w:basedOn w:val="1"/>
    <w:qFormat/>
    <w:uiPriority w:val="0"/>
    <w:pPr>
      <w:spacing w:after="120"/>
      <w:ind w:left="420" w:leftChars="200"/>
    </w:pPr>
    <w:rPr>
      <w:rFonts w:ascii="Times New Roman" w:hAnsi="Times New Roman"/>
      <w:kern w:val="0"/>
      <w:sz w:val="20"/>
      <w:lang w:val="zh-CN"/>
    </w:rPr>
  </w:style>
  <w:style w:type="paragraph" w:styleId="9">
    <w:name w:val="toc 3"/>
    <w:basedOn w:val="1"/>
    <w:next w:val="1"/>
    <w:unhideWhenUsed/>
    <w:qFormat/>
    <w:uiPriority w:val="39"/>
    <w:pPr>
      <w:widowControl/>
      <w:spacing w:after="100" w:line="276" w:lineRule="auto"/>
      <w:ind w:left="440"/>
      <w:jc w:val="left"/>
    </w:pPr>
    <w:rPr>
      <w:kern w:val="0"/>
      <w:sz w:val="22"/>
      <w:szCs w:val="22"/>
    </w:rPr>
  </w:style>
  <w:style w:type="paragraph" w:styleId="10">
    <w:name w:val="Plain Text"/>
    <w:basedOn w:val="1"/>
    <w:qFormat/>
    <w:uiPriority w:val="0"/>
    <w:rPr>
      <w:rFonts w:ascii="宋体" w:hAnsi="Courier New"/>
      <w:kern w:val="0"/>
      <w:sz w:val="20"/>
      <w:szCs w:val="20"/>
      <w:lang w:val="zh-CN"/>
    </w:rPr>
  </w:style>
  <w:style w:type="paragraph" w:styleId="11">
    <w:name w:val="Body Text Indent 2"/>
    <w:basedOn w:val="1"/>
    <w:qFormat/>
    <w:uiPriority w:val="0"/>
    <w:pPr>
      <w:spacing w:after="120" w:line="480" w:lineRule="auto"/>
      <w:ind w:left="420" w:leftChars="200"/>
    </w:pPr>
    <w:rPr>
      <w:rFonts w:ascii="Arial" w:hAnsi="Arial"/>
      <w:szCs w:val="21"/>
    </w:rPr>
  </w:style>
  <w:style w:type="paragraph" w:styleId="12">
    <w:name w:val="footer"/>
    <w:basedOn w:val="1"/>
    <w:unhideWhenUsed/>
    <w:qFormat/>
    <w:uiPriority w:val="0"/>
    <w:pPr>
      <w:tabs>
        <w:tab w:val="center" w:pos="4153"/>
        <w:tab w:val="right" w:pos="8306"/>
      </w:tabs>
      <w:snapToGrid w:val="0"/>
      <w:jc w:val="left"/>
    </w:pPr>
    <w:rPr>
      <w:rFonts w:ascii="Times New Roman" w:hAnsi="Times New Roman"/>
      <w:kern w:val="0"/>
      <w:sz w:val="18"/>
      <w:szCs w:val="18"/>
      <w:lang w:val="zh-CN"/>
    </w:rPr>
  </w:style>
  <w:style w:type="paragraph" w:styleId="13">
    <w:name w:val="header"/>
    <w:basedOn w:val="1"/>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4">
    <w:name w:val="toc 1"/>
    <w:basedOn w:val="1"/>
    <w:next w:val="1"/>
    <w:qFormat/>
    <w:uiPriority w:val="39"/>
    <w:rPr>
      <w:rFonts w:ascii="Times New Roman" w:hAnsi="Times New Roman"/>
    </w:rPr>
  </w:style>
  <w:style w:type="paragraph" w:styleId="15">
    <w:name w:val="toc 2"/>
    <w:basedOn w:val="1"/>
    <w:next w:val="1"/>
    <w:unhideWhenUsed/>
    <w:qFormat/>
    <w:uiPriority w:val="39"/>
    <w:pPr>
      <w:widowControl/>
      <w:spacing w:after="100" w:line="276" w:lineRule="auto"/>
      <w:ind w:left="220"/>
      <w:jc w:val="left"/>
    </w:pPr>
    <w:rPr>
      <w:kern w:val="0"/>
      <w:sz w:val="22"/>
      <w:szCs w:val="22"/>
    </w:rPr>
  </w:style>
  <w:style w:type="paragraph" w:styleId="16">
    <w:name w:val="Normal (Web)"/>
    <w:basedOn w:val="1"/>
    <w:qFormat/>
    <w:uiPriority w:val="0"/>
    <w:pPr>
      <w:widowControl/>
      <w:spacing w:before="100" w:beforeAutospacing="1" w:after="100" w:afterAutospacing="1"/>
      <w:jc w:val="left"/>
    </w:pPr>
    <w:rPr>
      <w:rFonts w:ascii="宋体" w:hAnsi="宋体"/>
      <w:kern w:val="0"/>
      <w:sz w:val="15"/>
      <w:szCs w:val="15"/>
      <w:lang w:val="zh-CN"/>
    </w:rPr>
  </w:style>
  <w:style w:type="table" w:styleId="18">
    <w:name w:val="Table Grid"/>
    <w:basedOn w:val="1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page number"/>
    <w:basedOn w:val="19"/>
    <w:qFormat/>
    <w:uiPriority w:val="0"/>
  </w:style>
  <w:style w:type="character" w:styleId="21">
    <w:name w:val="Hyperlink"/>
    <w:unhideWhenUsed/>
    <w:qFormat/>
    <w:uiPriority w:val="99"/>
    <w:rPr>
      <w:color w:val="0000FF"/>
      <w:u w:val="single"/>
    </w:rPr>
  </w:style>
  <w:style w:type="character" w:styleId="22">
    <w:name w:val="annotation reference"/>
    <w:qFormat/>
    <w:uiPriority w:val="0"/>
    <w:rPr>
      <w:sz w:val="21"/>
      <w:szCs w:val="21"/>
    </w:rPr>
  </w:style>
  <w:style w:type="paragraph" w:customStyle="1" w:styleId="23">
    <w:name w:val="注：（正文）"/>
    <w:basedOn w:val="24"/>
    <w:next w:val="25"/>
    <w:qFormat/>
    <w:uiPriority w:val="0"/>
    <w:pPr>
      <w:numPr>
        <w:ilvl w:val="0"/>
        <w:numId w:val="1"/>
      </w:numPr>
      <w:ind w:left="833" w:hanging="408"/>
    </w:pPr>
  </w:style>
  <w:style w:type="paragraph" w:customStyle="1" w:styleId="24">
    <w:name w:val="注："/>
    <w:next w:val="25"/>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
    <w:name w:val="列出段落1"/>
    <w:basedOn w:val="1"/>
    <w:qFormat/>
    <w:uiPriority w:val="99"/>
    <w:pPr>
      <w:ind w:firstLine="420" w:firstLineChars="200"/>
    </w:pPr>
  </w:style>
  <w:style w:type="paragraph" w:customStyle="1" w:styleId="27">
    <w:name w:val="正文缩进2格"/>
    <w:basedOn w:val="1"/>
    <w:qFormat/>
    <w:uiPriority w:val="0"/>
    <w:pPr>
      <w:spacing w:line="600" w:lineRule="exact"/>
      <w:ind w:firstLine="639" w:firstLineChars="206"/>
    </w:pPr>
    <w:rPr>
      <w:rFonts w:ascii="仿宋_GB2312" w:hAnsi="宋体" w:eastAsia="仿宋_GB2312"/>
      <w:kern w:val="0"/>
      <w:sz w:val="31"/>
      <w:szCs w:val="28"/>
      <w:lang w:val="zh-CN"/>
    </w:rPr>
  </w:style>
  <w:style w:type="paragraph" w:customStyle="1" w:styleId="28">
    <w:name w:val="正文缩进4格"/>
    <w:basedOn w:val="27"/>
    <w:qFormat/>
    <w:uiPriority w:val="0"/>
    <w:pPr>
      <w:ind w:left="2" w:firstLine="403" w:firstLineChars="192"/>
    </w:pPr>
    <w:rPr>
      <w:sz w:val="21"/>
      <w:szCs w:val="21"/>
    </w:rPr>
  </w:style>
  <w:style w:type="character" w:customStyle="1" w:styleId="29">
    <w:name w:val="标题 2 字符"/>
    <w:link w:val="4"/>
    <w:qFormat/>
    <w:uiPriority w:val="0"/>
    <w:rPr>
      <w:rFonts w:ascii="Arial" w:hAnsi="Arial" w:eastAsia="黑体"/>
      <w:b/>
      <w:kern w:val="0"/>
      <w:sz w:val="32"/>
      <w:szCs w:val="20"/>
      <w:lang w:val="zh-CN"/>
    </w:rPr>
  </w:style>
  <w:style w:type="paragraph" w:styleId="30">
    <w:name w:val="List Paragraph"/>
    <w:basedOn w:val="1"/>
    <w:qFormat/>
    <w:uiPriority w:val="0"/>
    <w:pPr>
      <w:ind w:firstLine="420" w:firstLineChars="200"/>
    </w:pPr>
  </w:style>
  <w:style w:type="paragraph" w:customStyle="1" w:styleId="31">
    <w:name w:val="正文文本 (2)1"/>
    <w:basedOn w:val="1"/>
    <w:qFormat/>
    <w:uiPriority w:val="99"/>
    <w:pPr>
      <w:shd w:val="clear" w:color="auto" w:fill="FFFFFF"/>
      <w:spacing w:before="300" w:line="439" w:lineRule="exact"/>
      <w:jc w:val="distribute"/>
    </w:pPr>
    <w:rPr>
      <w:rFonts w:ascii="MingLiU" w:eastAsia="MingLiU"/>
      <w:spacing w:val="20"/>
      <w:sz w:val="22"/>
      <w:szCs w:val="22"/>
    </w:rPr>
  </w:style>
  <w:style w:type="paragraph" w:customStyle="1" w:styleId="32">
    <w:name w:val="正文无缩进"/>
    <w:basedOn w:val="27"/>
    <w:qFormat/>
    <w:uiPriority w:val="0"/>
    <w:pPr>
      <w:ind w:firstLine="0" w:firstLineChars="0"/>
    </w:pPr>
  </w:style>
  <w:style w:type="character" w:customStyle="1" w:styleId="33">
    <w:name w:val="标题 3 字符"/>
    <w:link w:val="5"/>
    <w:qFormat/>
    <w:uiPriority w:val="0"/>
    <w:rPr>
      <w:b/>
      <w:bCs/>
      <w:kern w:val="0"/>
      <w:sz w:val="32"/>
      <w:szCs w:val="32"/>
      <w:lang w:val="zh-CN"/>
    </w:rPr>
  </w:style>
  <w:style w:type="paragraph" w:customStyle="1" w:styleId="34">
    <w:name w:val="表格文字"/>
    <w:basedOn w:val="1"/>
    <w:qFormat/>
    <w:uiPriority w:val="0"/>
    <w:pPr>
      <w:jc w:val="center"/>
    </w:pPr>
    <w:rPr>
      <w:rFonts w:eastAsia="Arial"/>
    </w:rPr>
  </w:style>
  <w:style w:type="paragraph" w:customStyle="1" w:styleId="35">
    <w:name w:val="表头文字"/>
    <w:basedOn w:val="1"/>
    <w:qFormat/>
    <w:uiPriority w:val="0"/>
    <w:pPr>
      <w:spacing w:line="360" w:lineRule="auto"/>
      <w:jc w:val="center"/>
    </w:pPr>
    <w:rPr>
      <w:rFonts w:ascii="Arial" w:hAnsi="Arial"/>
      <w:szCs w:val="21"/>
    </w:rPr>
  </w:style>
  <w:style w:type="paragraph" w:customStyle="1" w:styleId="36">
    <w:name w:val="注意"/>
    <w:basedOn w:val="1"/>
    <w:qFormat/>
    <w:uiPriority w:val="0"/>
    <w:pPr>
      <w:spacing w:line="360" w:lineRule="auto"/>
      <w:ind w:firstLine="420"/>
    </w:pPr>
    <w:rPr>
      <w:rFonts w:ascii="Arial" w:hAnsi="Arial"/>
      <w:b/>
      <w:szCs w:val="21"/>
      <w:u w:val="wave"/>
    </w:rPr>
  </w:style>
  <w:style w:type="table" w:customStyle="1" w:styleId="37">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38">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7765</Words>
  <Characters>44261</Characters>
  <Lines>368</Lines>
  <Paragraphs>103</Paragraphs>
  <TotalTime>5</TotalTime>
  <ScaleCrop>false</ScaleCrop>
  <LinksUpToDate>false</LinksUpToDate>
  <CharactersWithSpaces>51923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2022-04-27T08:45:00Z</dcterms:created>
  <dc:creator></dc:creator>
  <cp:lastModifiedBy>WPS_1559532919</cp:lastModifiedBy>
  <cp:lastPrinted>2022-01-14T06:55:00Z</cp:lastPrinted>
  <dcterms:modified xsi:type="dcterms:W3CDTF">2022-05-06T02:26:09Z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A7C7DB9264F44285A709935ABDDE0C63</vt:lpwstr>
  </property>
</Properties>
</file>