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line="360" w:lineRule="auto"/>
        <w:rPr>
          <w:rFonts w:hint="eastAsia" w:ascii="黑体" w:hAnsi="宋体" w:eastAsia="黑体"/>
          <w:b/>
          <w:bCs/>
          <w:w w:val="90"/>
          <w:szCs w:val="21"/>
          <w:highlight w:val="none"/>
        </w:rPr>
      </w:pPr>
    </w:p>
    <w:p>
      <w:pPr>
        <w:pStyle w:val="23"/>
        <w:spacing w:line="360" w:lineRule="auto"/>
        <w:rPr>
          <w:rFonts w:ascii="黑体" w:hAnsi="宋体" w:eastAsia="黑体"/>
          <w:b/>
          <w:bCs/>
          <w:w w:val="90"/>
          <w:szCs w:val="21"/>
          <w:highlight w:val="none"/>
        </w:rPr>
      </w:pPr>
    </w:p>
    <w:p>
      <w:pPr>
        <w:pStyle w:val="23"/>
        <w:spacing w:line="1000" w:lineRule="exact"/>
        <w:jc w:val="center"/>
        <w:rPr>
          <w:rFonts w:ascii="黑体" w:hAnsi="宋体" w:eastAsia="黑体"/>
          <w:b/>
          <w:bCs/>
          <w:w w:val="90"/>
          <w:sz w:val="60"/>
          <w:szCs w:val="60"/>
          <w:highlight w:val="none"/>
        </w:rPr>
      </w:pPr>
      <w:r>
        <w:rPr>
          <w:rFonts w:hint="eastAsia" w:ascii="黑体" w:hAnsi="宋体" w:eastAsia="黑体"/>
          <w:b/>
          <w:bCs/>
          <w:w w:val="90"/>
          <w:sz w:val="60"/>
          <w:szCs w:val="60"/>
          <w:highlight w:val="none"/>
        </w:rPr>
        <w:t>东莞巴士有限公司充电服务资格</w:t>
      </w:r>
    </w:p>
    <w:p>
      <w:pPr>
        <w:pStyle w:val="23"/>
        <w:spacing w:line="1000" w:lineRule="exact"/>
        <w:jc w:val="center"/>
        <w:rPr>
          <w:rFonts w:ascii="黑体" w:hAnsi="宋体" w:eastAsia="黑体"/>
          <w:b/>
          <w:bCs/>
          <w:w w:val="90"/>
          <w:sz w:val="60"/>
          <w:szCs w:val="60"/>
          <w:highlight w:val="none"/>
        </w:rPr>
      </w:pPr>
      <w:r>
        <w:rPr>
          <w:rFonts w:ascii="黑体" w:hAnsi="宋体" w:eastAsia="黑体"/>
          <w:b/>
          <w:bCs/>
          <w:w w:val="90"/>
          <w:sz w:val="60"/>
          <w:szCs w:val="60"/>
          <w:highlight w:val="none"/>
        </w:rPr>
        <w:t>供应商采购项目</w:t>
      </w:r>
    </w:p>
    <w:p>
      <w:pPr>
        <w:pStyle w:val="23"/>
        <w:spacing w:line="1000" w:lineRule="exact"/>
        <w:jc w:val="center"/>
        <w:rPr>
          <w:rFonts w:ascii="黑体" w:hAnsi="宋体" w:eastAsia="黑体"/>
          <w:b/>
          <w:bCs/>
          <w:w w:val="90"/>
          <w:sz w:val="60"/>
          <w:szCs w:val="60"/>
          <w:highlight w:val="none"/>
        </w:rPr>
      </w:pPr>
      <w:r>
        <w:rPr>
          <w:rFonts w:hint="eastAsia" w:ascii="黑体" w:hAnsi="宋体" w:eastAsia="黑体"/>
          <w:b/>
          <w:bCs/>
          <w:w w:val="90"/>
          <w:sz w:val="60"/>
          <w:szCs w:val="60"/>
          <w:highlight w:val="none"/>
        </w:rPr>
        <w:t>招标文件</w:t>
      </w:r>
    </w:p>
    <w:p>
      <w:pPr>
        <w:pStyle w:val="23"/>
        <w:spacing w:line="600" w:lineRule="exact"/>
        <w:jc w:val="center"/>
        <w:outlineLvl w:val="0"/>
        <w:rPr>
          <w:rFonts w:ascii="黑体" w:hAnsi="宋体" w:eastAsia="黑体"/>
          <w:b/>
          <w:sz w:val="50"/>
          <w:szCs w:val="50"/>
          <w:highlight w:val="none"/>
        </w:rPr>
      </w:pPr>
    </w:p>
    <w:p>
      <w:pPr>
        <w:pStyle w:val="23"/>
        <w:spacing w:line="600" w:lineRule="exact"/>
        <w:jc w:val="center"/>
        <w:outlineLvl w:val="0"/>
        <w:rPr>
          <w:rFonts w:ascii="黑体" w:hAnsi="宋体" w:eastAsia="黑体"/>
          <w:b/>
          <w:sz w:val="50"/>
          <w:szCs w:val="50"/>
          <w:highlight w:val="none"/>
        </w:rPr>
      </w:pPr>
      <w:bookmarkStart w:id="41" w:name="_GoBack"/>
      <w:bookmarkEnd w:id="41"/>
    </w:p>
    <w:p>
      <w:pPr>
        <w:pStyle w:val="23"/>
        <w:spacing w:line="600" w:lineRule="exact"/>
        <w:jc w:val="center"/>
        <w:outlineLvl w:val="0"/>
        <w:rPr>
          <w:rFonts w:ascii="黑体" w:hAnsi="宋体" w:eastAsia="黑体"/>
          <w:b/>
          <w:sz w:val="50"/>
          <w:szCs w:val="50"/>
          <w:highlight w:val="none"/>
        </w:rPr>
      </w:pPr>
    </w:p>
    <w:p>
      <w:pPr>
        <w:pStyle w:val="23"/>
        <w:spacing w:line="600" w:lineRule="exact"/>
        <w:jc w:val="center"/>
        <w:outlineLvl w:val="0"/>
        <w:rPr>
          <w:rFonts w:ascii="黑体" w:hAnsi="宋体" w:eastAsia="黑体"/>
          <w:b/>
          <w:bCs/>
          <w:sz w:val="50"/>
          <w:szCs w:val="50"/>
          <w:highlight w:val="none"/>
          <w:u w:val="single"/>
        </w:rPr>
      </w:pPr>
    </w:p>
    <w:p>
      <w:pPr>
        <w:pStyle w:val="23"/>
        <w:spacing w:line="600" w:lineRule="exact"/>
        <w:jc w:val="center"/>
        <w:outlineLvl w:val="0"/>
        <w:rPr>
          <w:rFonts w:ascii="黑体" w:hAnsi="宋体" w:eastAsia="黑体"/>
          <w:b/>
          <w:bCs/>
          <w:sz w:val="50"/>
          <w:szCs w:val="50"/>
          <w:highlight w:val="none"/>
          <w:u w:val="single"/>
        </w:rPr>
      </w:pPr>
    </w:p>
    <w:p>
      <w:pPr>
        <w:pStyle w:val="23"/>
        <w:spacing w:line="600" w:lineRule="exact"/>
        <w:jc w:val="center"/>
        <w:outlineLvl w:val="0"/>
        <w:rPr>
          <w:rFonts w:ascii="黑体" w:hAnsi="宋体" w:eastAsia="黑体"/>
          <w:b/>
          <w:bCs/>
          <w:sz w:val="50"/>
          <w:szCs w:val="50"/>
          <w:highlight w:val="none"/>
          <w:u w:val="single"/>
        </w:rPr>
      </w:pPr>
    </w:p>
    <w:p>
      <w:pPr>
        <w:pStyle w:val="23"/>
        <w:spacing w:line="600" w:lineRule="exact"/>
        <w:jc w:val="center"/>
        <w:outlineLvl w:val="0"/>
        <w:rPr>
          <w:rFonts w:ascii="黑体" w:hAnsi="宋体" w:eastAsia="黑体"/>
          <w:b/>
          <w:bCs/>
          <w:sz w:val="50"/>
          <w:szCs w:val="50"/>
          <w:highlight w:val="none"/>
          <w:u w:val="single"/>
        </w:rPr>
      </w:pPr>
    </w:p>
    <w:p>
      <w:pPr>
        <w:pStyle w:val="23"/>
        <w:ind w:right="-226" w:rightChars="-113" w:firstLine="480"/>
        <w:jc w:val="left"/>
        <w:rPr>
          <w:rFonts w:ascii="黑体" w:hAnsi="宋体" w:eastAsia="黑体"/>
          <w:b/>
          <w:bCs/>
          <w:sz w:val="28"/>
          <w:highlight w:val="none"/>
          <w:u w:val="single"/>
        </w:rPr>
      </w:pPr>
    </w:p>
    <w:p>
      <w:pPr>
        <w:widowControl/>
        <w:jc w:val="left"/>
        <w:rPr>
          <w:rFonts w:ascii="黑体" w:hAnsi="宋体" w:eastAsia="黑体" w:cs="宋体"/>
          <w:sz w:val="10"/>
          <w:szCs w:val="10"/>
          <w:highlight w:val="none"/>
        </w:rPr>
      </w:pPr>
    </w:p>
    <w:p>
      <w:pPr>
        <w:widowControl/>
        <w:jc w:val="left"/>
        <w:rPr>
          <w:rFonts w:ascii="黑体" w:hAnsi="宋体" w:eastAsia="黑体" w:cs="宋体"/>
          <w:sz w:val="10"/>
          <w:szCs w:val="10"/>
          <w:highlight w:val="none"/>
        </w:rPr>
      </w:pPr>
    </w:p>
    <w:p>
      <w:pPr>
        <w:widowControl/>
        <w:jc w:val="left"/>
        <w:rPr>
          <w:rFonts w:ascii="黑体" w:hAnsi="宋体" w:eastAsia="黑体" w:cs="宋体"/>
          <w:sz w:val="10"/>
          <w:szCs w:val="10"/>
          <w:highlight w:val="none"/>
        </w:rPr>
      </w:pPr>
    </w:p>
    <w:p>
      <w:pPr>
        <w:widowControl/>
        <w:jc w:val="left"/>
        <w:rPr>
          <w:rFonts w:ascii="黑体" w:hAnsi="宋体" w:eastAsia="黑体" w:cs="宋体"/>
          <w:sz w:val="10"/>
          <w:szCs w:val="10"/>
          <w:highlight w:val="none"/>
        </w:rPr>
      </w:pPr>
    </w:p>
    <w:p>
      <w:pPr>
        <w:widowControl/>
        <w:jc w:val="left"/>
        <w:rPr>
          <w:rFonts w:ascii="黑体" w:hAnsi="宋体" w:eastAsia="黑体" w:cs="宋体"/>
          <w:sz w:val="10"/>
          <w:szCs w:val="10"/>
          <w:highlight w:val="none"/>
        </w:rPr>
      </w:pPr>
    </w:p>
    <w:p>
      <w:pPr>
        <w:widowControl/>
        <w:jc w:val="left"/>
        <w:rPr>
          <w:rFonts w:ascii="黑体" w:hAnsi="宋体" w:eastAsia="黑体" w:cs="宋体"/>
          <w:sz w:val="10"/>
          <w:szCs w:val="10"/>
          <w:highlight w:val="none"/>
        </w:rPr>
      </w:pPr>
    </w:p>
    <w:p>
      <w:pPr>
        <w:widowControl/>
        <w:spacing w:line="600" w:lineRule="exact"/>
        <w:jc w:val="left"/>
        <w:rPr>
          <w:rFonts w:ascii="黑体" w:hAnsi="宋体" w:eastAsia="黑体" w:cs="宋体"/>
          <w:sz w:val="24"/>
          <w:highlight w:val="none"/>
        </w:rPr>
      </w:pPr>
    </w:p>
    <w:tbl>
      <w:tblPr>
        <w:tblStyle w:val="44"/>
        <w:tblW w:w="7796" w:type="dxa"/>
        <w:jc w:val="center"/>
        <w:tblLayout w:type="fixed"/>
        <w:tblCellMar>
          <w:top w:w="0" w:type="dxa"/>
          <w:left w:w="108" w:type="dxa"/>
          <w:bottom w:w="0" w:type="dxa"/>
          <w:right w:w="108" w:type="dxa"/>
        </w:tblCellMar>
      </w:tblPr>
      <w:tblGrid>
        <w:gridCol w:w="2096"/>
        <w:gridCol w:w="4477"/>
        <w:gridCol w:w="1223"/>
      </w:tblGrid>
      <w:tr>
        <w:trPr>
          <w:gridAfter w:val="1"/>
          <w:wAfter w:w="1223" w:type="dxa"/>
          <w:trHeight w:val="623" w:hRule="atLeast"/>
          <w:jc w:val="center"/>
        </w:trPr>
        <w:tc>
          <w:tcPr>
            <w:tcW w:w="2096" w:type="dxa"/>
            <w:vAlign w:val="center"/>
          </w:tcPr>
          <w:p>
            <w:pPr>
              <w:rPr>
                <w:rFonts w:ascii="黑体" w:hAnsi="宋体" w:eastAsia="黑体"/>
                <w:b/>
                <w:sz w:val="30"/>
                <w:szCs w:val="30"/>
                <w:highlight w:val="none"/>
              </w:rPr>
            </w:pPr>
            <w:r>
              <w:rPr>
                <w:rFonts w:hint="eastAsia" w:ascii="黑体" w:hAnsi="宋体" w:eastAsia="黑体"/>
                <w:b/>
                <w:spacing w:val="40"/>
                <w:sz w:val="30"/>
                <w:szCs w:val="30"/>
                <w:highlight w:val="none"/>
              </w:rPr>
              <w:t>项目编号：</w:t>
            </w:r>
          </w:p>
        </w:tc>
        <w:tc>
          <w:tcPr>
            <w:tcW w:w="4477" w:type="dxa"/>
            <w:vAlign w:val="center"/>
          </w:tcPr>
          <w:p>
            <w:pPr>
              <w:rPr>
                <w:rFonts w:ascii="黑体" w:hAnsi="宋体" w:eastAsia="黑体"/>
                <w:b/>
                <w:sz w:val="30"/>
                <w:szCs w:val="30"/>
                <w:highlight w:val="none"/>
                <w:u w:val="single"/>
              </w:rPr>
            </w:pPr>
            <w:r>
              <w:rPr>
                <w:rFonts w:ascii="黑体" w:hAnsi="宋体" w:eastAsia="黑体"/>
                <w:b/>
                <w:sz w:val="30"/>
                <w:szCs w:val="30"/>
                <w:highlight w:val="none"/>
                <w:u w:val="single"/>
              </w:rPr>
              <w:t>BS-CG2020045</w:t>
            </w:r>
          </w:p>
        </w:tc>
      </w:tr>
      <w:tr>
        <w:tblPrEx>
          <w:tblCellMar>
            <w:top w:w="0" w:type="dxa"/>
            <w:left w:w="108" w:type="dxa"/>
            <w:bottom w:w="0" w:type="dxa"/>
            <w:right w:w="108" w:type="dxa"/>
          </w:tblCellMar>
        </w:tblPrEx>
        <w:trPr>
          <w:gridAfter w:val="1"/>
          <w:wAfter w:w="1223" w:type="dxa"/>
          <w:trHeight w:val="631" w:hRule="atLeast"/>
          <w:jc w:val="center"/>
        </w:trPr>
        <w:tc>
          <w:tcPr>
            <w:tcW w:w="2096" w:type="dxa"/>
            <w:vAlign w:val="center"/>
          </w:tcPr>
          <w:p>
            <w:pPr>
              <w:rPr>
                <w:rFonts w:ascii="黑体" w:hAnsi="宋体" w:eastAsia="黑体"/>
                <w:b/>
                <w:sz w:val="30"/>
                <w:szCs w:val="30"/>
                <w:highlight w:val="none"/>
              </w:rPr>
            </w:pPr>
            <w:r>
              <w:rPr>
                <w:rFonts w:hint="eastAsia" w:ascii="黑体" w:hAnsi="宋体" w:eastAsia="黑体"/>
                <w:b/>
                <w:spacing w:val="40"/>
                <w:sz w:val="30"/>
                <w:szCs w:val="30"/>
                <w:highlight w:val="none"/>
              </w:rPr>
              <w:t>采购</w:t>
            </w:r>
            <w:r>
              <w:rPr>
                <w:rFonts w:ascii="黑体" w:hAnsi="宋体" w:eastAsia="黑体"/>
                <w:b/>
                <w:spacing w:val="40"/>
                <w:sz w:val="30"/>
                <w:szCs w:val="30"/>
                <w:highlight w:val="none"/>
              </w:rPr>
              <w:t>单位</w:t>
            </w:r>
            <w:r>
              <w:rPr>
                <w:rFonts w:hint="eastAsia" w:ascii="黑体" w:hAnsi="宋体" w:eastAsia="黑体"/>
                <w:b/>
                <w:spacing w:val="40"/>
                <w:sz w:val="30"/>
                <w:szCs w:val="30"/>
                <w:highlight w:val="none"/>
              </w:rPr>
              <w:t>：</w:t>
            </w:r>
          </w:p>
        </w:tc>
        <w:tc>
          <w:tcPr>
            <w:tcW w:w="4477" w:type="dxa"/>
            <w:vAlign w:val="center"/>
          </w:tcPr>
          <w:p>
            <w:pPr>
              <w:rPr>
                <w:rFonts w:ascii="黑体" w:hAnsi="宋体" w:eastAsia="黑体"/>
                <w:b/>
                <w:sz w:val="30"/>
                <w:szCs w:val="30"/>
                <w:highlight w:val="none"/>
                <w:u w:val="single"/>
              </w:rPr>
            </w:pPr>
            <w:r>
              <w:rPr>
                <w:rFonts w:hint="eastAsia" w:ascii="黑体" w:hAnsi="黑体" w:eastAsia="黑体"/>
                <w:b/>
                <w:sz w:val="30"/>
                <w:szCs w:val="30"/>
                <w:highlight w:val="none"/>
                <w:u w:val="single"/>
              </w:rPr>
              <w:t>东莞巴士有限公司</w:t>
            </w:r>
          </w:p>
        </w:tc>
      </w:tr>
      <w:tr>
        <w:tblPrEx>
          <w:tblCellMar>
            <w:top w:w="0" w:type="dxa"/>
            <w:left w:w="108" w:type="dxa"/>
            <w:bottom w:w="0" w:type="dxa"/>
            <w:right w:w="108" w:type="dxa"/>
          </w:tblCellMar>
        </w:tblPrEx>
        <w:trPr>
          <w:gridAfter w:val="1"/>
          <w:wAfter w:w="1223" w:type="dxa"/>
          <w:trHeight w:val="631" w:hRule="atLeast"/>
          <w:jc w:val="center"/>
        </w:trPr>
        <w:tc>
          <w:tcPr>
            <w:tcW w:w="2096" w:type="dxa"/>
            <w:vAlign w:val="center"/>
          </w:tcPr>
          <w:p>
            <w:pPr>
              <w:rPr>
                <w:rFonts w:ascii="黑体" w:hAnsi="宋体" w:eastAsia="黑体"/>
                <w:b/>
                <w:spacing w:val="40"/>
                <w:sz w:val="30"/>
                <w:szCs w:val="30"/>
                <w:highlight w:val="none"/>
              </w:rPr>
            </w:pPr>
            <w:r>
              <w:rPr>
                <w:rFonts w:hint="eastAsia" w:ascii="黑体" w:hAnsi="宋体" w:eastAsia="黑体"/>
                <w:b/>
                <w:spacing w:val="40"/>
                <w:sz w:val="30"/>
                <w:szCs w:val="30"/>
                <w:highlight w:val="none"/>
              </w:rPr>
              <w:t>采购代理：</w:t>
            </w:r>
          </w:p>
        </w:tc>
        <w:tc>
          <w:tcPr>
            <w:tcW w:w="4477" w:type="dxa"/>
            <w:vAlign w:val="center"/>
          </w:tcPr>
          <w:p>
            <w:pPr>
              <w:rPr>
                <w:rFonts w:ascii="黑体" w:hAnsi="黑体" w:eastAsia="黑体"/>
                <w:b/>
                <w:sz w:val="30"/>
                <w:szCs w:val="30"/>
                <w:highlight w:val="none"/>
                <w:u w:val="single"/>
              </w:rPr>
            </w:pPr>
            <w:r>
              <w:rPr>
                <w:rFonts w:hint="eastAsia" w:ascii="黑体" w:hAnsi="黑体" w:eastAsia="黑体"/>
                <w:b/>
                <w:sz w:val="30"/>
                <w:szCs w:val="30"/>
                <w:highlight w:val="none"/>
                <w:u w:val="single"/>
              </w:rPr>
              <w:t>广东华迪工程管理有限公司</w:t>
            </w:r>
          </w:p>
        </w:tc>
      </w:tr>
      <w:tr>
        <w:tblPrEx>
          <w:tblCellMar>
            <w:top w:w="0" w:type="dxa"/>
            <w:left w:w="108" w:type="dxa"/>
            <w:bottom w:w="0" w:type="dxa"/>
            <w:right w:w="108" w:type="dxa"/>
          </w:tblCellMar>
        </w:tblPrEx>
        <w:trPr>
          <w:trHeight w:val="625" w:hRule="atLeast"/>
          <w:jc w:val="center"/>
        </w:trPr>
        <w:tc>
          <w:tcPr>
            <w:tcW w:w="2096" w:type="dxa"/>
            <w:vAlign w:val="center"/>
          </w:tcPr>
          <w:p>
            <w:pPr>
              <w:rPr>
                <w:rFonts w:ascii="黑体" w:hAnsi="宋体" w:eastAsia="黑体"/>
                <w:b/>
                <w:sz w:val="30"/>
                <w:szCs w:val="30"/>
                <w:highlight w:val="none"/>
              </w:rPr>
            </w:pPr>
            <w:r>
              <w:rPr>
                <w:rFonts w:hint="eastAsia" w:ascii="黑体" w:hAnsi="宋体" w:eastAsia="黑体"/>
                <w:b/>
                <w:spacing w:val="-10"/>
                <w:sz w:val="30"/>
                <w:szCs w:val="30"/>
                <w:highlight w:val="none"/>
                <w:lang w:eastAsia="zh-CN"/>
              </w:rPr>
              <w:t>上</w:t>
            </w:r>
            <w:r>
              <w:rPr>
                <w:rFonts w:hint="eastAsia" w:ascii="黑体" w:hAnsi="宋体" w:eastAsia="黑体"/>
                <w:b/>
                <w:spacing w:val="-10"/>
                <w:sz w:val="30"/>
                <w:szCs w:val="30"/>
                <w:highlight w:val="none"/>
                <w:lang w:val="en-US" w:eastAsia="zh-CN"/>
              </w:rPr>
              <w:t xml:space="preserve"> </w:t>
            </w:r>
            <w:r>
              <w:rPr>
                <w:rFonts w:hint="eastAsia" w:ascii="黑体" w:hAnsi="宋体" w:eastAsia="黑体"/>
                <w:b/>
                <w:spacing w:val="-10"/>
                <w:sz w:val="30"/>
                <w:szCs w:val="30"/>
                <w:highlight w:val="none"/>
                <w:lang w:eastAsia="zh-CN"/>
              </w:rPr>
              <w:t>级</w:t>
            </w:r>
            <w:r>
              <w:rPr>
                <w:rFonts w:hint="eastAsia" w:ascii="黑体" w:hAnsi="宋体" w:eastAsia="黑体"/>
                <w:b/>
                <w:spacing w:val="-10"/>
                <w:sz w:val="30"/>
                <w:szCs w:val="30"/>
                <w:highlight w:val="none"/>
                <w:lang w:val="en-US" w:eastAsia="zh-CN"/>
              </w:rPr>
              <w:t xml:space="preserve"> </w:t>
            </w:r>
            <w:r>
              <w:rPr>
                <w:rFonts w:hint="eastAsia" w:ascii="黑体" w:hAnsi="宋体" w:eastAsia="黑体"/>
                <w:b/>
                <w:spacing w:val="-10"/>
                <w:sz w:val="30"/>
                <w:szCs w:val="30"/>
                <w:highlight w:val="none"/>
                <w:lang w:eastAsia="zh-CN"/>
              </w:rPr>
              <w:t>单</w:t>
            </w:r>
            <w:r>
              <w:rPr>
                <w:rFonts w:hint="eastAsia" w:ascii="黑体" w:hAnsi="宋体" w:eastAsia="黑体"/>
                <w:b/>
                <w:spacing w:val="-10"/>
                <w:sz w:val="30"/>
                <w:szCs w:val="30"/>
                <w:highlight w:val="none"/>
                <w:lang w:val="en-US" w:eastAsia="zh-CN"/>
              </w:rPr>
              <w:t xml:space="preserve"> </w:t>
            </w:r>
            <w:r>
              <w:rPr>
                <w:rFonts w:hint="eastAsia" w:ascii="黑体" w:hAnsi="宋体" w:eastAsia="黑体"/>
                <w:b/>
                <w:spacing w:val="-10"/>
                <w:sz w:val="30"/>
                <w:szCs w:val="30"/>
                <w:highlight w:val="none"/>
                <w:lang w:eastAsia="zh-CN"/>
              </w:rPr>
              <w:t>位</w:t>
            </w:r>
            <w:r>
              <w:rPr>
                <w:rFonts w:hint="eastAsia" w:ascii="黑体" w:hAnsi="宋体" w:eastAsia="黑体"/>
                <w:b/>
                <w:sz w:val="30"/>
                <w:szCs w:val="30"/>
                <w:highlight w:val="none"/>
              </w:rPr>
              <w:t>：</w:t>
            </w:r>
          </w:p>
        </w:tc>
        <w:tc>
          <w:tcPr>
            <w:tcW w:w="5700" w:type="dxa"/>
            <w:gridSpan w:val="2"/>
            <w:vAlign w:val="center"/>
          </w:tcPr>
          <w:p>
            <w:pPr>
              <w:rPr>
                <w:rFonts w:ascii="黑体" w:hAnsi="宋体" w:eastAsia="黑体"/>
                <w:b/>
                <w:sz w:val="30"/>
                <w:szCs w:val="30"/>
                <w:highlight w:val="none"/>
                <w:u w:val="single"/>
              </w:rPr>
            </w:pPr>
            <w:r>
              <w:rPr>
                <w:rFonts w:hint="eastAsia" w:ascii="黑体" w:hAnsi="宋体" w:eastAsia="黑体"/>
                <w:b/>
                <w:sz w:val="30"/>
                <w:szCs w:val="30"/>
                <w:highlight w:val="none"/>
                <w:u w:val="single"/>
              </w:rPr>
              <w:t>东莞市交通投资集团有限公司</w:t>
            </w:r>
          </w:p>
        </w:tc>
      </w:tr>
    </w:tbl>
    <w:p>
      <w:pPr>
        <w:rPr>
          <w:rFonts w:ascii="黑体" w:hAnsi="宋体" w:eastAsia="黑体"/>
          <w:b/>
          <w:highlight w:val="none"/>
        </w:rPr>
      </w:pPr>
    </w:p>
    <w:p>
      <w:pPr>
        <w:rPr>
          <w:rFonts w:ascii="黑体" w:hAnsi="宋体" w:eastAsia="黑体"/>
          <w:b/>
          <w:sz w:val="10"/>
          <w:szCs w:val="10"/>
          <w:highlight w:val="none"/>
        </w:rPr>
      </w:pPr>
    </w:p>
    <w:p>
      <w:pPr>
        <w:rPr>
          <w:rFonts w:ascii="黑体" w:hAnsi="宋体" w:eastAsia="黑体"/>
          <w:b/>
          <w:sz w:val="10"/>
          <w:szCs w:val="10"/>
          <w:highlight w:val="none"/>
        </w:rPr>
      </w:pPr>
    </w:p>
    <w:p>
      <w:pPr>
        <w:rPr>
          <w:rFonts w:ascii="黑体" w:hAnsi="宋体" w:eastAsia="黑体"/>
          <w:b/>
          <w:sz w:val="10"/>
          <w:szCs w:val="10"/>
          <w:highlight w:val="none"/>
        </w:rPr>
      </w:pPr>
    </w:p>
    <w:p>
      <w:pPr>
        <w:jc w:val="center"/>
        <w:rPr>
          <w:rFonts w:ascii="黑体" w:hAnsi="宋体" w:eastAsia="黑体"/>
          <w:b/>
          <w:sz w:val="30"/>
          <w:szCs w:val="30"/>
          <w:highlight w:val="none"/>
        </w:rPr>
      </w:pPr>
    </w:p>
    <w:p>
      <w:pPr>
        <w:jc w:val="center"/>
        <w:rPr>
          <w:rFonts w:ascii="黑体" w:hAnsi="宋体" w:eastAsia="黑体"/>
          <w:b/>
          <w:sz w:val="32"/>
          <w:szCs w:val="32"/>
          <w:highlight w:val="none"/>
        </w:rPr>
      </w:pPr>
      <w:r>
        <w:rPr>
          <w:rFonts w:hint="eastAsia" w:ascii="黑体" w:hAnsi="宋体" w:eastAsia="黑体"/>
          <w:b/>
          <w:sz w:val="30"/>
          <w:szCs w:val="30"/>
          <w:highlight w:val="none"/>
        </w:rPr>
        <w:t>二〇二〇 年 十 月</w:t>
      </w:r>
    </w:p>
    <w:p>
      <w:pPr>
        <w:pStyle w:val="30"/>
        <w:tabs>
          <w:tab w:val="right" w:leader="dot" w:pos="8835"/>
        </w:tabs>
        <w:spacing w:line="400" w:lineRule="exact"/>
        <w:jc w:val="center"/>
        <w:rPr>
          <w:bCs w:val="0"/>
          <w:sz w:val="28"/>
          <w:szCs w:val="28"/>
          <w:highlight w:val="none"/>
        </w:rPr>
        <w:sectPr>
          <w:headerReference r:id="rId4" w:type="first"/>
          <w:footerReference r:id="rId6" w:type="first"/>
          <w:headerReference r:id="rId3" w:type="default"/>
          <w:footerReference r:id="rId5" w:type="default"/>
          <w:pgSz w:w="11906" w:h="16838"/>
          <w:pgMar w:top="1531" w:right="1531" w:bottom="1531" w:left="1531" w:header="935" w:footer="964" w:gutter="0"/>
          <w:paperSrc w:first="7" w:other="7"/>
          <w:pgNumType w:fmt="decimal" w:start="1"/>
          <w:cols w:space="720" w:num="1"/>
          <w:titlePg/>
          <w:docGrid w:linePitch="523" w:charSpace="0"/>
        </w:sectPr>
      </w:pPr>
    </w:p>
    <w:p>
      <w:pPr>
        <w:pStyle w:val="30"/>
        <w:tabs>
          <w:tab w:val="right" w:leader="dot" w:pos="8835"/>
        </w:tabs>
        <w:spacing w:line="400" w:lineRule="exact"/>
        <w:jc w:val="center"/>
        <w:rPr>
          <w:bCs w:val="0"/>
          <w:sz w:val="28"/>
          <w:szCs w:val="28"/>
          <w:highlight w:val="none"/>
        </w:rPr>
      </w:pPr>
      <w:r>
        <w:rPr>
          <w:rFonts w:hint="eastAsia"/>
          <w:bCs w:val="0"/>
          <w:sz w:val="28"/>
          <w:szCs w:val="28"/>
          <w:highlight w:val="none"/>
        </w:rPr>
        <w:t>目录</w:t>
      </w:r>
    </w:p>
    <w:p>
      <w:pPr>
        <w:pStyle w:val="38"/>
        <w:tabs>
          <w:tab w:val="right" w:leader="dot" w:pos="8844"/>
        </w:tabs>
        <w:rPr>
          <w:highlight w:val="none"/>
        </w:rPr>
      </w:pPr>
      <w:r>
        <w:rPr>
          <w:rFonts w:hint="eastAsia" w:ascii="宋体" w:hAnsi="宋体" w:cs="宋体"/>
          <w:sz w:val="21"/>
          <w:szCs w:val="21"/>
          <w:highlight w:val="none"/>
        </w:rPr>
        <w:fldChar w:fldCharType="begin"/>
      </w:r>
      <w:r>
        <w:rPr>
          <w:rFonts w:hint="eastAsia" w:ascii="宋体" w:hAnsi="宋体" w:cs="宋体"/>
          <w:sz w:val="21"/>
          <w:szCs w:val="21"/>
          <w:highlight w:val="none"/>
        </w:rPr>
        <w:instrText xml:space="preserve"> TOC \o "1-3" \h \z \u </w:instrText>
      </w:r>
      <w:r>
        <w:rPr>
          <w:rFonts w:hint="eastAsia" w:ascii="宋体" w:hAnsi="宋体" w:cs="宋体"/>
          <w:sz w:val="21"/>
          <w:szCs w:val="21"/>
          <w:highlight w:val="none"/>
        </w:rPr>
        <w:fldChar w:fldCharType="separate"/>
      </w:r>
      <w:r>
        <w:rPr>
          <w:highlight w:val="none"/>
        </w:rPr>
        <w:fldChar w:fldCharType="begin"/>
      </w:r>
      <w:r>
        <w:rPr>
          <w:highlight w:val="none"/>
        </w:rPr>
        <w:instrText xml:space="preserve"> HYPERLINK \l "_Toc17660" </w:instrText>
      </w:r>
      <w:r>
        <w:rPr>
          <w:highlight w:val="none"/>
        </w:rPr>
        <w:fldChar w:fldCharType="separate"/>
      </w:r>
      <w:r>
        <w:rPr>
          <w:rFonts w:hint="eastAsia" w:ascii="宋体" w:hAnsi="宋体"/>
          <w:spacing w:val="20"/>
          <w:szCs w:val="44"/>
          <w:highlight w:val="none"/>
        </w:rPr>
        <w:t>第一部分  投标邀请</w:t>
      </w:r>
      <w:r>
        <w:rPr>
          <w:highlight w:val="none"/>
        </w:rPr>
        <w:tab/>
      </w:r>
      <w:r>
        <w:rPr>
          <w:highlight w:val="none"/>
        </w:rPr>
        <w:fldChar w:fldCharType="begin"/>
      </w:r>
      <w:r>
        <w:rPr>
          <w:highlight w:val="none"/>
        </w:rPr>
        <w:instrText xml:space="preserve"> PAGEREF _Toc17660 </w:instrText>
      </w:r>
      <w:r>
        <w:rPr>
          <w:highlight w:val="none"/>
        </w:rPr>
        <w:fldChar w:fldCharType="separate"/>
      </w:r>
      <w:r>
        <w:rPr>
          <w:highlight w:val="none"/>
        </w:rPr>
        <w:t>3</w:t>
      </w:r>
      <w:r>
        <w:rPr>
          <w:highlight w:val="none"/>
        </w:rPr>
        <w:fldChar w:fldCharType="end"/>
      </w:r>
      <w:r>
        <w:rPr>
          <w:highlight w:val="none"/>
        </w:rPr>
        <w:fldChar w:fldCharType="end"/>
      </w:r>
    </w:p>
    <w:p>
      <w:pPr>
        <w:pStyle w:val="22"/>
        <w:tabs>
          <w:tab w:val="right" w:leader="dot" w:pos="8844"/>
        </w:tabs>
        <w:rPr>
          <w:highlight w:val="none"/>
        </w:rPr>
      </w:pPr>
      <w:r>
        <w:rPr>
          <w:highlight w:val="none"/>
        </w:rPr>
        <w:fldChar w:fldCharType="begin"/>
      </w:r>
      <w:r>
        <w:rPr>
          <w:highlight w:val="none"/>
        </w:rPr>
        <w:instrText xml:space="preserve"> HYPERLINK \l "_Toc6725" </w:instrText>
      </w:r>
      <w:r>
        <w:rPr>
          <w:highlight w:val="none"/>
        </w:rPr>
        <w:fldChar w:fldCharType="separate"/>
      </w:r>
      <w:r>
        <w:rPr>
          <w:rFonts w:hint="eastAsia" w:ascii="宋体" w:hAnsi="宋体"/>
          <w:bCs/>
          <w:szCs w:val="32"/>
          <w:highlight w:val="none"/>
        </w:rPr>
        <w:t>一、投标邀请函</w:t>
      </w:r>
      <w:r>
        <w:rPr>
          <w:highlight w:val="none"/>
        </w:rPr>
        <w:tab/>
      </w:r>
      <w:r>
        <w:rPr>
          <w:highlight w:val="none"/>
        </w:rPr>
        <w:fldChar w:fldCharType="begin"/>
      </w:r>
      <w:r>
        <w:rPr>
          <w:highlight w:val="none"/>
        </w:rPr>
        <w:instrText xml:space="preserve"> PAGEREF _Toc6725 </w:instrText>
      </w:r>
      <w:r>
        <w:rPr>
          <w:highlight w:val="none"/>
        </w:rPr>
        <w:fldChar w:fldCharType="separate"/>
      </w:r>
      <w:r>
        <w:rPr>
          <w:highlight w:val="none"/>
        </w:rPr>
        <w:t>4</w:t>
      </w:r>
      <w:r>
        <w:rPr>
          <w:highlight w:val="none"/>
        </w:rPr>
        <w:fldChar w:fldCharType="end"/>
      </w:r>
      <w:r>
        <w:rPr>
          <w:highlight w:val="none"/>
        </w:rPr>
        <w:fldChar w:fldCharType="end"/>
      </w:r>
    </w:p>
    <w:p>
      <w:pPr>
        <w:pStyle w:val="38"/>
        <w:tabs>
          <w:tab w:val="right" w:leader="dot" w:pos="8844"/>
        </w:tabs>
        <w:rPr>
          <w:highlight w:val="none"/>
        </w:rPr>
      </w:pPr>
      <w:r>
        <w:rPr>
          <w:highlight w:val="none"/>
        </w:rPr>
        <w:fldChar w:fldCharType="begin"/>
      </w:r>
      <w:r>
        <w:rPr>
          <w:highlight w:val="none"/>
        </w:rPr>
        <w:instrText xml:space="preserve"> HYPERLINK \l "_Toc31760" </w:instrText>
      </w:r>
      <w:r>
        <w:rPr>
          <w:highlight w:val="none"/>
        </w:rPr>
        <w:fldChar w:fldCharType="separate"/>
      </w:r>
      <w:r>
        <w:rPr>
          <w:rFonts w:hint="eastAsia" w:ascii="宋体" w:hAnsi="宋体"/>
          <w:spacing w:val="20"/>
          <w:szCs w:val="44"/>
          <w:highlight w:val="none"/>
        </w:rPr>
        <w:t>第二部分  投标人须知</w:t>
      </w:r>
      <w:r>
        <w:rPr>
          <w:highlight w:val="none"/>
        </w:rPr>
        <w:tab/>
      </w:r>
      <w:r>
        <w:rPr>
          <w:highlight w:val="none"/>
        </w:rPr>
        <w:fldChar w:fldCharType="begin"/>
      </w:r>
      <w:r>
        <w:rPr>
          <w:highlight w:val="none"/>
        </w:rPr>
        <w:instrText xml:space="preserve"> PAGEREF _Toc31760 </w:instrText>
      </w:r>
      <w:r>
        <w:rPr>
          <w:highlight w:val="none"/>
        </w:rPr>
        <w:fldChar w:fldCharType="separate"/>
      </w:r>
      <w:r>
        <w:rPr>
          <w:highlight w:val="none"/>
        </w:rPr>
        <w:t>6</w:t>
      </w:r>
      <w:r>
        <w:rPr>
          <w:highlight w:val="none"/>
        </w:rPr>
        <w:fldChar w:fldCharType="end"/>
      </w:r>
      <w:r>
        <w:rPr>
          <w:highlight w:val="none"/>
        </w:rPr>
        <w:fldChar w:fldCharType="end"/>
      </w:r>
    </w:p>
    <w:p>
      <w:pPr>
        <w:pStyle w:val="22"/>
        <w:tabs>
          <w:tab w:val="right" w:leader="dot" w:pos="8844"/>
        </w:tabs>
        <w:rPr>
          <w:highlight w:val="none"/>
        </w:rPr>
      </w:pPr>
      <w:r>
        <w:rPr>
          <w:highlight w:val="none"/>
        </w:rPr>
        <w:fldChar w:fldCharType="begin"/>
      </w:r>
      <w:r>
        <w:rPr>
          <w:highlight w:val="none"/>
        </w:rPr>
        <w:instrText xml:space="preserve"> HYPERLINK \l "_Toc32238" </w:instrText>
      </w:r>
      <w:r>
        <w:rPr>
          <w:highlight w:val="none"/>
        </w:rPr>
        <w:fldChar w:fldCharType="separate"/>
      </w:r>
      <w:r>
        <w:rPr>
          <w:rFonts w:hint="eastAsia" w:ascii="宋体" w:hAnsi="宋体"/>
          <w:bCs/>
          <w:szCs w:val="32"/>
          <w:highlight w:val="none"/>
        </w:rPr>
        <w:t>一、</w:t>
      </w:r>
      <w:r>
        <w:rPr>
          <w:rFonts w:hint="eastAsia" w:hAnsi="宋体"/>
          <w:bCs/>
          <w:szCs w:val="32"/>
          <w:highlight w:val="none"/>
        </w:rPr>
        <w:t>投标人须知前附表</w:t>
      </w:r>
      <w:r>
        <w:rPr>
          <w:highlight w:val="none"/>
        </w:rPr>
        <w:tab/>
      </w:r>
      <w:r>
        <w:rPr>
          <w:highlight w:val="none"/>
        </w:rPr>
        <w:fldChar w:fldCharType="begin"/>
      </w:r>
      <w:r>
        <w:rPr>
          <w:highlight w:val="none"/>
        </w:rPr>
        <w:instrText xml:space="preserve"> PAGEREF _Toc32238 </w:instrText>
      </w:r>
      <w:r>
        <w:rPr>
          <w:highlight w:val="none"/>
        </w:rPr>
        <w:fldChar w:fldCharType="separate"/>
      </w:r>
      <w:r>
        <w:rPr>
          <w:highlight w:val="none"/>
        </w:rPr>
        <w:t>7</w:t>
      </w:r>
      <w:r>
        <w:rPr>
          <w:highlight w:val="none"/>
        </w:rPr>
        <w:fldChar w:fldCharType="end"/>
      </w:r>
      <w:r>
        <w:rPr>
          <w:highlight w:val="none"/>
        </w:rPr>
        <w:fldChar w:fldCharType="end"/>
      </w:r>
    </w:p>
    <w:p>
      <w:pPr>
        <w:pStyle w:val="38"/>
        <w:tabs>
          <w:tab w:val="right" w:leader="dot" w:pos="8844"/>
        </w:tabs>
        <w:rPr>
          <w:highlight w:val="none"/>
        </w:rPr>
      </w:pPr>
      <w:r>
        <w:rPr>
          <w:highlight w:val="none"/>
        </w:rPr>
        <w:fldChar w:fldCharType="begin"/>
      </w:r>
      <w:r>
        <w:rPr>
          <w:highlight w:val="none"/>
        </w:rPr>
        <w:instrText xml:space="preserve"> HYPERLINK \l "_Toc13374" </w:instrText>
      </w:r>
      <w:r>
        <w:rPr>
          <w:highlight w:val="none"/>
        </w:rPr>
        <w:fldChar w:fldCharType="separate"/>
      </w:r>
      <w:r>
        <w:rPr>
          <w:rFonts w:hint="eastAsia" w:ascii="宋体" w:hAnsi="宋体"/>
          <w:spacing w:val="20"/>
          <w:szCs w:val="44"/>
          <w:highlight w:val="none"/>
        </w:rPr>
        <w:t xml:space="preserve">第三部分 </w:t>
      </w:r>
      <w:r>
        <w:rPr>
          <w:rFonts w:hint="eastAsia" w:ascii="宋体" w:hAnsi="宋体"/>
          <w:highlight w:val="none"/>
        </w:rPr>
        <w:t xml:space="preserve">  用户需求书</w:t>
      </w:r>
      <w:r>
        <w:rPr>
          <w:highlight w:val="none"/>
        </w:rPr>
        <w:tab/>
      </w:r>
      <w:r>
        <w:rPr>
          <w:rFonts w:hint="eastAsia"/>
          <w:highlight w:val="none"/>
          <w:lang w:val="en-US" w:eastAsia="zh-CN"/>
        </w:rPr>
        <w:t>9</w:t>
      </w:r>
      <w:r>
        <w:rPr>
          <w:highlight w:val="none"/>
        </w:rPr>
        <w:fldChar w:fldCharType="end"/>
      </w:r>
    </w:p>
    <w:p>
      <w:pPr>
        <w:pStyle w:val="38"/>
        <w:tabs>
          <w:tab w:val="right" w:leader="dot" w:pos="8844"/>
        </w:tabs>
        <w:rPr>
          <w:rFonts w:hint="default" w:ascii="宋体" w:hAnsi="宋体" w:eastAsia="宋体"/>
          <w:spacing w:val="20"/>
          <w:szCs w:val="44"/>
          <w:highlight w:val="none"/>
          <w:lang w:val="en-US" w:eastAsia="zh-CN"/>
        </w:rPr>
      </w:pPr>
      <w:r>
        <w:rPr>
          <w:rFonts w:hint="eastAsia" w:ascii="宋体" w:hAnsi="宋体"/>
          <w:spacing w:val="20"/>
          <w:szCs w:val="44"/>
          <w:highlight w:val="none"/>
        </w:rPr>
        <w:t>第四部分  框架协议范本</w:t>
      </w:r>
      <w:r>
        <w:rPr>
          <w:highlight w:val="none"/>
        </w:rPr>
        <w:tab/>
      </w:r>
      <w:r>
        <w:rPr>
          <w:rFonts w:hint="eastAsia" w:ascii="宋体" w:hAnsi="宋体"/>
          <w:spacing w:val="20"/>
          <w:szCs w:val="44"/>
          <w:highlight w:val="none"/>
          <w:lang w:val="en-US" w:eastAsia="zh-CN"/>
        </w:rPr>
        <w:t>18</w:t>
      </w:r>
    </w:p>
    <w:p>
      <w:pPr>
        <w:pStyle w:val="38"/>
        <w:tabs>
          <w:tab w:val="right" w:leader="dot" w:pos="8844"/>
        </w:tabs>
        <w:rPr>
          <w:rFonts w:hint="eastAsia" w:eastAsia="宋体"/>
          <w:highlight w:val="none"/>
          <w:lang w:val="en-US" w:eastAsia="zh-CN"/>
        </w:rPr>
      </w:pPr>
      <w:r>
        <w:rPr>
          <w:highlight w:val="none"/>
        </w:rPr>
        <w:fldChar w:fldCharType="begin"/>
      </w:r>
      <w:r>
        <w:rPr>
          <w:highlight w:val="none"/>
        </w:rPr>
        <w:instrText xml:space="preserve"> HYPERLINK \l "_Toc4355" </w:instrText>
      </w:r>
      <w:r>
        <w:rPr>
          <w:highlight w:val="none"/>
        </w:rPr>
        <w:fldChar w:fldCharType="separate"/>
      </w:r>
      <w:r>
        <w:rPr>
          <w:rFonts w:hint="eastAsia" w:ascii="宋体" w:hAnsi="宋体"/>
          <w:spacing w:val="20"/>
          <w:kern w:val="2"/>
          <w:szCs w:val="44"/>
          <w:highlight w:val="none"/>
        </w:rPr>
        <w:t>第五部分  投标文件</w:t>
      </w:r>
      <w:r>
        <w:rPr>
          <w:highlight w:val="none"/>
        </w:rPr>
        <w:tab/>
      </w:r>
      <w:r>
        <w:rPr>
          <w:rFonts w:hint="eastAsia"/>
          <w:highlight w:val="none"/>
          <w:lang w:val="en-US" w:eastAsia="zh-CN"/>
        </w:rPr>
        <w:t>3</w:t>
      </w:r>
      <w:r>
        <w:rPr>
          <w:highlight w:val="none"/>
        </w:rPr>
        <w:fldChar w:fldCharType="end"/>
      </w:r>
      <w:r>
        <w:rPr>
          <w:rFonts w:hint="eastAsia"/>
          <w:highlight w:val="none"/>
          <w:lang w:val="en-US" w:eastAsia="zh-CN"/>
        </w:rPr>
        <w:t>9</w:t>
      </w:r>
    </w:p>
    <w:p>
      <w:pPr>
        <w:snapToGrid w:val="0"/>
        <w:spacing w:line="400" w:lineRule="exact"/>
        <w:jc w:val="center"/>
        <w:rPr>
          <w:rFonts w:ascii="宋体" w:hAnsi="宋体"/>
          <w:b/>
          <w:spacing w:val="30"/>
          <w:sz w:val="32"/>
          <w:szCs w:val="32"/>
          <w:highlight w:val="none"/>
        </w:rPr>
      </w:pPr>
      <w:r>
        <w:rPr>
          <w:rFonts w:hint="eastAsia" w:ascii="宋体" w:hAnsi="宋体" w:cs="宋体"/>
          <w:szCs w:val="21"/>
          <w:highlight w:val="none"/>
        </w:rPr>
        <w:fldChar w:fldCharType="end"/>
      </w:r>
    </w:p>
    <w:p>
      <w:pPr>
        <w:snapToGrid w:val="0"/>
        <w:spacing w:line="600" w:lineRule="exact"/>
        <w:jc w:val="center"/>
        <w:rPr>
          <w:rFonts w:ascii="宋体" w:hAnsi="宋体"/>
          <w:b/>
          <w:spacing w:val="30"/>
          <w:sz w:val="24"/>
          <w:szCs w:val="24"/>
          <w:highlight w:val="none"/>
        </w:rPr>
      </w:pPr>
    </w:p>
    <w:p>
      <w:pPr>
        <w:snapToGrid w:val="0"/>
        <w:spacing w:line="600" w:lineRule="exact"/>
        <w:jc w:val="center"/>
        <w:rPr>
          <w:rFonts w:ascii="宋体" w:hAnsi="宋体"/>
          <w:b/>
          <w:spacing w:val="30"/>
          <w:sz w:val="24"/>
          <w:szCs w:val="24"/>
          <w:highlight w:val="none"/>
        </w:rPr>
      </w:pPr>
    </w:p>
    <w:p>
      <w:pPr>
        <w:snapToGrid w:val="0"/>
        <w:spacing w:line="600" w:lineRule="exact"/>
        <w:jc w:val="center"/>
        <w:rPr>
          <w:rFonts w:ascii="宋体" w:hAnsi="宋体"/>
          <w:b/>
          <w:spacing w:val="30"/>
          <w:sz w:val="24"/>
          <w:szCs w:val="24"/>
          <w:highlight w:val="none"/>
        </w:rPr>
      </w:pPr>
    </w:p>
    <w:p>
      <w:pPr>
        <w:snapToGrid w:val="0"/>
        <w:spacing w:line="600" w:lineRule="exact"/>
        <w:jc w:val="center"/>
        <w:rPr>
          <w:rFonts w:ascii="宋体" w:hAnsi="宋体"/>
          <w:b/>
          <w:spacing w:val="30"/>
          <w:sz w:val="48"/>
          <w:highlight w:val="none"/>
        </w:rPr>
      </w:pPr>
      <w:r>
        <w:rPr>
          <w:rFonts w:ascii="宋体" w:hAnsi="宋体"/>
          <w:sz w:val="18"/>
          <w:highlight w:val="none"/>
        </w:rPr>
        <w:br w:type="page"/>
      </w:r>
    </w:p>
    <w:p>
      <w:pPr>
        <w:snapToGrid w:val="0"/>
        <w:spacing w:line="600" w:lineRule="exact"/>
        <w:jc w:val="center"/>
        <w:rPr>
          <w:rFonts w:ascii="宋体" w:hAnsi="宋体"/>
          <w:b/>
          <w:spacing w:val="30"/>
          <w:sz w:val="48"/>
          <w:highlight w:val="none"/>
        </w:rPr>
      </w:pPr>
    </w:p>
    <w:p>
      <w:pPr>
        <w:snapToGrid w:val="0"/>
        <w:spacing w:line="600" w:lineRule="exact"/>
        <w:jc w:val="center"/>
        <w:rPr>
          <w:rFonts w:ascii="宋体" w:hAnsi="宋体"/>
          <w:b/>
          <w:spacing w:val="30"/>
          <w:sz w:val="48"/>
          <w:highlight w:val="none"/>
        </w:rPr>
      </w:pPr>
    </w:p>
    <w:p>
      <w:pPr>
        <w:snapToGrid w:val="0"/>
        <w:spacing w:line="600" w:lineRule="exact"/>
        <w:jc w:val="center"/>
        <w:rPr>
          <w:rFonts w:ascii="宋体" w:hAnsi="宋体"/>
          <w:b/>
          <w:spacing w:val="30"/>
          <w:sz w:val="48"/>
          <w:highlight w:val="none"/>
        </w:rPr>
      </w:pPr>
    </w:p>
    <w:p>
      <w:pPr>
        <w:snapToGrid w:val="0"/>
        <w:spacing w:line="600" w:lineRule="exact"/>
        <w:jc w:val="center"/>
        <w:rPr>
          <w:rFonts w:ascii="宋体" w:hAnsi="宋体"/>
          <w:b/>
          <w:spacing w:val="30"/>
          <w:sz w:val="48"/>
          <w:highlight w:val="none"/>
        </w:rPr>
      </w:pPr>
    </w:p>
    <w:p>
      <w:pPr>
        <w:snapToGrid w:val="0"/>
        <w:spacing w:line="600" w:lineRule="exact"/>
        <w:jc w:val="center"/>
        <w:rPr>
          <w:rFonts w:ascii="宋体" w:hAnsi="宋体"/>
          <w:b/>
          <w:spacing w:val="30"/>
          <w:sz w:val="48"/>
          <w:highlight w:val="none"/>
        </w:rPr>
      </w:pPr>
    </w:p>
    <w:p>
      <w:pPr>
        <w:snapToGrid w:val="0"/>
        <w:spacing w:line="600" w:lineRule="exact"/>
        <w:jc w:val="center"/>
        <w:rPr>
          <w:rFonts w:ascii="宋体" w:hAnsi="宋体"/>
          <w:b/>
          <w:spacing w:val="30"/>
          <w:sz w:val="48"/>
          <w:highlight w:val="none"/>
        </w:rPr>
      </w:pPr>
    </w:p>
    <w:p>
      <w:pPr>
        <w:snapToGrid w:val="0"/>
        <w:spacing w:line="600" w:lineRule="exact"/>
        <w:jc w:val="center"/>
        <w:rPr>
          <w:rFonts w:ascii="宋体" w:hAnsi="宋体"/>
          <w:b/>
          <w:spacing w:val="30"/>
          <w:sz w:val="48"/>
          <w:highlight w:val="none"/>
        </w:rPr>
      </w:pPr>
    </w:p>
    <w:p>
      <w:pPr>
        <w:snapToGrid w:val="0"/>
        <w:spacing w:line="600" w:lineRule="exact"/>
        <w:rPr>
          <w:rFonts w:ascii="宋体" w:hAnsi="宋体"/>
          <w:b/>
          <w:spacing w:val="30"/>
          <w:sz w:val="48"/>
          <w:highlight w:val="none"/>
        </w:rPr>
      </w:pPr>
    </w:p>
    <w:p>
      <w:pPr>
        <w:snapToGrid w:val="0"/>
        <w:spacing w:line="600" w:lineRule="exact"/>
        <w:jc w:val="center"/>
        <w:rPr>
          <w:rFonts w:ascii="宋体" w:hAnsi="宋体"/>
          <w:b/>
          <w:spacing w:val="30"/>
          <w:sz w:val="48"/>
          <w:highlight w:val="none"/>
        </w:rPr>
      </w:pPr>
    </w:p>
    <w:p>
      <w:pPr>
        <w:pStyle w:val="5"/>
        <w:spacing w:before="0" w:after="0" w:line="240" w:lineRule="auto"/>
        <w:ind w:left="230" w:leftChars="115"/>
        <w:rPr>
          <w:rFonts w:ascii="宋体" w:hAnsi="宋体"/>
          <w:spacing w:val="20"/>
          <w:szCs w:val="44"/>
          <w:highlight w:val="none"/>
        </w:rPr>
      </w:pPr>
      <w:bookmarkStart w:id="0" w:name="_第一部分__投标邀请"/>
      <w:bookmarkEnd w:id="0"/>
      <w:bookmarkStart w:id="1" w:name="_Toc17660"/>
      <w:r>
        <w:rPr>
          <w:rFonts w:hint="eastAsia" w:ascii="宋体" w:hAnsi="宋体"/>
          <w:spacing w:val="20"/>
          <w:szCs w:val="44"/>
          <w:highlight w:val="none"/>
        </w:rPr>
        <w:t>第一部分  投标邀请</w:t>
      </w:r>
      <w:bookmarkEnd w:id="1"/>
    </w:p>
    <w:p>
      <w:pPr>
        <w:pStyle w:val="6"/>
        <w:spacing w:before="240" w:beforeLines="100" w:after="240" w:afterLines="100" w:line="360" w:lineRule="auto"/>
        <w:rPr>
          <w:rFonts w:ascii="宋体" w:hAnsi="宋体" w:eastAsia="宋体"/>
          <w:bCs/>
          <w:szCs w:val="32"/>
          <w:highlight w:val="none"/>
        </w:rPr>
        <w:sectPr>
          <w:footerReference r:id="rId8" w:type="first"/>
          <w:footerReference r:id="rId7" w:type="default"/>
          <w:pgSz w:w="11906" w:h="16838"/>
          <w:pgMar w:top="1531" w:right="1531" w:bottom="1531" w:left="1531" w:header="935" w:footer="964" w:gutter="0"/>
          <w:paperSrc w:first="7" w:other="7"/>
          <w:pgNumType w:fmt="decimal"/>
          <w:cols w:space="720" w:num="1"/>
          <w:docGrid w:linePitch="523" w:charSpace="0"/>
        </w:sectPr>
      </w:pPr>
      <w:bookmarkStart w:id="2" w:name="_Toc208661934"/>
    </w:p>
    <w:p>
      <w:pPr>
        <w:pStyle w:val="6"/>
        <w:spacing w:before="240" w:beforeLines="100" w:after="240" w:afterLines="100" w:line="360" w:lineRule="auto"/>
        <w:rPr>
          <w:rFonts w:ascii="宋体" w:eastAsia="宋体"/>
          <w:sz w:val="28"/>
          <w:highlight w:val="none"/>
        </w:rPr>
      </w:pPr>
      <w:bookmarkStart w:id="3" w:name="_Toc6725"/>
      <w:r>
        <w:rPr>
          <w:rFonts w:hint="eastAsia" w:ascii="宋体" w:hAnsi="宋体" w:eastAsia="宋体"/>
          <w:bCs/>
          <w:szCs w:val="32"/>
          <w:highlight w:val="none"/>
        </w:rPr>
        <w:t>一、投标邀请</w:t>
      </w:r>
      <w:bookmarkEnd w:id="2"/>
      <w:r>
        <w:rPr>
          <w:rFonts w:hint="eastAsia" w:ascii="宋体" w:hAnsi="宋体" w:eastAsia="宋体"/>
          <w:bCs/>
          <w:szCs w:val="32"/>
          <w:highlight w:val="none"/>
        </w:rPr>
        <w:t>函</w:t>
      </w:r>
      <w:bookmarkEnd w:id="3"/>
    </w:p>
    <w:p>
      <w:pPr>
        <w:pStyle w:val="55"/>
        <w:spacing w:line="360" w:lineRule="auto"/>
        <w:ind w:firstLine="440" w:firstLineChars="200"/>
        <w:rPr>
          <w:rFonts w:ascii="宋体" w:eastAsia="宋体"/>
          <w:bCs/>
          <w:sz w:val="22"/>
          <w:szCs w:val="22"/>
          <w:highlight w:val="none"/>
        </w:rPr>
      </w:pPr>
      <w:r>
        <w:rPr>
          <w:rFonts w:hint="eastAsia" w:ascii="宋体" w:eastAsia="宋体"/>
          <w:bCs/>
          <w:sz w:val="22"/>
          <w:szCs w:val="22"/>
          <w:highlight w:val="none"/>
        </w:rPr>
        <w:t>东莞巴士有限公司充电服务资格供应商采购项目现</w:t>
      </w:r>
      <w:r>
        <w:rPr>
          <w:rFonts w:hint="eastAsia" w:ascii="宋体" w:eastAsia="宋体"/>
          <w:sz w:val="22"/>
          <w:szCs w:val="22"/>
          <w:highlight w:val="none"/>
        </w:rPr>
        <w:t>进行资格入库采购，欢迎符合</w:t>
      </w:r>
      <w:r>
        <w:rPr>
          <w:rFonts w:ascii="宋体" w:eastAsia="宋体"/>
          <w:sz w:val="22"/>
          <w:szCs w:val="22"/>
          <w:highlight w:val="none"/>
        </w:rPr>
        <w:t>资格条件</w:t>
      </w:r>
      <w:r>
        <w:rPr>
          <w:rFonts w:hint="eastAsia" w:ascii="宋体" w:eastAsia="宋体"/>
          <w:sz w:val="22"/>
          <w:szCs w:val="22"/>
          <w:highlight w:val="none"/>
        </w:rPr>
        <w:t>的国内投标人参加。</w:t>
      </w:r>
    </w:p>
    <w:p>
      <w:pPr>
        <w:pStyle w:val="55"/>
        <w:spacing w:line="360" w:lineRule="auto"/>
        <w:ind w:firstLine="442" w:firstLineChars="200"/>
        <w:rPr>
          <w:rFonts w:ascii="宋体" w:eastAsia="宋体"/>
          <w:b/>
          <w:sz w:val="22"/>
          <w:szCs w:val="22"/>
          <w:highlight w:val="none"/>
        </w:rPr>
      </w:pPr>
      <w:r>
        <w:rPr>
          <w:rFonts w:hint="eastAsia" w:ascii="宋体" w:eastAsia="宋体"/>
          <w:b/>
          <w:sz w:val="22"/>
          <w:szCs w:val="22"/>
          <w:highlight w:val="none"/>
        </w:rPr>
        <w:t>1.项目名称：</w:t>
      </w:r>
      <w:r>
        <w:rPr>
          <w:rFonts w:hint="eastAsia" w:ascii="宋体" w:eastAsia="宋体"/>
          <w:bCs/>
          <w:sz w:val="22"/>
          <w:szCs w:val="22"/>
          <w:highlight w:val="none"/>
        </w:rPr>
        <w:t>东莞巴士有限公司充电服务资格供应商采购项目</w:t>
      </w:r>
    </w:p>
    <w:p>
      <w:pPr>
        <w:pStyle w:val="55"/>
        <w:spacing w:line="360" w:lineRule="auto"/>
        <w:ind w:firstLine="442" w:firstLineChars="200"/>
        <w:rPr>
          <w:rFonts w:ascii="宋体" w:eastAsia="宋体"/>
          <w:bCs/>
          <w:sz w:val="22"/>
          <w:szCs w:val="22"/>
          <w:highlight w:val="none"/>
        </w:rPr>
      </w:pPr>
      <w:r>
        <w:rPr>
          <w:rFonts w:hint="eastAsia" w:ascii="宋体" w:eastAsia="宋体"/>
          <w:b/>
          <w:sz w:val="22"/>
          <w:szCs w:val="22"/>
          <w:highlight w:val="none"/>
        </w:rPr>
        <w:t>2.采购编号：</w:t>
      </w:r>
      <w:r>
        <w:rPr>
          <w:rFonts w:ascii="宋体" w:eastAsia="宋体"/>
          <w:bCs/>
          <w:sz w:val="22"/>
          <w:szCs w:val="22"/>
          <w:highlight w:val="none"/>
        </w:rPr>
        <w:t>BS-CG2020045</w:t>
      </w:r>
    </w:p>
    <w:p>
      <w:pPr>
        <w:pStyle w:val="55"/>
        <w:spacing w:line="360" w:lineRule="auto"/>
        <w:ind w:firstLine="442" w:firstLineChars="200"/>
        <w:rPr>
          <w:rFonts w:ascii="宋体" w:eastAsia="宋体"/>
          <w:bCs/>
          <w:sz w:val="22"/>
          <w:szCs w:val="22"/>
          <w:highlight w:val="none"/>
        </w:rPr>
      </w:pPr>
      <w:r>
        <w:rPr>
          <w:rFonts w:hint="eastAsia" w:ascii="宋体" w:eastAsia="宋体"/>
          <w:b/>
          <w:sz w:val="22"/>
          <w:szCs w:val="22"/>
          <w:highlight w:val="none"/>
        </w:rPr>
        <w:t>3.采购内容及要求：</w:t>
      </w:r>
    </w:p>
    <w:tbl>
      <w:tblPr>
        <w:tblStyle w:val="44"/>
        <w:tblW w:w="8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3424"/>
        <w:gridCol w:w="1842"/>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dxa"/>
            <w:vAlign w:val="center"/>
          </w:tcPr>
          <w:p>
            <w:pPr>
              <w:pStyle w:val="55"/>
              <w:spacing w:line="360" w:lineRule="auto"/>
              <w:ind w:firstLine="0" w:firstLineChars="0"/>
              <w:jc w:val="center"/>
              <w:rPr>
                <w:rFonts w:ascii="宋体" w:eastAsia="宋体"/>
                <w:b/>
                <w:sz w:val="22"/>
                <w:szCs w:val="22"/>
                <w:highlight w:val="none"/>
              </w:rPr>
            </w:pPr>
            <w:r>
              <w:rPr>
                <w:rFonts w:hint="eastAsia" w:ascii="宋体" w:eastAsia="宋体"/>
                <w:b/>
                <w:sz w:val="22"/>
                <w:szCs w:val="22"/>
                <w:highlight w:val="none"/>
              </w:rPr>
              <w:t>包号</w:t>
            </w:r>
          </w:p>
        </w:tc>
        <w:tc>
          <w:tcPr>
            <w:tcW w:w="3424" w:type="dxa"/>
            <w:vAlign w:val="center"/>
          </w:tcPr>
          <w:p>
            <w:pPr>
              <w:pStyle w:val="55"/>
              <w:spacing w:line="360" w:lineRule="auto"/>
              <w:ind w:firstLine="0" w:firstLineChars="0"/>
              <w:jc w:val="center"/>
              <w:rPr>
                <w:rFonts w:ascii="宋体" w:eastAsia="宋体"/>
                <w:b/>
                <w:sz w:val="22"/>
                <w:szCs w:val="22"/>
                <w:highlight w:val="none"/>
              </w:rPr>
            </w:pPr>
            <w:r>
              <w:rPr>
                <w:rFonts w:hint="eastAsia" w:ascii="宋体" w:eastAsia="宋体" w:cs="宋体"/>
                <w:b/>
                <w:kern w:val="0"/>
                <w:sz w:val="22"/>
                <w:szCs w:val="22"/>
                <w:highlight w:val="none"/>
              </w:rPr>
              <w:t>采购内容</w:t>
            </w:r>
          </w:p>
        </w:tc>
        <w:tc>
          <w:tcPr>
            <w:tcW w:w="1842" w:type="dxa"/>
            <w:vAlign w:val="center"/>
          </w:tcPr>
          <w:p>
            <w:pPr>
              <w:pStyle w:val="55"/>
              <w:spacing w:line="360" w:lineRule="auto"/>
              <w:ind w:firstLine="0" w:firstLineChars="0"/>
              <w:jc w:val="center"/>
              <w:rPr>
                <w:rFonts w:ascii="宋体" w:eastAsia="宋体"/>
                <w:b/>
                <w:sz w:val="22"/>
                <w:szCs w:val="22"/>
                <w:highlight w:val="none"/>
              </w:rPr>
            </w:pPr>
            <w:r>
              <w:rPr>
                <w:rFonts w:hint="eastAsia" w:ascii="宋体" w:eastAsia="宋体"/>
                <w:b/>
                <w:sz w:val="22"/>
                <w:szCs w:val="22"/>
                <w:highlight w:val="none"/>
              </w:rPr>
              <w:t>服务期</w:t>
            </w:r>
          </w:p>
        </w:tc>
        <w:tc>
          <w:tcPr>
            <w:tcW w:w="2269" w:type="dxa"/>
            <w:vAlign w:val="center"/>
          </w:tcPr>
          <w:p>
            <w:pPr>
              <w:pStyle w:val="55"/>
              <w:spacing w:line="360" w:lineRule="auto"/>
              <w:ind w:firstLine="0" w:firstLineChars="0"/>
              <w:jc w:val="center"/>
              <w:rPr>
                <w:rFonts w:ascii="宋体" w:eastAsia="宋体"/>
                <w:b/>
                <w:sz w:val="22"/>
                <w:szCs w:val="22"/>
                <w:highlight w:val="none"/>
              </w:rPr>
            </w:pPr>
            <w:r>
              <w:rPr>
                <w:rFonts w:hint="eastAsia" w:ascii="宋体" w:eastAsia="宋体"/>
                <w:b/>
                <w:sz w:val="22"/>
                <w:szCs w:val="22"/>
                <w:highlight w:val="none"/>
              </w:rPr>
              <w:t>服务</w:t>
            </w:r>
            <w:r>
              <w:rPr>
                <w:rFonts w:ascii="宋体" w:eastAsia="宋体"/>
                <w:b/>
                <w:sz w:val="22"/>
                <w:szCs w:val="22"/>
                <w:highlight w:val="none"/>
              </w:rPr>
              <w:t>资格供应商数量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966" w:type="dxa"/>
            <w:vAlign w:val="center"/>
          </w:tcPr>
          <w:p>
            <w:pPr>
              <w:pStyle w:val="55"/>
              <w:spacing w:line="360" w:lineRule="auto"/>
              <w:ind w:firstLine="0" w:firstLineChars="0"/>
              <w:jc w:val="center"/>
              <w:rPr>
                <w:rFonts w:ascii="宋体" w:eastAsia="宋体"/>
                <w:bCs/>
                <w:sz w:val="22"/>
                <w:szCs w:val="22"/>
                <w:highlight w:val="none"/>
              </w:rPr>
            </w:pPr>
            <w:r>
              <w:rPr>
                <w:rFonts w:hint="eastAsia" w:ascii="宋体" w:eastAsia="宋体"/>
                <w:bCs/>
                <w:sz w:val="22"/>
                <w:szCs w:val="22"/>
                <w:highlight w:val="none"/>
              </w:rPr>
              <w:t>A</w:t>
            </w:r>
          </w:p>
        </w:tc>
        <w:tc>
          <w:tcPr>
            <w:tcW w:w="3424" w:type="dxa"/>
            <w:vAlign w:val="center"/>
          </w:tcPr>
          <w:p>
            <w:pPr>
              <w:pStyle w:val="55"/>
              <w:spacing w:line="360" w:lineRule="auto"/>
              <w:ind w:firstLine="0" w:firstLineChars="0"/>
              <w:jc w:val="center"/>
              <w:rPr>
                <w:rFonts w:ascii="宋体" w:eastAsia="宋体" w:cs="宋体"/>
                <w:bCs/>
                <w:sz w:val="22"/>
                <w:szCs w:val="22"/>
                <w:highlight w:val="none"/>
              </w:rPr>
            </w:pPr>
            <w:r>
              <w:rPr>
                <w:rFonts w:hint="eastAsia" w:ascii="宋体" w:eastAsia="宋体"/>
                <w:bCs/>
                <w:sz w:val="22"/>
                <w:szCs w:val="22"/>
                <w:highlight w:val="none"/>
              </w:rPr>
              <w:t>东莞巴士有限公司充电服务资格供应商采购项目</w:t>
            </w:r>
          </w:p>
        </w:tc>
        <w:tc>
          <w:tcPr>
            <w:tcW w:w="1842" w:type="dxa"/>
            <w:vAlign w:val="center"/>
          </w:tcPr>
          <w:p>
            <w:pPr>
              <w:pStyle w:val="55"/>
              <w:spacing w:line="360" w:lineRule="auto"/>
              <w:ind w:firstLine="0" w:firstLineChars="0"/>
              <w:jc w:val="center"/>
              <w:rPr>
                <w:rFonts w:ascii="宋体" w:eastAsia="宋体" w:cs="宋体"/>
                <w:bCs/>
                <w:sz w:val="22"/>
                <w:szCs w:val="22"/>
                <w:highlight w:val="none"/>
              </w:rPr>
            </w:pPr>
            <w:r>
              <w:rPr>
                <w:rFonts w:hint="eastAsia" w:ascii="宋体" w:eastAsia="宋体" w:cs="宋体"/>
                <w:bCs/>
                <w:sz w:val="22"/>
                <w:szCs w:val="22"/>
                <w:highlight w:val="none"/>
              </w:rPr>
              <w:t>3年</w:t>
            </w:r>
          </w:p>
        </w:tc>
        <w:tc>
          <w:tcPr>
            <w:tcW w:w="2269" w:type="dxa"/>
            <w:vAlign w:val="center"/>
          </w:tcPr>
          <w:p>
            <w:pPr>
              <w:pStyle w:val="55"/>
              <w:spacing w:line="360" w:lineRule="auto"/>
              <w:ind w:firstLine="0" w:firstLineChars="0"/>
              <w:jc w:val="center"/>
              <w:rPr>
                <w:rFonts w:ascii="宋体" w:eastAsia="宋体" w:cs="宋体"/>
                <w:bCs/>
                <w:sz w:val="22"/>
                <w:szCs w:val="22"/>
                <w:highlight w:val="none"/>
              </w:rPr>
            </w:pPr>
            <w:r>
              <w:rPr>
                <w:rFonts w:hint="eastAsia" w:ascii="宋体" w:eastAsia="宋体" w:cs="宋体"/>
                <w:bCs/>
                <w:sz w:val="22"/>
                <w:szCs w:val="22"/>
                <w:highlight w:val="none"/>
              </w:rPr>
              <w:t>不限</w:t>
            </w:r>
          </w:p>
        </w:tc>
      </w:tr>
    </w:tbl>
    <w:p>
      <w:pPr>
        <w:pStyle w:val="55"/>
        <w:spacing w:line="360" w:lineRule="auto"/>
        <w:ind w:firstLine="442" w:firstLineChars="200"/>
        <w:rPr>
          <w:rFonts w:ascii="宋体" w:eastAsia="宋体"/>
          <w:sz w:val="22"/>
          <w:szCs w:val="22"/>
          <w:highlight w:val="none"/>
        </w:rPr>
      </w:pPr>
      <w:r>
        <w:rPr>
          <w:rFonts w:hint="eastAsia" w:ascii="宋体" w:eastAsia="宋体"/>
          <w:b/>
          <w:sz w:val="22"/>
          <w:szCs w:val="22"/>
          <w:highlight w:val="none"/>
        </w:rPr>
        <w:t>4</w:t>
      </w:r>
      <w:r>
        <w:rPr>
          <w:rFonts w:ascii="宋体" w:eastAsia="宋体"/>
          <w:b/>
          <w:sz w:val="22"/>
          <w:szCs w:val="22"/>
          <w:highlight w:val="none"/>
        </w:rPr>
        <w:t>.预算金额：</w:t>
      </w:r>
      <w:r>
        <w:rPr>
          <w:rFonts w:hint="eastAsia" w:ascii="宋体" w:cs="宋体"/>
          <w:sz w:val="22"/>
          <w:szCs w:val="22"/>
          <w:highlight w:val="none"/>
        </w:rPr>
        <w:t>678,942,720.00元</w:t>
      </w:r>
    </w:p>
    <w:p>
      <w:pPr>
        <w:snapToGrid w:val="0"/>
        <w:spacing w:line="360" w:lineRule="auto"/>
        <w:ind w:firstLine="442" w:firstLineChars="200"/>
        <w:rPr>
          <w:rFonts w:ascii="宋体" w:hAnsi="宋体" w:cs="宋体"/>
          <w:b/>
          <w:sz w:val="22"/>
          <w:szCs w:val="22"/>
          <w:highlight w:val="none"/>
        </w:rPr>
      </w:pPr>
      <w:r>
        <w:rPr>
          <w:rFonts w:hint="eastAsia" w:ascii="宋体" w:hAnsi="宋体" w:cs="宋体"/>
          <w:b/>
          <w:sz w:val="22"/>
          <w:szCs w:val="22"/>
          <w:highlight w:val="none"/>
        </w:rPr>
        <w:t>5</w:t>
      </w:r>
      <w:r>
        <w:rPr>
          <w:rFonts w:ascii="宋体" w:hAnsi="宋体" w:cs="宋体"/>
          <w:b/>
          <w:sz w:val="22"/>
          <w:szCs w:val="22"/>
          <w:highlight w:val="none"/>
        </w:rPr>
        <w:t>.</w:t>
      </w:r>
      <w:r>
        <w:rPr>
          <w:rFonts w:hint="eastAsia" w:ascii="宋体" w:hAnsi="宋体" w:cs="宋体"/>
          <w:b/>
          <w:sz w:val="22"/>
          <w:szCs w:val="22"/>
          <w:highlight w:val="none"/>
        </w:rPr>
        <w:t>投标人资格要求：</w:t>
      </w:r>
    </w:p>
    <w:p>
      <w:pPr>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w:t>
      </w:r>
      <w:r>
        <w:rPr>
          <w:rFonts w:ascii="宋体" w:hAnsi="宋体" w:cs="宋体"/>
          <w:sz w:val="22"/>
          <w:szCs w:val="22"/>
          <w:highlight w:val="none"/>
        </w:rPr>
        <w:t>1）中华人民共和国境内注册的有合法经营资格的国内独立法人</w:t>
      </w:r>
      <w:r>
        <w:rPr>
          <w:rFonts w:hint="eastAsia" w:ascii="宋体" w:hAnsi="宋体" w:cs="宋体"/>
          <w:sz w:val="22"/>
          <w:szCs w:val="22"/>
          <w:highlight w:val="none"/>
        </w:rPr>
        <w:t>或其他组织（提供相关证明材料复印件加盖公章）；</w:t>
      </w:r>
    </w:p>
    <w:p>
      <w:pPr>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2）投标人未被列入“信用中国”网站(www.creditchina.gov.cn)“记录失信被执行人或重大税收违法案件当事人名单或政府采购严重违法失信名单”记录名单；不处于中国政府采购网(www.ccgp.gov.cn)“政府采购严重违法失信行信息记录”中的禁止参加政府采购活动期间（处罚期限届满的除外）。（以采购代理机构于投标截止日当天在“信用中国”网站及中国政府采购网查询结果为准，同时对信用信息查询记录和证据进行打印存档）；</w:t>
      </w:r>
    </w:p>
    <w:p>
      <w:pPr>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w:t>
      </w:r>
      <w:r>
        <w:rPr>
          <w:rFonts w:ascii="宋体" w:hAnsi="宋体" w:cs="宋体"/>
          <w:sz w:val="22"/>
          <w:szCs w:val="22"/>
          <w:highlight w:val="none"/>
        </w:rPr>
        <w:t>3</w:t>
      </w:r>
      <w:r>
        <w:rPr>
          <w:rFonts w:hint="eastAsia" w:ascii="宋体" w:hAnsi="宋体" w:cs="宋体"/>
          <w:sz w:val="22"/>
          <w:szCs w:val="22"/>
          <w:highlight w:val="none"/>
        </w:rPr>
        <w:t>）投标人未被列入“中国执行信息公开网”失信被执行人；不存在大额诉讼或多宗诉讼或其他违法、违约等影响本次招标项目正常履行的情况；投标人或其关联公司未曾与东莞市交通投资集团有限公司及其下属企业在签订合同的履约过程中，因投标人或其关联公司严重违约而致使合同变更、中止、解除的；截至本项目开标之日签，投标人或其关联公司并没有正在与东莞市交通投资集团有限公司及其下属企业发生诉讼的；不存在法院判决或仲裁裁决认定投标人或其关联公司在与东莞市交通投资集团有限公司及其下属企业履约过程中存在违约责任或过失责任。（以投标人在投标文件中附的《投标人资格承诺》为准）</w:t>
      </w:r>
    </w:p>
    <w:p>
      <w:pPr>
        <w:snapToGrid w:val="0"/>
        <w:spacing w:line="360" w:lineRule="auto"/>
        <w:ind w:firstLine="440" w:firstLineChars="200"/>
        <w:rPr>
          <w:rFonts w:ascii="宋体" w:hAnsi="宋体" w:cs="宋体"/>
          <w:b/>
          <w:sz w:val="22"/>
          <w:szCs w:val="22"/>
          <w:highlight w:val="none"/>
        </w:rPr>
      </w:pPr>
      <w:r>
        <w:rPr>
          <w:rFonts w:hint="eastAsia" w:ascii="宋体" w:hAnsi="宋体" w:cs="宋体"/>
          <w:sz w:val="22"/>
          <w:szCs w:val="22"/>
          <w:highlight w:val="none"/>
        </w:rPr>
        <w:t>（</w:t>
      </w:r>
      <w:r>
        <w:rPr>
          <w:rFonts w:ascii="宋体" w:hAnsi="宋体" w:cs="宋体"/>
          <w:sz w:val="22"/>
          <w:szCs w:val="22"/>
          <w:highlight w:val="none"/>
        </w:rPr>
        <w:t>4</w:t>
      </w:r>
      <w:r>
        <w:rPr>
          <w:rFonts w:hint="eastAsia" w:ascii="宋体" w:hAnsi="宋体" w:cs="宋体"/>
          <w:sz w:val="22"/>
          <w:szCs w:val="22"/>
          <w:highlight w:val="none"/>
        </w:rPr>
        <w:t>）本项目接受联合体投标。</w:t>
      </w:r>
    </w:p>
    <w:p>
      <w:pPr>
        <w:snapToGrid w:val="0"/>
        <w:spacing w:line="360" w:lineRule="auto"/>
        <w:ind w:firstLine="440" w:firstLineChars="200"/>
        <w:rPr>
          <w:rFonts w:ascii="宋体" w:hAnsi="宋体" w:cs="宋体"/>
          <w:sz w:val="22"/>
          <w:szCs w:val="22"/>
          <w:highlight w:val="none"/>
        </w:rPr>
      </w:pPr>
      <w:r>
        <w:rPr>
          <w:rFonts w:hint="eastAsia" w:ascii="宋体" w:hAnsi="宋体" w:cs="宋体"/>
          <w:bCs/>
          <w:sz w:val="22"/>
          <w:szCs w:val="22"/>
          <w:highlight w:val="none"/>
        </w:rPr>
        <w:t>6.踏勘</w:t>
      </w:r>
      <w:r>
        <w:rPr>
          <w:rFonts w:hint="eastAsia" w:ascii="宋体" w:hAnsi="宋体" w:cs="宋体"/>
          <w:sz w:val="22"/>
          <w:szCs w:val="22"/>
          <w:highlight w:val="none"/>
        </w:rPr>
        <w:t>现场：本项目不组织踏勘现场。如有需要，投标人可自行踏勘现场。</w:t>
      </w:r>
    </w:p>
    <w:p>
      <w:pPr>
        <w:snapToGrid w:val="0"/>
        <w:spacing w:line="360" w:lineRule="auto"/>
        <w:ind w:firstLine="440" w:firstLineChars="200"/>
        <w:rPr>
          <w:rFonts w:ascii="宋体" w:hAnsi="宋体" w:cs="宋体"/>
          <w:bCs/>
          <w:sz w:val="22"/>
          <w:szCs w:val="22"/>
          <w:highlight w:val="none"/>
        </w:rPr>
      </w:pPr>
      <w:r>
        <w:rPr>
          <w:rFonts w:ascii="宋体" w:hAnsi="宋体" w:cs="宋体"/>
          <w:bCs/>
          <w:sz w:val="22"/>
          <w:szCs w:val="22"/>
          <w:highlight w:val="none"/>
        </w:rPr>
        <w:t>7.</w:t>
      </w:r>
      <w:r>
        <w:rPr>
          <w:rFonts w:hint="eastAsia" w:eastAsiaTheme="minorEastAsia"/>
          <w:bCs/>
          <w:sz w:val="22"/>
          <w:szCs w:val="22"/>
          <w:highlight w:val="none"/>
        </w:rPr>
        <w:t>本项目采用“不记名网上下载”的方式发布招标文件，有意向的投标人可直接在东莞市公共资源交易网</w:t>
      </w:r>
      <w:r>
        <w:rPr>
          <w:rFonts w:hint="eastAsia" w:ascii="宋体" w:hAnsi="宋体" w:cs="宋体"/>
          <w:bCs/>
          <w:sz w:val="22"/>
          <w:szCs w:val="22"/>
          <w:highlight w:val="none"/>
        </w:rPr>
        <w:t>（http://ggzy.dg.gov.cn）、东莞市交通投资集团有限公司网站</w:t>
      </w:r>
      <w:r>
        <w:rPr>
          <w:rFonts w:hint="eastAsia" w:ascii="宋体" w:hAnsi="宋体" w:cs="宋体"/>
          <w:sz w:val="22"/>
          <w:szCs w:val="22"/>
          <w:highlight w:val="none"/>
        </w:rPr>
        <w:t>（http://www.dgjtjt.com.cn）、</w:t>
      </w:r>
      <w:r>
        <w:rPr>
          <w:rFonts w:ascii="宋体" w:hAnsi="宋体" w:cs="宋体"/>
          <w:sz w:val="22"/>
          <w:szCs w:val="22"/>
          <w:highlight w:val="none"/>
        </w:rPr>
        <w:t>东莞巴士有限公司网站（</w:t>
      </w:r>
      <w:r>
        <w:rPr>
          <w:rFonts w:hint="eastAsia" w:ascii="宋体" w:hAnsi="宋体" w:cs="宋体"/>
          <w:sz w:val="22"/>
          <w:szCs w:val="22"/>
          <w:highlight w:val="none"/>
        </w:rPr>
        <w:t>www.东莞巴士.com</w:t>
      </w:r>
      <w:r>
        <w:rPr>
          <w:rFonts w:ascii="宋体" w:hAnsi="宋体" w:cs="宋体"/>
          <w:sz w:val="22"/>
          <w:szCs w:val="22"/>
          <w:highlight w:val="none"/>
        </w:rPr>
        <w:t>）</w:t>
      </w:r>
      <w:r>
        <w:rPr>
          <w:rFonts w:hint="eastAsia" w:eastAsiaTheme="minorEastAsia"/>
          <w:bCs/>
          <w:sz w:val="22"/>
          <w:szCs w:val="22"/>
          <w:highlight w:val="none"/>
        </w:rPr>
        <w:t>下载招标文件</w:t>
      </w:r>
      <w:r>
        <w:rPr>
          <w:rFonts w:hint="eastAsia" w:ascii="宋体" w:hAnsi="宋体" w:cs="宋体"/>
          <w:bCs/>
          <w:sz w:val="22"/>
          <w:szCs w:val="22"/>
          <w:highlight w:val="none"/>
        </w:rPr>
        <w:t>。</w:t>
      </w:r>
    </w:p>
    <w:p>
      <w:pPr>
        <w:pStyle w:val="2"/>
        <w:spacing w:after="0" w:line="360" w:lineRule="auto"/>
        <w:ind w:left="0" w:leftChars="0" w:firstLine="440"/>
        <w:rPr>
          <w:sz w:val="22"/>
          <w:szCs w:val="22"/>
          <w:highlight w:val="none"/>
        </w:rPr>
      </w:pPr>
      <w:r>
        <w:rPr>
          <w:rFonts w:ascii="宋体" w:hAnsi="宋体" w:cs="宋体"/>
          <w:bCs/>
          <w:sz w:val="22"/>
          <w:szCs w:val="22"/>
          <w:highlight w:val="none"/>
        </w:rPr>
        <w:t>8</w:t>
      </w:r>
      <w:r>
        <w:rPr>
          <w:rFonts w:hint="eastAsia" w:ascii="宋体" w:hAnsi="宋体" w:cs="宋体"/>
          <w:bCs/>
          <w:sz w:val="22"/>
          <w:szCs w:val="22"/>
          <w:highlight w:val="none"/>
        </w:rPr>
        <w:t>.</w:t>
      </w:r>
      <w:r>
        <w:rPr>
          <w:rFonts w:hint="eastAsia"/>
          <w:sz w:val="22"/>
          <w:szCs w:val="22"/>
          <w:highlight w:val="none"/>
        </w:rPr>
        <w:t>投标文件</w:t>
      </w:r>
      <w:r>
        <w:rPr>
          <w:sz w:val="22"/>
          <w:szCs w:val="22"/>
          <w:highlight w:val="none"/>
        </w:rPr>
        <w:t>编制</w:t>
      </w:r>
      <w:r>
        <w:rPr>
          <w:rFonts w:hint="eastAsia"/>
          <w:sz w:val="22"/>
          <w:szCs w:val="22"/>
          <w:highlight w:val="none"/>
        </w:rPr>
        <w:t>投标</w:t>
      </w:r>
      <w:r>
        <w:rPr>
          <w:sz w:val="22"/>
          <w:szCs w:val="22"/>
          <w:highlight w:val="none"/>
        </w:rPr>
        <w:t>文件</w:t>
      </w:r>
      <w:r>
        <w:rPr>
          <w:rFonts w:hint="eastAsia"/>
          <w:sz w:val="22"/>
          <w:szCs w:val="22"/>
          <w:highlight w:val="none"/>
        </w:rPr>
        <w:t>必须</w:t>
      </w:r>
      <w:r>
        <w:rPr>
          <w:sz w:val="22"/>
          <w:szCs w:val="22"/>
          <w:highlight w:val="none"/>
        </w:rPr>
        <w:t>包括但不限于</w:t>
      </w:r>
      <w:r>
        <w:rPr>
          <w:rFonts w:hint="eastAsia"/>
          <w:sz w:val="22"/>
          <w:szCs w:val="22"/>
          <w:highlight w:val="none"/>
        </w:rPr>
        <w:t>下述</w:t>
      </w:r>
      <w:r>
        <w:rPr>
          <w:sz w:val="22"/>
          <w:szCs w:val="22"/>
          <w:highlight w:val="none"/>
        </w:rPr>
        <w:t>内容：</w:t>
      </w:r>
    </w:p>
    <w:p>
      <w:pPr>
        <w:pStyle w:val="2"/>
        <w:spacing w:after="0" w:line="360" w:lineRule="auto"/>
        <w:ind w:left="0" w:leftChars="0"/>
        <w:rPr>
          <w:sz w:val="22"/>
          <w:szCs w:val="22"/>
          <w:highlight w:val="none"/>
        </w:rPr>
      </w:pPr>
      <w:r>
        <w:rPr>
          <w:rFonts w:hint="eastAsia"/>
          <w:sz w:val="22"/>
          <w:szCs w:val="22"/>
          <w:highlight w:val="none"/>
        </w:rPr>
        <w:t>（</w:t>
      </w:r>
      <w:r>
        <w:rPr>
          <w:sz w:val="22"/>
          <w:szCs w:val="22"/>
          <w:highlight w:val="none"/>
        </w:rPr>
        <w:t>1</w:t>
      </w:r>
      <w:r>
        <w:rPr>
          <w:rFonts w:hint="eastAsia"/>
          <w:sz w:val="22"/>
          <w:szCs w:val="22"/>
          <w:highlight w:val="none"/>
        </w:rPr>
        <w:t>）投标报价一览表、投标函、承诺书、</w:t>
      </w:r>
      <w:r>
        <w:rPr>
          <w:rFonts w:hint="eastAsia" w:ascii="宋体" w:cs="宋体"/>
          <w:sz w:val="22"/>
          <w:szCs w:val="22"/>
          <w:highlight w:val="none"/>
        </w:rPr>
        <w:t>法人代表人身份证明书、法定代</w:t>
      </w:r>
      <w:r>
        <w:rPr>
          <w:rFonts w:hint="eastAsia"/>
          <w:sz w:val="22"/>
          <w:szCs w:val="22"/>
          <w:highlight w:val="none"/>
        </w:rPr>
        <w:t>表人授权委托书（法人代表除外）、投标单位基本情况、简介、营业执照、经营活动中没有重大违法记录及相关处罚的书面声明、最近</w:t>
      </w:r>
      <w:r>
        <w:rPr>
          <w:sz w:val="22"/>
          <w:szCs w:val="22"/>
          <w:highlight w:val="none"/>
        </w:rPr>
        <w:t>3</w:t>
      </w:r>
      <w:r>
        <w:rPr>
          <w:rFonts w:hint="eastAsia"/>
          <w:sz w:val="22"/>
          <w:szCs w:val="22"/>
          <w:highlight w:val="none"/>
        </w:rPr>
        <w:t>年企业</w:t>
      </w:r>
      <w:r>
        <w:rPr>
          <w:rFonts w:hint="eastAsia" w:ascii="宋体" w:hAnsi="宋体"/>
          <w:sz w:val="22"/>
          <w:szCs w:val="22"/>
          <w:highlight w:val="none"/>
        </w:rPr>
        <w:t>负面情况说明</w:t>
      </w:r>
      <w:r>
        <w:rPr>
          <w:rFonts w:hint="eastAsia"/>
          <w:sz w:val="22"/>
          <w:szCs w:val="22"/>
          <w:highlight w:val="none"/>
        </w:rPr>
        <w:t>、中标服务费承诺书、联合体协议书（如联合体投标）等；（具体详见第五部分投标文件格式）</w:t>
      </w:r>
    </w:p>
    <w:p>
      <w:pPr>
        <w:pStyle w:val="2"/>
        <w:spacing w:after="0" w:line="360" w:lineRule="auto"/>
        <w:ind w:left="0" w:leftChars="0"/>
        <w:rPr>
          <w:highlight w:val="none"/>
        </w:rPr>
      </w:pPr>
      <w:r>
        <w:rPr>
          <w:rFonts w:hint="eastAsia"/>
          <w:sz w:val="22"/>
          <w:szCs w:val="22"/>
          <w:highlight w:val="none"/>
        </w:rPr>
        <w:t>（</w:t>
      </w:r>
      <w:r>
        <w:rPr>
          <w:sz w:val="22"/>
          <w:szCs w:val="22"/>
          <w:highlight w:val="none"/>
        </w:rPr>
        <w:t>2</w:t>
      </w:r>
      <w:r>
        <w:rPr>
          <w:rFonts w:hint="eastAsia"/>
          <w:sz w:val="22"/>
          <w:szCs w:val="22"/>
          <w:highlight w:val="none"/>
        </w:rPr>
        <w:t>）参与本项目的投标人，须有运营充电设施的经验。（投标人须提供建设充电设施到东莞市发展和改革局的备案证明或承接充电服务的业绩合同复印件作为证明材料）。</w:t>
      </w:r>
    </w:p>
    <w:p>
      <w:pPr>
        <w:pStyle w:val="2"/>
        <w:spacing w:after="0" w:line="360" w:lineRule="auto"/>
        <w:ind w:left="0" w:leftChars="0" w:firstLine="442"/>
        <w:rPr>
          <w:highlight w:val="none"/>
        </w:rPr>
      </w:pPr>
      <w:r>
        <w:rPr>
          <w:rFonts w:hint="eastAsia" w:ascii="宋体" w:cs="宋体"/>
          <w:b/>
          <w:bCs/>
          <w:sz w:val="22"/>
          <w:szCs w:val="22"/>
          <w:highlight w:val="none"/>
        </w:rPr>
        <w:t>注：以上资料须按要求加盖公章并装订成册，一式三份（一正两副）。封面、投标文件及骑缝需盖投标人公章，含电子文件一份。全部文件密封在一个密封袋中。</w:t>
      </w:r>
    </w:p>
    <w:p>
      <w:pPr>
        <w:snapToGrid w:val="0"/>
        <w:spacing w:line="360" w:lineRule="auto"/>
        <w:ind w:firstLine="440" w:firstLineChars="200"/>
        <w:rPr>
          <w:rFonts w:ascii="宋体" w:hAnsi="宋体" w:cs="宋体"/>
          <w:bCs/>
          <w:sz w:val="22"/>
          <w:szCs w:val="22"/>
          <w:highlight w:val="none"/>
        </w:rPr>
      </w:pPr>
      <w:r>
        <w:rPr>
          <w:rFonts w:ascii="宋体" w:hAnsi="宋体" w:cs="宋体"/>
          <w:bCs/>
          <w:sz w:val="22"/>
          <w:szCs w:val="22"/>
          <w:highlight w:val="none"/>
        </w:rPr>
        <w:t>9</w:t>
      </w:r>
      <w:r>
        <w:rPr>
          <w:rFonts w:hint="eastAsia" w:ascii="宋体" w:hAnsi="宋体" w:cs="宋体"/>
          <w:bCs/>
          <w:sz w:val="22"/>
          <w:szCs w:val="22"/>
          <w:highlight w:val="none"/>
        </w:rPr>
        <w:t>.递交投标文件起止时间：2020年</w:t>
      </w:r>
      <w:r>
        <w:rPr>
          <w:rFonts w:hint="eastAsia" w:ascii="宋体" w:hAnsi="宋体" w:cs="宋体"/>
          <w:bCs/>
          <w:sz w:val="22"/>
          <w:szCs w:val="22"/>
          <w:highlight w:val="none"/>
          <w:lang w:val="en-US" w:eastAsia="zh-CN"/>
        </w:rPr>
        <w:t>11</w:t>
      </w:r>
      <w:r>
        <w:rPr>
          <w:rFonts w:hint="eastAsia" w:ascii="宋体" w:hAnsi="宋体" w:cs="宋体"/>
          <w:bCs/>
          <w:sz w:val="22"/>
          <w:szCs w:val="22"/>
          <w:highlight w:val="none"/>
        </w:rPr>
        <w:t>月</w:t>
      </w:r>
      <w:r>
        <w:rPr>
          <w:rFonts w:hint="eastAsia" w:ascii="宋体" w:hAnsi="宋体" w:cs="宋体"/>
          <w:bCs/>
          <w:sz w:val="22"/>
          <w:szCs w:val="22"/>
          <w:highlight w:val="none"/>
          <w:lang w:val="en-US" w:eastAsia="zh-CN"/>
        </w:rPr>
        <w:t>19</w:t>
      </w:r>
      <w:r>
        <w:rPr>
          <w:rFonts w:hint="eastAsia" w:ascii="宋体" w:hAnsi="宋体" w:cs="宋体"/>
          <w:bCs/>
          <w:sz w:val="22"/>
          <w:szCs w:val="22"/>
          <w:highlight w:val="none"/>
        </w:rPr>
        <w:t>日上午09:00至09:30</w:t>
      </w:r>
    </w:p>
    <w:p>
      <w:pPr>
        <w:snapToGrid w:val="0"/>
        <w:spacing w:line="360" w:lineRule="auto"/>
        <w:ind w:firstLine="440" w:firstLineChars="200"/>
        <w:rPr>
          <w:rFonts w:ascii="宋体" w:hAnsi="宋体" w:cs="宋体"/>
          <w:bCs/>
          <w:sz w:val="22"/>
          <w:szCs w:val="22"/>
          <w:highlight w:val="none"/>
        </w:rPr>
      </w:pPr>
      <w:r>
        <w:rPr>
          <w:rFonts w:ascii="宋体" w:hAnsi="宋体" w:cs="宋体"/>
          <w:bCs/>
          <w:sz w:val="22"/>
          <w:szCs w:val="22"/>
          <w:highlight w:val="none"/>
        </w:rPr>
        <w:t>10.</w:t>
      </w:r>
      <w:r>
        <w:rPr>
          <w:rFonts w:hint="eastAsia" w:ascii="宋体" w:hAnsi="宋体" w:cs="宋体"/>
          <w:bCs/>
          <w:sz w:val="22"/>
          <w:szCs w:val="22"/>
          <w:highlight w:val="none"/>
        </w:rPr>
        <w:t>递交投标文件地点：</w:t>
      </w:r>
      <w:r>
        <w:rPr>
          <w:rFonts w:hint="eastAsia" w:ascii="宋体" w:eastAsia="宋体" w:cs="宋体"/>
          <w:b/>
          <w:color w:val="auto"/>
          <w:sz w:val="24"/>
          <w:szCs w:val="24"/>
          <w:highlight w:val="none"/>
          <w:lang w:eastAsia="zh-CN"/>
        </w:rPr>
        <w:t>东莞市南城街道西平社区宏伟三路45号东莞市公共资源交易中心开标（</w:t>
      </w:r>
      <w:r>
        <w:rPr>
          <w:rFonts w:hint="eastAsia" w:ascii="宋体" w:cs="宋体"/>
          <w:b/>
          <w:color w:val="auto"/>
          <w:sz w:val="24"/>
          <w:szCs w:val="24"/>
          <w:highlight w:val="none"/>
          <w:lang w:val="en-US" w:eastAsia="zh-CN"/>
        </w:rPr>
        <w:t>6</w:t>
      </w:r>
      <w:r>
        <w:rPr>
          <w:rFonts w:hint="eastAsia" w:ascii="宋体" w:eastAsia="宋体" w:cs="宋体"/>
          <w:b/>
          <w:color w:val="auto"/>
          <w:sz w:val="24"/>
          <w:szCs w:val="24"/>
          <w:highlight w:val="none"/>
          <w:lang w:eastAsia="zh-CN"/>
        </w:rPr>
        <w:t>）室</w:t>
      </w:r>
      <w:r>
        <w:rPr>
          <w:rFonts w:hint="eastAsia" w:ascii="宋体" w:hAnsi="宋体" w:cs="宋体"/>
          <w:bCs/>
          <w:sz w:val="22"/>
          <w:szCs w:val="22"/>
          <w:highlight w:val="none"/>
        </w:rPr>
        <w:t>。</w:t>
      </w:r>
    </w:p>
    <w:p>
      <w:pPr>
        <w:snapToGrid w:val="0"/>
        <w:spacing w:line="360" w:lineRule="auto"/>
        <w:ind w:firstLine="440" w:firstLineChars="200"/>
        <w:rPr>
          <w:rFonts w:ascii="宋体" w:hAnsi="宋体" w:cs="宋体"/>
          <w:bCs/>
          <w:sz w:val="22"/>
          <w:szCs w:val="22"/>
          <w:highlight w:val="none"/>
        </w:rPr>
      </w:pPr>
      <w:r>
        <w:rPr>
          <w:rFonts w:ascii="宋体" w:hAnsi="宋体" w:cs="宋体"/>
          <w:bCs/>
          <w:sz w:val="22"/>
          <w:szCs w:val="22"/>
          <w:highlight w:val="none"/>
        </w:rPr>
        <w:t>11.</w:t>
      </w:r>
      <w:r>
        <w:rPr>
          <w:rFonts w:hint="eastAsia" w:ascii="宋体" w:hAnsi="宋体" w:cs="宋体"/>
          <w:bCs/>
          <w:sz w:val="22"/>
          <w:szCs w:val="22"/>
          <w:highlight w:val="none"/>
        </w:rPr>
        <w:t>本次采购项目公告在东莞市公共资源交易网、东莞市交通投资集团有限公司网站、</w:t>
      </w:r>
      <w:r>
        <w:rPr>
          <w:rFonts w:ascii="宋体" w:hAnsi="宋体" w:cs="宋体"/>
          <w:bCs/>
          <w:sz w:val="22"/>
          <w:szCs w:val="22"/>
          <w:highlight w:val="none"/>
        </w:rPr>
        <w:t>东莞巴士有限</w:t>
      </w:r>
      <w:r>
        <w:rPr>
          <w:rFonts w:hint="eastAsia" w:ascii="宋体" w:hAnsi="宋体" w:cs="宋体"/>
          <w:bCs/>
          <w:sz w:val="22"/>
          <w:szCs w:val="22"/>
          <w:highlight w:val="none"/>
        </w:rPr>
        <w:t>公司</w:t>
      </w:r>
      <w:r>
        <w:rPr>
          <w:rFonts w:ascii="宋体" w:hAnsi="宋体" w:cs="宋体"/>
          <w:bCs/>
          <w:sz w:val="22"/>
          <w:szCs w:val="22"/>
          <w:highlight w:val="none"/>
        </w:rPr>
        <w:t>网站等</w:t>
      </w:r>
      <w:r>
        <w:rPr>
          <w:rFonts w:hint="eastAsia" w:ascii="宋体" w:hAnsi="宋体" w:cs="宋体"/>
          <w:bCs/>
          <w:sz w:val="22"/>
          <w:szCs w:val="22"/>
          <w:highlight w:val="none"/>
        </w:rPr>
        <w:t>媒体上公布，并视为有效送达，不再另行通知。</w:t>
      </w:r>
    </w:p>
    <w:p>
      <w:pPr>
        <w:snapToGrid w:val="0"/>
        <w:spacing w:line="360" w:lineRule="auto"/>
        <w:ind w:firstLine="440" w:firstLineChars="200"/>
        <w:rPr>
          <w:rFonts w:eastAsiaTheme="minorEastAsia"/>
          <w:bCs/>
          <w:sz w:val="22"/>
          <w:szCs w:val="22"/>
          <w:highlight w:val="none"/>
        </w:rPr>
      </w:pPr>
      <w:r>
        <w:rPr>
          <w:rFonts w:ascii="宋体" w:hAnsi="宋体" w:cs="宋体"/>
          <w:bCs/>
          <w:sz w:val="22"/>
          <w:szCs w:val="22"/>
          <w:highlight w:val="none"/>
        </w:rPr>
        <w:t>12.本采</w:t>
      </w:r>
      <w:r>
        <w:rPr>
          <w:rFonts w:eastAsiaTheme="minorEastAsia"/>
          <w:bCs/>
          <w:sz w:val="22"/>
          <w:szCs w:val="22"/>
          <w:highlight w:val="none"/>
        </w:rPr>
        <w:t>购项目不举行集中答疑会，如有任何疑问</w:t>
      </w:r>
      <w:r>
        <w:rPr>
          <w:rFonts w:hint="eastAsia" w:eastAsiaTheme="minorEastAsia"/>
          <w:bCs/>
          <w:sz w:val="22"/>
          <w:szCs w:val="22"/>
          <w:highlight w:val="none"/>
        </w:rPr>
        <w:t>，可</w:t>
      </w:r>
      <w:r>
        <w:rPr>
          <w:rFonts w:eastAsiaTheme="minorEastAsia"/>
          <w:bCs/>
          <w:sz w:val="22"/>
          <w:szCs w:val="22"/>
          <w:highlight w:val="none"/>
        </w:rPr>
        <w:t>通过电话</w:t>
      </w:r>
      <w:r>
        <w:rPr>
          <w:rFonts w:hint="eastAsia" w:eastAsiaTheme="minorEastAsia"/>
          <w:bCs/>
          <w:sz w:val="22"/>
          <w:szCs w:val="22"/>
          <w:highlight w:val="none"/>
        </w:rPr>
        <w:t>或书面</w:t>
      </w:r>
      <w:r>
        <w:rPr>
          <w:rFonts w:eastAsiaTheme="minorEastAsia"/>
          <w:bCs/>
          <w:sz w:val="22"/>
          <w:szCs w:val="22"/>
          <w:highlight w:val="none"/>
        </w:rPr>
        <w:t>函件形式</w:t>
      </w:r>
      <w:r>
        <w:rPr>
          <w:rFonts w:hint="eastAsia" w:eastAsiaTheme="minorEastAsia"/>
          <w:bCs/>
          <w:sz w:val="22"/>
          <w:szCs w:val="22"/>
          <w:highlight w:val="none"/>
        </w:rPr>
        <w:t>咨询采购代理</w:t>
      </w:r>
      <w:r>
        <w:rPr>
          <w:rFonts w:eastAsiaTheme="minorEastAsia"/>
          <w:bCs/>
          <w:sz w:val="22"/>
          <w:szCs w:val="22"/>
          <w:highlight w:val="none"/>
        </w:rPr>
        <w:t>机构。</w:t>
      </w:r>
    </w:p>
    <w:p>
      <w:pPr>
        <w:snapToGrid w:val="0"/>
        <w:spacing w:line="360" w:lineRule="auto"/>
        <w:ind w:firstLine="440" w:firstLineChars="200"/>
        <w:rPr>
          <w:rFonts w:eastAsiaTheme="minorEastAsia"/>
          <w:bCs/>
          <w:sz w:val="22"/>
          <w:szCs w:val="22"/>
          <w:highlight w:val="none"/>
        </w:rPr>
      </w:pPr>
      <w:r>
        <w:rPr>
          <w:rFonts w:hint="eastAsia" w:ascii="宋体" w:hAnsi="宋体"/>
          <w:bCs/>
          <w:sz w:val="22"/>
          <w:szCs w:val="22"/>
          <w:highlight w:val="none"/>
        </w:rPr>
        <w:t>13.招标代理机构和招标人将不负责投标人准备投标文件所发生的任何成本费用。</w:t>
      </w:r>
    </w:p>
    <w:p>
      <w:pPr>
        <w:snapToGrid w:val="0"/>
        <w:spacing w:line="360" w:lineRule="auto"/>
        <w:ind w:firstLine="503" w:firstLineChars="229"/>
        <w:rPr>
          <w:rFonts w:ascii="宋体" w:hAnsi="宋体"/>
          <w:bCs/>
          <w:sz w:val="22"/>
          <w:szCs w:val="22"/>
          <w:highlight w:val="none"/>
          <w:u w:val="single"/>
        </w:rPr>
      </w:pPr>
      <w:r>
        <w:rPr>
          <w:rFonts w:hint="eastAsia" w:ascii="宋体" w:hAnsi="宋体"/>
          <w:bCs/>
          <w:sz w:val="22"/>
          <w:szCs w:val="22"/>
          <w:highlight w:val="none"/>
        </w:rPr>
        <w:t>招标</w:t>
      </w:r>
      <w:r>
        <w:rPr>
          <w:rFonts w:ascii="宋体" w:hAnsi="宋体"/>
          <w:bCs/>
          <w:sz w:val="22"/>
          <w:szCs w:val="22"/>
          <w:highlight w:val="none"/>
        </w:rPr>
        <w:t>代理机构名称：</w:t>
      </w:r>
      <w:r>
        <w:rPr>
          <w:rFonts w:hint="eastAsia" w:ascii="宋体" w:hAnsi="宋体"/>
          <w:bCs/>
          <w:sz w:val="22"/>
          <w:szCs w:val="22"/>
          <w:highlight w:val="none"/>
        </w:rPr>
        <w:t>广东华迪工程管理有限公司</w:t>
      </w:r>
    </w:p>
    <w:p>
      <w:pPr>
        <w:snapToGrid w:val="0"/>
        <w:spacing w:line="400" w:lineRule="exact"/>
        <w:ind w:left="528" w:leftChars="229" w:hanging="70" w:hangingChars="32"/>
        <w:rPr>
          <w:rFonts w:ascii="宋体" w:hAnsi="宋体"/>
          <w:bCs/>
          <w:sz w:val="22"/>
          <w:szCs w:val="22"/>
          <w:highlight w:val="none"/>
          <w:u w:val="single"/>
        </w:rPr>
      </w:pPr>
      <w:r>
        <w:rPr>
          <w:rFonts w:ascii="宋体" w:hAnsi="宋体"/>
          <w:bCs/>
          <w:sz w:val="22"/>
          <w:szCs w:val="22"/>
          <w:highlight w:val="none"/>
        </w:rPr>
        <w:t>详细地址：</w:t>
      </w:r>
      <w:r>
        <w:rPr>
          <w:rFonts w:hint="eastAsia" w:ascii="宋体" w:cs="宋体"/>
          <w:sz w:val="22"/>
          <w:szCs w:val="22"/>
          <w:highlight w:val="none"/>
        </w:rPr>
        <w:t>东莞市南城街道雅园工业区富丽大厦B305</w:t>
      </w:r>
    </w:p>
    <w:p>
      <w:pPr>
        <w:snapToGrid w:val="0"/>
        <w:spacing w:line="400" w:lineRule="exact"/>
        <w:ind w:left="526" w:leftChars="229" w:hanging="68" w:hangingChars="31"/>
        <w:rPr>
          <w:rFonts w:ascii="宋体" w:hAnsi="宋体"/>
          <w:bCs/>
          <w:sz w:val="22"/>
          <w:szCs w:val="22"/>
          <w:highlight w:val="none"/>
          <w:u w:val="none"/>
        </w:rPr>
      </w:pPr>
      <w:r>
        <w:rPr>
          <w:rFonts w:ascii="宋体" w:hAnsi="宋体"/>
          <w:bCs/>
          <w:sz w:val="22"/>
          <w:szCs w:val="22"/>
          <w:highlight w:val="none"/>
          <w:u w:val="none"/>
        </w:rPr>
        <w:t>邮    编：523000</w:t>
      </w:r>
    </w:p>
    <w:p>
      <w:pPr>
        <w:snapToGrid w:val="0"/>
        <w:spacing w:line="400" w:lineRule="exact"/>
        <w:ind w:left="526" w:leftChars="229" w:hanging="68" w:hangingChars="31"/>
        <w:rPr>
          <w:rFonts w:ascii="宋体" w:hAnsi="宋体"/>
          <w:bCs/>
          <w:sz w:val="22"/>
          <w:szCs w:val="22"/>
          <w:highlight w:val="none"/>
          <w:u w:val="none"/>
        </w:rPr>
      </w:pPr>
      <w:r>
        <w:rPr>
          <w:rFonts w:ascii="宋体" w:hAnsi="宋体"/>
          <w:bCs/>
          <w:sz w:val="22"/>
          <w:szCs w:val="22"/>
          <w:highlight w:val="none"/>
          <w:u w:val="none"/>
        </w:rPr>
        <w:t>联 系 人：</w:t>
      </w:r>
      <w:r>
        <w:rPr>
          <w:rFonts w:hint="eastAsia" w:ascii="宋体" w:hAnsi="宋体"/>
          <w:bCs/>
          <w:sz w:val="22"/>
          <w:szCs w:val="22"/>
          <w:highlight w:val="none"/>
          <w:u w:val="none"/>
        </w:rPr>
        <w:t>莫先生</w:t>
      </w:r>
    </w:p>
    <w:p>
      <w:pPr>
        <w:snapToGrid w:val="0"/>
        <w:spacing w:line="400" w:lineRule="exact"/>
        <w:ind w:left="526" w:leftChars="229" w:hanging="68" w:hangingChars="31"/>
        <w:rPr>
          <w:rFonts w:ascii="宋体" w:hAnsi="宋体"/>
          <w:bCs/>
          <w:sz w:val="22"/>
          <w:szCs w:val="22"/>
          <w:highlight w:val="none"/>
          <w:u w:val="none"/>
        </w:rPr>
      </w:pPr>
      <w:r>
        <w:rPr>
          <w:rFonts w:ascii="宋体" w:hAnsi="宋体"/>
          <w:bCs/>
          <w:sz w:val="22"/>
          <w:szCs w:val="22"/>
          <w:highlight w:val="none"/>
          <w:u w:val="none"/>
        </w:rPr>
        <w:t>电    话：</w:t>
      </w:r>
      <w:r>
        <w:rPr>
          <w:rFonts w:hint="eastAsia" w:ascii="宋体" w:hAnsi="宋体"/>
          <w:bCs/>
          <w:sz w:val="22"/>
          <w:szCs w:val="22"/>
          <w:highlight w:val="none"/>
          <w:u w:val="none"/>
        </w:rPr>
        <w:t>0769-23033403</w:t>
      </w:r>
    </w:p>
    <w:p>
      <w:pPr>
        <w:snapToGrid w:val="0"/>
        <w:spacing w:line="400" w:lineRule="exact"/>
        <w:ind w:left="526" w:leftChars="229" w:hanging="68" w:hangingChars="31"/>
        <w:rPr>
          <w:rFonts w:ascii="宋体" w:hAnsi="宋体" w:cs="宋体"/>
          <w:bCs/>
          <w:sz w:val="22"/>
          <w:szCs w:val="22"/>
          <w:highlight w:val="none"/>
          <w:u w:val="none"/>
        </w:rPr>
      </w:pPr>
      <w:r>
        <w:rPr>
          <w:rFonts w:ascii="宋体" w:hAnsi="宋体"/>
          <w:bCs/>
          <w:sz w:val="22"/>
          <w:szCs w:val="22"/>
          <w:highlight w:val="none"/>
          <w:u w:val="none"/>
        </w:rPr>
        <w:t>传    真：</w:t>
      </w:r>
      <w:r>
        <w:rPr>
          <w:rFonts w:hint="eastAsia" w:ascii="宋体" w:hAnsi="宋体"/>
          <w:bCs/>
          <w:sz w:val="22"/>
          <w:szCs w:val="22"/>
          <w:highlight w:val="none"/>
          <w:u w:val="none"/>
        </w:rPr>
        <w:t>0769-23033403</w:t>
      </w:r>
    </w:p>
    <w:p>
      <w:pPr>
        <w:snapToGrid w:val="0"/>
        <w:spacing w:line="400" w:lineRule="exact"/>
        <w:ind w:left="526" w:leftChars="229" w:hanging="68" w:hangingChars="31"/>
        <w:rPr>
          <w:rFonts w:hint="eastAsia" w:ascii="宋体" w:hAnsi="宋体" w:eastAsia="宋体" w:cs="宋体"/>
          <w:bCs/>
          <w:sz w:val="22"/>
          <w:szCs w:val="22"/>
          <w:highlight w:val="none"/>
          <w:u w:val="none"/>
          <w:lang w:eastAsia="zh-CN"/>
        </w:rPr>
      </w:pPr>
      <w:r>
        <w:rPr>
          <w:rFonts w:hint="eastAsia" w:ascii="宋体" w:hAnsi="宋体" w:cs="宋体"/>
          <w:bCs/>
          <w:sz w:val="22"/>
          <w:szCs w:val="22"/>
          <w:highlight w:val="none"/>
          <w:u w:val="none"/>
        </w:rPr>
        <w:t>邮箱：</w:t>
      </w:r>
      <w:r>
        <w:rPr>
          <w:rFonts w:hint="eastAsia" w:ascii="宋体" w:hAnsi="宋体" w:cs="宋体"/>
          <w:bCs/>
          <w:sz w:val="22"/>
          <w:szCs w:val="22"/>
          <w:highlight w:val="none"/>
          <w:u w:val="none"/>
          <w:lang w:val="en-US" w:eastAsia="zh-CN"/>
        </w:rPr>
        <w:t>/</w:t>
      </w:r>
    </w:p>
    <w:p>
      <w:pPr>
        <w:snapToGrid w:val="0"/>
        <w:spacing w:line="360" w:lineRule="auto"/>
        <w:ind w:firstLine="440" w:firstLineChars="200"/>
        <w:rPr>
          <w:rFonts w:ascii="宋体" w:hAnsi="宋体" w:cs="宋体"/>
          <w:bCs/>
          <w:sz w:val="22"/>
          <w:szCs w:val="22"/>
          <w:highlight w:val="none"/>
          <w:u w:val="none"/>
        </w:rPr>
      </w:pPr>
    </w:p>
    <w:p>
      <w:pPr>
        <w:snapToGrid w:val="0"/>
        <w:spacing w:line="360" w:lineRule="auto"/>
        <w:ind w:firstLine="440" w:firstLineChars="200"/>
        <w:rPr>
          <w:rFonts w:ascii="宋体" w:hAnsi="宋体" w:cs="宋体"/>
          <w:bCs/>
          <w:sz w:val="22"/>
          <w:szCs w:val="22"/>
          <w:highlight w:val="none"/>
          <w:u w:val="none"/>
        </w:rPr>
      </w:pPr>
    </w:p>
    <w:p>
      <w:pPr>
        <w:snapToGrid w:val="0"/>
        <w:spacing w:line="360" w:lineRule="auto"/>
        <w:ind w:firstLine="440" w:firstLineChars="200"/>
        <w:rPr>
          <w:rFonts w:ascii="宋体" w:hAnsi="宋体" w:cs="宋体"/>
          <w:bCs/>
          <w:sz w:val="22"/>
          <w:szCs w:val="22"/>
          <w:highlight w:val="none"/>
          <w:u w:val="none"/>
        </w:rPr>
      </w:pPr>
      <w:r>
        <w:rPr>
          <w:rFonts w:hint="eastAsia" w:ascii="宋体" w:hAnsi="宋体" w:cs="宋体"/>
          <w:bCs/>
          <w:sz w:val="22"/>
          <w:szCs w:val="22"/>
          <w:highlight w:val="none"/>
          <w:u w:val="none"/>
        </w:rPr>
        <w:t>采购人名称：东莞巴士有限公司</w:t>
      </w:r>
    </w:p>
    <w:p>
      <w:pPr>
        <w:snapToGrid w:val="0"/>
        <w:spacing w:line="360" w:lineRule="auto"/>
        <w:ind w:firstLine="440" w:firstLineChars="200"/>
        <w:rPr>
          <w:rFonts w:ascii="宋体" w:hAnsi="宋体" w:cs="宋体"/>
          <w:bCs/>
          <w:sz w:val="22"/>
          <w:szCs w:val="22"/>
          <w:highlight w:val="none"/>
          <w:u w:val="none"/>
        </w:rPr>
      </w:pPr>
      <w:r>
        <w:rPr>
          <w:rFonts w:hint="eastAsia" w:ascii="宋体" w:hAnsi="宋体" w:cs="宋体"/>
          <w:bCs/>
          <w:sz w:val="22"/>
          <w:szCs w:val="22"/>
          <w:highlight w:val="none"/>
          <w:u w:val="none"/>
        </w:rPr>
        <w:t>详细地址：东莞市寮步镇横坑村汽车客运东站行车公寓2号楼</w:t>
      </w:r>
    </w:p>
    <w:p>
      <w:pPr>
        <w:snapToGrid w:val="0"/>
        <w:spacing w:line="360" w:lineRule="auto"/>
        <w:ind w:firstLine="479" w:firstLineChars="218"/>
        <w:rPr>
          <w:rFonts w:ascii="宋体" w:hAnsi="宋体" w:cs="宋体"/>
          <w:bCs/>
          <w:sz w:val="22"/>
          <w:szCs w:val="22"/>
          <w:highlight w:val="none"/>
          <w:u w:val="none"/>
        </w:rPr>
      </w:pPr>
      <w:r>
        <w:rPr>
          <w:rFonts w:hint="eastAsia" w:ascii="宋体" w:hAnsi="宋体" w:cs="宋体"/>
          <w:bCs/>
          <w:sz w:val="22"/>
          <w:szCs w:val="22"/>
          <w:highlight w:val="none"/>
          <w:u w:val="none"/>
        </w:rPr>
        <w:t xml:space="preserve">邮    编：  523000                   </w:t>
      </w:r>
    </w:p>
    <w:p>
      <w:pPr>
        <w:snapToGrid w:val="0"/>
        <w:spacing w:line="360" w:lineRule="auto"/>
        <w:ind w:firstLine="479" w:firstLineChars="218"/>
        <w:rPr>
          <w:rFonts w:ascii="宋体" w:hAnsi="宋体" w:cs="宋体"/>
          <w:bCs/>
          <w:sz w:val="22"/>
          <w:szCs w:val="22"/>
          <w:highlight w:val="none"/>
          <w:u w:val="none"/>
        </w:rPr>
      </w:pPr>
      <w:r>
        <w:rPr>
          <w:rFonts w:hint="eastAsia" w:ascii="宋体" w:hAnsi="宋体" w:cs="宋体"/>
          <w:bCs/>
          <w:sz w:val="22"/>
          <w:szCs w:val="22"/>
          <w:highlight w:val="none"/>
          <w:u w:val="none"/>
        </w:rPr>
        <w:t xml:space="preserve">联 系 人： 刘工 </w:t>
      </w:r>
    </w:p>
    <w:p>
      <w:pPr>
        <w:snapToGrid w:val="0"/>
        <w:spacing w:line="360" w:lineRule="auto"/>
        <w:ind w:firstLine="440" w:firstLineChars="200"/>
        <w:rPr>
          <w:rFonts w:ascii="宋体" w:hAnsi="宋体" w:cs="宋体"/>
          <w:bCs/>
          <w:sz w:val="22"/>
          <w:szCs w:val="22"/>
          <w:highlight w:val="none"/>
        </w:rPr>
      </w:pPr>
      <w:r>
        <w:rPr>
          <w:rFonts w:hint="eastAsia" w:ascii="宋体" w:hAnsi="宋体" w:cs="宋体"/>
          <w:bCs/>
          <w:sz w:val="22"/>
          <w:szCs w:val="22"/>
          <w:highlight w:val="none"/>
          <w:u w:val="none"/>
        </w:rPr>
        <w:t>电    话：0769-</w:t>
      </w:r>
      <w:r>
        <w:rPr>
          <w:rFonts w:ascii="宋体" w:hAnsi="宋体" w:cs="宋体"/>
          <w:bCs/>
          <w:sz w:val="22"/>
          <w:szCs w:val="22"/>
          <w:highlight w:val="none"/>
          <w:u w:val="none"/>
        </w:rPr>
        <w:t>26880814</w:t>
      </w:r>
      <w:r>
        <w:rPr>
          <w:rFonts w:hint="eastAsia" w:ascii="宋体" w:hAnsi="宋体" w:cs="宋体"/>
          <w:bCs/>
          <w:sz w:val="22"/>
          <w:szCs w:val="22"/>
          <w:highlight w:val="none"/>
        </w:rPr>
        <w:t xml:space="preserve">        </w:t>
      </w:r>
    </w:p>
    <w:p>
      <w:pPr>
        <w:spacing w:line="600" w:lineRule="exact"/>
        <w:rPr>
          <w:rFonts w:ascii="宋体" w:hAnsi="宋体"/>
          <w:sz w:val="31"/>
          <w:highlight w:val="none"/>
        </w:rPr>
        <w:sectPr>
          <w:pgSz w:w="11906" w:h="16838"/>
          <w:pgMar w:top="1531" w:right="1531" w:bottom="1531" w:left="1531" w:header="935" w:footer="964" w:gutter="0"/>
          <w:paperSrc w:first="7" w:other="7"/>
          <w:pgNumType w:fmt="decimal"/>
          <w:cols w:space="720" w:num="1"/>
          <w:titlePg/>
          <w:docGrid w:linePitch="523" w:charSpace="0"/>
        </w:sectPr>
      </w:pPr>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pStyle w:val="5"/>
        <w:spacing w:before="0" w:after="0" w:line="240" w:lineRule="auto"/>
        <w:ind w:left="230" w:leftChars="115"/>
        <w:rPr>
          <w:rFonts w:ascii="宋体" w:hAnsi="宋体"/>
          <w:spacing w:val="20"/>
          <w:szCs w:val="44"/>
          <w:highlight w:val="none"/>
        </w:rPr>
      </w:pPr>
      <w:bookmarkStart w:id="4" w:name="_Toc31760"/>
      <w:r>
        <w:rPr>
          <w:rFonts w:hint="eastAsia" w:ascii="宋体" w:hAnsi="宋体"/>
          <w:spacing w:val="20"/>
          <w:szCs w:val="44"/>
          <w:highlight w:val="none"/>
        </w:rPr>
        <w:t>第二部分  投标人须知</w:t>
      </w:r>
      <w:bookmarkEnd w:id="4"/>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spacing w:line="600" w:lineRule="exact"/>
        <w:rPr>
          <w:rFonts w:ascii="宋体" w:hAnsi="宋体"/>
          <w:sz w:val="31"/>
          <w:highlight w:val="none"/>
        </w:rPr>
      </w:pPr>
    </w:p>
    <w:p>
      <w:pPr>
        <w:pStyle w:val="6"/>
        <w:spacing w:before="480" w:beforeLines="200" w:after="240" w:afterLines="100" w:line="240" w:lineRule="atLeast"/>
        <w:rPr>
          <w:rFonts w:ascii="宋体" w:hAnsi="宋体" w:eastAsia="宋体"/>
          <w:bCs/>
          <w:szCs w:val="32"/>
          <w:highlight w:val="none"/>
        </w:rPr>
        <w:sectPr>
          <w:footerReference r:id="rId10" w:type="first"/>
          <w:footerReference r:id="rId9" w:type="default"/>
          <w:pgSz w:w="11906" w:h="16838"/>
          <w:pgMar w:top="1531" w:right="1531" w:bottom="1531" w:left="1531" w:header="935" w:footer="964" w:gutter="0"/>
          <w:paperSrc w:first="7" w:other="7"/>
          <w:pgNumType w:fmt="decimal"/>
          <w:cols w:space="720" w:num="1"/>
          <w:titlePg/>
          <w:docGrid w:linePitch="523" w:charSpace="0"/>
        </w:sectPr>
      </w:pPr>
    </w:p>
    <w:p>
      <w:pPr>
        <w:pStyle w:val="6"/>
        <w:spacing w:before="480" w:beforeLines="200" w:after="240" w:afterLines="100" w:line="240" w:lineRule="atLeast"/>
        <w:rPr>
          <w:rFonts w:ascii="宋体" w:hAnsi="宋体" w:eastAsia="宋体"/>
          <w:bCs/>
          <w:szCs w:val="32"/>
          <w:highlight w:val="none"/>
        </w:rPr>
      </w:pPr>
      <w:bookmarkStart w:id="5" w:name="_Toc32238"/>
      <w:r>
        <w:rPr>
          <w:rFonts w:hint="eastAsia" w:ascii="宋体" w:hAnsi="宋体" w:eastAsia="宋体"/>
          <w:bCs/>
          <w:szCs w:val="32"/>
          <w:highlight w:val="none"/>
        </w:rPr>
        <w:t>一、</w:t>
      </w:r>
      <w:r>
        <w:rPr>
          <w:rFonts w:hint="eastAsia" w:hAnsi="宋体" w:eastAsia="宋体"/>
          <w:bCs/>
          <w:szCs w:val="32"/>
          <w:highlight w:val="none"/>
        </w:rPr>
        <w:t>投标人须知前附表</w:t>
      </w:r>
      <w:bookmarkEnd w:id="5"/>
    </w:p>
    <w:tbl>
      <w:tblPr>
        <w:tblStyle w:val="44"/>
        <w:tblW w:w="934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025"/>
        <w:gridCol w:w="64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blHeader/>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2"/>
                <w:szCs w:val="22"/>
                <w:highlight w:val="none"/>
              </w:rPr>
            </w:pPr>
            <w:r>
              <w:rPr>
                <w:rFonts w:hint="eastAsia" w:ascii="宋体" w:hAnsi="宋体" w:cs="宋体"/>
                <w:b/>
                <w:bCs/>
                <w:sz w:val="22"/>
                <w:szCs w:val="22"/>
                <w:highlight w:val="none"/>
              </w:rPr>
              <w:t>项目</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2"/>
                <w:szCs w:val="22"/>
                <w:highlight w:val="none"/>
              </w:rPr>
            </w:pPr>
            <w:r>
              <w:rPr>
                <w:rFonts w:hint="eastAsia" w:ascii="宋体" w:hAnsi="宋体" w:cs="宋体"/>
                <w:b/>
                <w:bCs/>
                <w:sz w:val="22"/>
                <w:szCs w:val="22"/>
                <w:highlight w:val="none"/>
              </w:rPr>
              <w:t>内容</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sz w:val="22"/>
                <w:szCs w:val="22"/>
                <w:highlight w:val="none"/>
              </w:rPr>
            </w:pPr>
            <w:r>
              <w:rPr>
                <w:rFonts w:hint="eastAsia" w:ascii="宋体" w:hAnsi="宋体" w:cs="宋体"/>
                <w:b/>
                <w:bCs/>
                <w:sz w:val="22"/>
                <w:szCs w:val="22"/>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r>
              <w:rPr>
                <w:rFonts w:ascii="宋体" w:hAnsi="宋体" w:cs="宋体"/>
                <w:sz w:val="22"/>
                <w:szCs w:val="22"/>
                <w:highlight w:val="none"/>
              </w:rPr>
              <w:t>1</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r>
              <w:rPr>
                <w:rFonts w:hint="eastAsia" w:ascii="宋体" w:hAnsi="宋体" w:cs="宋体"/>
                <w:sz w:val="22"/>
                <w:szCs w:val="22"/>
                <w:highlight w:val="none"/>
              </w:rPr>
              <w:t>项目预算金额</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highlight w:val="none"/>
              </w:rPr>
            </w:pPr>
            <w:r>
              <w:rPr>
                <w:rFonts w:hint="eastAsia" w:ascii="宋体" w:hAnsi="宋体" w:cs="宋体"/>
                <w:sz w:val="22"/>
                <w:szCs w:val="22"/>
                <w:highlight w:val="none"/>
              </w:rPr>
              <w:t>678,942,720.00元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r>
              <w:rPr>
                <w:rFonts w:ascii="宋体" w:hAnsi="宋体" w:cs="宋体"/>
                <w:sz w:val="22"/>
                <w:szCs w:val="22"/>
                <w:highlight w:val="none"/>
              </w:rPr>
              <w:t>2</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r>
              <w:rPr>
                <w:rFonts w:hint="eastAsia" w:ascii="宋体" w:hAnsi="宋体" w:cs="宋体"/>
                <w:kern w:val="2"/>
                <w:sz w:val="22"/>
                <w:szCs w:val="22"/>
                <w:highlight w:val="none"/>
                <w:lang w:val="zh-CN"/>
              </w:rPr>
              <w:t>招标</w:t>
            </w:r>
            <w:r>
              <w:rPr>
                <w:rFonts w:hint="eastAsia" w:ascii="宋体" w:hAnsi="宋体" w:cs="宋体"/>
                <w:kern w:val="2"/>
                <w:sz w:val="22"/>
                <w:szCs w:val="22"/>
                <w:highlight w:val="none"/>
              </w:rPr>
              <w:t>人</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highlight w:val="none"/>
              </w:rPr>
            </w:pPr>
            <w:r>
              <w:rPr>
                <w:rFonts w:hint="eastAsia" w:ascii="宋体"/>
                <w:sz w:val="22"/>
                <w:szCs w:val="22"/>
                <w:highlight w:val="none"/>
              </w:rPr>
              <w:t>东莞巴士有限公司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2"/>
                <w:sz w:val="22"/>
                <w:szCs w:val="22"/>
                <w:highlight w:val="none"/>
                <w:lang w:val="zh-CN"/>
              </w:rPr>
            </w:pPr>
            <w:r>
              <w:rPr>
                <w:rFonts w:hint="eastAsia" w:ascii="宋体" w:hAnsi="宋体" w:cs="宋体"/>
                <w:kern w:val="2"/>
                <w:sz w:val="22"/>
                <w:szCs w:val="22"/>
                <w:highlight w:val="none"/>
                <w:lang w:val="zh-CN"/>
              </w:rPr>
              <w:t>招标</w:t>
            </w:r>
            <w:r>
              <w:rPr>
                <w:rFonts w:ascii="宋体" w:hAnsi="宋体" w:cs="宋体"/>
                <w:kern w:val="2"/>
                <w:sz w:val="22"/>
                <w:szCs w:val="22"/>
                <w:highlight w:val="none"/>
                <w:lang w:val="zh-CN"/>
              </w:rPr>
              <w:t>代理机构</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2"/>
                <w:szCs w:val="22"/>
                <w:highlight w:val="none"/>
              </w:rPr>
            </w:pPr>
            <w:r>
              <w:rPr>
                <w:rFonts w:hint="eastAsia" w:ascii="宋体"/>
                <w:sz w:val="22"/>
                <w:szCs w:val="22"/>
                <w:highlight w:val="none"/>
              </w:rPr>
              <w:t>广东华迪工程管理有限公司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r>
              <w:rPr>
                <w:rFonts w:hint="eastAsia" w:ascii="宋体" w:hAnsi="宋体" w:cs="宋体"/>
                <w:sz w:val="22"/>
                <w:szCs w:val="22"/>
                <w:highlight w:val="none"/>
              </w:rPr>
              <w:t>3</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highlight w:val="none"/>
              </w:rPr>
            </w:pPr>
            <w:r>
              <w:rPr>
                <w:rFonts w:hint="eastAsia" w:ascii="宋体" w:hAnsi="宋体"/>
                <w:sz w:val="22"/>
                <w:szCs w:val="22"/>
                <w:highlight w:val="none"/>
              </w:rPr>
              <w:t>合格的投标人</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highlight w:val="none"/>
                <w:u w:val="single"/>
                <w:lang w:val="zh-CN"/>
              </w:rPr>
            </w:pPr>
            <w:r>
              <w:rPr>
                <w:rFonts w:hint="eastAsia" w:ascii="宋体" w:hAnsi="宋体"/>
                <w:bCs/>
                <w:sz w:val="22"/>
                <w:szCs w:val="22"/>
                <w:highlight w:val="none"/>
              </w:rPr>
              <w:t>见第一章《投标邀请》中第5款的</w:t>
            </w:r>
            <w:r>
              <w:rPr>
                <w:rFonts w:hint="eastAsia" w:ascii="宋体" w:hAnsi="宋体"/>
                <w:b/>
                <w:bCs/>
                <w:i/>
                <w:sz w:val="22"/>
                <w:szCs w:val="22"/>
                <w:highlight w:val="none"/>
                <w:u w:val="single"/>
              </w:rPr>
              <w:t>投标人资格要求。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r>
              <w:rPr>
                <w:rFonts w:hint="eastAsia" w:ascii="宋体" w:hAnsi="宋体" w:cs="宋体"/>
                <w:sz w:val="22"/>
                <w:szCs w:val="22"/>
                <w:highlight w:val="none"/>
              </w:rPr>
              <w:t>4</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highlight w:val="none"/>
              </w:rPr>
            </w:pPr>
            <w:r>
              <w:rPr>
                <w:rFonts w:hint="eastAsia" w:ascii="宋体" w:hAnsi="宋体"/>
                <w:sz w:val="22"/>
                <w:szCs w:val="22"/>
                <w:highlight w:val="none"/>
              </w:rPr>
              <w:t>关于联合体投标</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sz w:val="22"/>
                <w:szCs w:val="22"/>
                <w:highlight w:val="none"/>
              </w:rPr>
            </w:pPr>
            <w:r>
              <w:rPr>
                <w:rFonts w:hint="eastAsia" w:ascii="宋体" w:hAnsi="宋体" w:cs="宋体"/>
                <w:bCs/>
                <w:sz w:val="22"/>
                <w:szCs w:val="22"/>
                <w:highlight w:val="none"/>
              </w:rPr>
              <w:t>允许联合体投标。联合体投标的，须满足以下要求：</w:t>
            </w:r>
          </w:p>
          <w:p>
            <w:pPr>
              <w:spacing w:line="400" w:lineRule="exact"/>
              <w:rPr>
                <w:rFonts w:ascii="宋体" w:hAnsi="宋体" w:cs="宋体"/>
                <w:bCs/>
                <w:sz w:val="22"/>
                <w:szCs w:val="22"/>
                <w:highlight w:val="none"/>
              </w:rPr>
            </w:pPr>
            <w:r>
              <w:rPr>
                <w:rFonts w:ascii="宋体" w:hAnsi="宋体" w:cs="宋体"/>
                <w:bCs/>
                <w:sz w:val="22"/>
                <w:szCs w:val="22"/>
                <w:highlight w:val="none"/>
              </w:rPr>
              <w:t>1.</w:t>
            </w:r>
            <w:r>
              <w:rPr>
                <w:rFonts w:hint="eastAsia" w:ascii="宋体" w:hAnsi="宋体" w:cs="宋体"/>
                <w:bCs/>
                <w:sz w:val="22"/>
                <w:szCs w:val="22"/>
                <w:highlight w:val="none"/>
              </w:rPr>
              <w:t>以联合体形式进行投标的，参加联合体的供应商均应当满足投标人资格要求；联合体各方之间应当签订联合体协议，明确约定联合体各方承担的工作和义务，并将共同联合体协议连同投标文件一并提交。</w:t>
            </w:r>
          </w:p>
          <w:p>
            <w:pPr>
              <w:pStyle w:val="20"/>
              <w:spacing w:line="400" w:lineRule="exact"/>
              <w:rPr>
                <w:rFonts w:ascii="宋体" w:hAnsi="宋体" w:cs="宋体"/>
                <w:bCs/>
                <w:kern w:val="0"/>
                <w:sz w:val="22"/>
                <w:szCs w:val="22"/>
                <w:highlight w:val="none"/>
              </w:rPr>
            </w:pPr>
            <w:r>
              <w:rPr>
                <w:rFonts w:ascii="宋体" w:hAnsi="宋体" w:cs="宋体"/>
                <w:bCs/>
                <w:kern w:val="0"/>
                <w:sz w:val="22"/>
                <w:szCs w:val="22"/>
                <w:highlight w:val="none"/>
              </w:rPr>
              <w:t>2.</w:t>
            </w:r>
            <w:r>
              <w:rPr>
                <w:rFonts w:hint="eastAsia" w:ascii="宋体" w:hAnsi="宋体" w:cs="宋体"/>
                <w:bCs/>
                <w:kern w:val="0"/>
                <w:sz w:val="22"/>
                <w:szCs w:val="22"/>
                <w:highlight w:val="none"/>
              </w:rPr>
              <w:t>以联合体形式参加投标活动的，联合体各方不得再单独参加或者与其他供应商另外组成联合体参加同一合同项下的投标活动。</w:t>
            </w:r>
          </w:p>
          <w:p>
            <w:pPr>
              <w:pStyle w:val="20"/>
              <w:spacing w:line="400" w:lineRule="exact"/>
              <w:rPr>
                <w:rFonts w:ascii="宋体" w:hAnsi="宋体" w:cs="宋体"/>
                <w:bCs/>
                <w:kern w:val="0"/>
                <w:sz w:val="22"/>
                <w:szCs w:val="22"/>
                <w:highlight w:val="none"/>
              </w:rPr>
            </w:pPr>
            <w:r>
              <w:rPr>
                <w:rFonts w:ascii="宋体" w:hAnsi="宋体" w:cs="宋体"/>
                <w:bCs/>
                <w:kern w:val="0"/>
                <w:sz w:val="22"/>
                <w:szCs w:val="22"/>
                <w:highlight w:val="none"/>
              </w:rPr>
              <w:t>3.</w:t>
            </w:r>
            <w:r>
              <w:rPr>
                <w:rFonts w:hint="eastAsia" w:ascii="宋体" w:hAnsi="宋体" w:cs="宋体"/>
                <w:bCs/>
                <w:kern w:val="0"/>
                <w:sz w:val="22"/>
                <w:szCs w:val="22"/>
                <w:highlight w:val="none"/>
              </w:rPr>
              <w:t>以联合体进行投标的，可以由联合体中的一方或者共同提交投标保证金，以一方名义提交的投标保证金的，对联合体各方均具有约束力。</w:t>
            </w:r>
          </w:p>
          <w:p>
            <w:pPr>
              <w:pStyle w:val="20"/>
              <w:spacing w:line="400" w:lineRule="exact"/>
              <w:rPr>
                <w:rFonts w:ascii="宋体" w:hAnsi="宋体" w:cs="宋体"/>
                <w:bCs/>
                <w:kern w:val="0"/>
                <w:sz w:val="22"/>
                <w:szCs w:val="22"/>
                <w:highlight w:val="none"/>
              </w:rPr>
            </w:pPr>
            <w:r>
              <w:rPr>
                <w:rFonts w:ascii="宋体" w:hAnsi="宋体" w:cs="宋体"/>
                <w:bCs/>
                <w:kern w:val="0"/>
                <w:sz w:val="22"/>
                <w:szCs w:val="22"/>
                <w:highlight w:val="none"/>
              </w:rPr>
              <w:t>4.</w:t>
            </w:r>
            <w:r>
              <w:rPr>
                <w:rFonts w:hint="eastAsia" w:ascii="宋体" w:hAnsi="宋体" w:cs="宋体"/>
                <w:bCs/>
                <w:kern w:val="0"/>
                <w:sz w:val="22"/>
                <w:szCs w:val="22"/>
                <w:highlight w:val="none"/>
              </w:rPr>
              <w:t>联合体各方应当共同与采购人签订采购合同，就采购合同约定的事项对采购人承担连带责任。</w:t>
            </w:r>
          </w:p>
          <w:p>
            <w:pPr>
              <w:spacing w:line="400" w:lineRule="exact"/>
              <w:rPr>
                <w:rFonts w:ascii="宋体" w:hAnsi="宋体" w:cs="宋体"/>
                <w:bCs/>
                <w:sz w:val="22"/>
                <w:szCs w:val="22"/>
                <w:highlight w:val="none"/>
              </w:rPr>
            </w:pPr>
            <w:r>
              <w:rPr>
                <w:rFonts w:ascii="宋体" w:hAnsi="宋体" w:cs="宋体"/>
                <w:bCs/>
                <w:sz w:val="22"/>
                <w:szCs w:val="22"/>
                <w:highlight w:val="none"/>
              </w:rPr>
              <w:t>5.</w:t>
            </w:r>
            <w:r>
              <w:rPr>
                <w:rFonts w:hint="eastAsia" w:ascii="宋体" w:hAnsi="宋体" w:cs="宋体"/>
                <w:bCs/>
                <w:sz w:val="22"/>
                <w:szCs w:val="22"/>
                <w:highlight w:val="none"/>
              </w:rPr>
              <w:t>若联合体中标后，由不具备项目特定资质要求的供应商承担相应工作，所造成的一切损失和违约赔偿责任由中标人承担。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r>
              <w:rPr>
                <w:rFonts w:hint="eastAsia" w:ascii="宋体" w:hAnsi="宋体" w:cs="宋体"/>
                <w:sz w:val="22"/>
                <w:szCs w:val="22"/>
                <w:highlight w:val="none"/>
              </w:rPr>
              <w:t>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2"/>
                <w:sz w:val="22"/>
                <w:szCs w:val="22"/>
                <w:highlight w:val="none"/>
              </w:rPr>
            </w:pPr>
            <w:r>
              <w:rPr>
                <w:rFonts w:hint="eastAsia" w:ascii="宋体" w:hAnsi="宋体" w:cs="宋体"/>
                <w:kern w:val="2"/>
                <w:sz w:val="22"/>
                <w:szCs w:val="22"/>
                <w:highlight w:val="none"/>
              </w:rPr>
              <w:t>勘探现场及答疑会</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2"/>
                <w:sz w:val="22"/>
                <w:szCs w:val="22"/>
                <w:highlight w:val="none"/>
              </w:rPr>
            </w:pPr>
            <w:r>
              <w:rPr>
                <w:rFonts w:hint="eastAsia" w:ascii="宋体" w:hAnsi="宋体" w:cs="宋体"/>
                <w:kern w:val="2"/>
                <w:sz w:val="22"/>
                <w:szCs w:val="22"/>
                <w:highlight w:val="none"/>
              </w:rPr>
              <w:t>采购人不集中组织踏勘现场及答疑会。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r>
              <w:rPr>
                <w:rFonts w:hint="eastAsia" w:ascii="宋体" w:hAnsi="宋体" w:cs="宋体"/>
                <w:sz w:val="22"/>
                <w:szCs w:val="22"/>
                <w:highlight w:val="none"/>
              </w:rPr>
              <w:t>6</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r>
              <w:rPr>
                <w:rFonts w:hint="eastAsia" w:ascii="宋体" w:hAnsi="宋体" w:cs="宋体"/>
                <w:bCs/>
                <w:sz w:val="22"/>
                <w:szCs w:val="22"/>
                <w:highlight w:val="none"/>
              </w:rPr>
              <w:t>招标文件的询问、质疑、澄清或修改</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sz w:val="22"/>
                <w:szCs w:val="22"/>
                <w:highlight w:val="none"/>
              </w:rPr>
            </w:pPr>
            <w:r>
              <w:rPr>
                <w:rFonts w:hint="eastAsia" w:ascii="宋体" w:hAnsi="宋体" w:cs="宋体"/>
                <w:bCs/>
                <w:sz w:val="22"/>
                <w:szCs w:val="22"/>
                <w:highlight w:val="none"/>
              </w:rPr>
              <w:t>1.采购人应当自收到投标人询问之日起3个工作日内作出答复，但答复的内容不得涉及商业秘密或者依法应当保密的内容。</w:t>
            </w:r>
          </w:p>
          <w:p>
            <w:pPr>
              <w:spacing w:line="400" w:lineRule="exact"/>
              <w:rPr>
                <w:rFonts w:ascii="宋体" w:hAnsi="宋体" w:cs="宋体"/>
                <w:bCs/>
                <w:sz w:val="22"/>
                <w:szCs w:val="22"/>
                <w:highlight w:val="none"/>
              </w:rPr>
            </w:pPr>
            <w:r>
              <w:rPr>
                <w:rFonts w:hint="eastAsia" w:ascii="宋体" w:hAnsi="宋体" w:cs="宋体"/>
                <w:bCs/>
                <w:sz w:val="22"/>
                <w:szCs w:val="22"/>
                <w:highlight w:val="none"/>
              </w:rPr>
              <w:t>2. 投标人认为招标文件、采购过程和中标结果使自己的权益受到损害的可以在知道或者应知其权益受到损害之日起七个工作日内向采购人提出质疑【质疑书应当由质疑投标人的法定代表人或主要负责人签字并加盖单位公章，留有联系人及联系电话，并提供营业执照、法定代表人证明书、委托代理人授权委托书、法定代表人及被授权人身份证复印件加盖单位公章（以书面原件形式）】。</w:t>
            </w:r>
          </w:p>
          <w:p>
            <w:pPr>
              <w:spacing w:line="400" w:lineRule="exact"/>
              <w:rPr>
                <w:rFonts w:ascii="宋体" w:hAnsi="宋体" w:cs="宋体"/>
                <w:sz w:val="22"/>
                <w:szCs w:val="22"/>
                <w:highlight w:val="none"/>
              </w:rPr>
            </w:pPr>
            <w:r>
              <w:rPr>
                <w:rFonts w:hint="eastAsia" w:ascii="宋体" w:hAnsi="宋体" w:cs="宋体"/>
                <w:bCs/>
                <w:sz w:val="22"/>
                <w:szCs w:val="22"/>
                <w:highlight w:val="none"/>
              </w:rPr>
              <w:t>3. 招标文件的澄清或者修改内容作为招标文件的组成部分，并对投标人具有约束力。当招标文件、招标文件的澄清或修改在同一内容的表述上不一致时，以最后发出的文件内容为准。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r>
              <w:rPr>
                <w:rFonts w:hint="eastAsia" w:ascii="宋体" w:hAnsi="宋体" w:cs="宋体"/>
                <w:sz w:val="22"/>
                <w:szCs w:val="22"/>
                <w:highlight w:val="none"/>
              </w:rPr>
              <w:t>7</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2"/>
                <w:sz w:val="22"/>
                <w:szCs w:val="22"/>
                <w:highlight w:val="none"/>
              </w:rPr>
            </w:pPr>
            <w:r>
              <w:rPr>
                <w:rFonts w:hint="eastAsia" w:ascii="宋体" w:hAnsi="宋体" w:cs="宋体"/>
                <w:kern w:val="2"/>
                <w:sz w:val="22"/>
                <w:szCs w:val="22"/>
                <w:highlight w:val="none"/>
              </w:rPr>
              <w:t>投标有效期</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highlight w:val="none"/>
              </w:rPr>
            </w:pPr>
            <w:r>
              <w:rPr>
                <w:rFonts w:hint="eastAsia" w:ascii="宋体" w:hAnsi="宋体"/>
                <w:bCs/>
                <w:sz w:val="22"/>
                <w:szCs w:val="22"/>
                <w:highlight w:val="none"/>
                <w:lang w:val="zh-CN"/>
              </w:rPr>
              <w:t>递交投标文件截止日后90日内有效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2"/>
                <w:sz w:val="22"/>
                <w:szCs w:val="22"/>
                <w:highlight w:val="none"/>
              </w:rPr>
            </w:pPr>
            <w:r>
              <w:rPr>
                <w:rFonts w:hint="eastAsia" w:ascii="宋体" w:hAnsi="宋体" w:cs="宋体"/>
                <w:kern w:val="2"/>
                <w:sz w:val="22"/>
                <w:szCs w:val="22"/>
                <w:highlight w:val="none"/>
              </w:rPr>
              <w:t>投标</w:t>
            </w:r>
            <w:r>
              <w:rPr>
                <w:rFonts w:ascii="宋体" w:hAnsi="宋体" w:cs="宋体"/>
                <w:kern w:val="2"/>
                <w:sz w:val="22"/>
                <w:szCs w:val="22"/>
                <w:highlight w:val="none"/>
              </w:rPr>
              <w:t>截止时间</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Cs/>
                <w:sz w:val="22"/>
                <w:szCs w:val="22"/>
                <w:highlight w:val="none"/>
                <w:lang w:val="zh-CN"/>
              </w:rPr>
            </w:pPr>
            <w:r>
              <w:rPr>
                <w:rFonts w:hint="eastAsia" w:ascii="宋体" w:hAnsi="宋体"/>
                <w:bCs/>
                <w:sz w:val="22"/>
                <w:szCs w:val="22"/>
                <w:highlight w:val="none"/>
                <w:lang w:val="zh-CN"/>
              </w:rPr>
              <w:t>本项目</w:t>
            </w:r>
            <w:r>
              <w:rPr>
                <w:rFonts w:ascii="宋体" w:hAnsi="宋体"/>
                <w:bCs/>
                <w:sz w:val="22"/>
                <w:szCs w:val="22"/>
                <w:highlight w:val="none"/>
                <w:lang w:val="zh-CN"/>
              </w:rPr>
              <w:t>投标截止时间为2020</w:t>
            </w:r>
            <w:r>
              <w:rPr>
                <w:rFonts w:hint="eastAsia" w:ascii="宋体" w:hAnsi="宋体"/>
                <w:bCs/>
                <w:sz w:val="22"/>
                <w:szCs w:val="22"/>
                <w:highlight w:val="none"/>
                <w:lang w:val="zh-CN"/>
              </w:rPr>
              <w:t>年</w:t>
            </w:r>
            <w:r>
              <w:rPr>
                <w:rFonts w:hint="eastAsia" w:ascii="宋体" w:hAnsi="宋体"/>
                <w:bCs/>
                <w:sz w:val="22"/>
                <w:szCs w:val="22"/>
                <w:highlight w:val="none"/>
                <w:lang w:val="en-US" w:eastAsia="zh-CN"/>
              </w:rPr>
              <w:t>11</w:t>
            </w:r>
            <w:r>
              <w:rPr>
                <w:rFonts w:hint="eastAsia" w:ascii="宋体" w:hAnsi="宋体"/>
                <w:bCs/>
                <w:sz w:val="22"/>
                <w:szCs w:val="22"/>
                <w:highlight w:val="none"/>
                <w:lang w:val="zh-CN"/>
              </w:rPr>
              <w:t>月</w:t>
            </w:r>
            <w:r>
              <w:rPr>
                <w:rFonts w:hint="eastAsia" w:ascii="宋体" w:hAnsi="宋体"/>
                <w:bCs/>
                <w:sz w:val="22"/>
                <w:szCs w:val="22"/>
                <w:highlight w:val="none"/>
                <w:lang w:val="en-US" w:eastAsia="zh-CN"/>
              </w:rPr>
              <w:t>19</w:t>
            </w:r>
            <w:r>
              <w:rPr>
                <w:rFonts w:hint="eastAsia" w:ascii="宋体" w:hAnsi="宋体"/>
                <w:bCs/>
                <w:sz w:val="22"/>
                <w:szCs w:val="22"/>
                <w:highlight w:val="none"/>
                <w:lang w:val="zh-CN"/>
              </w:rPr>
              <w:t>日</w:t>
            </w:r>
            <w:r>
              <w:rPr>
                <w:rFonts w:hint="eastAsia" w:ascii="宋体" w:hAnsi="宋体"/>
                <w:bCs/>
                <w:sz w:val="22"/>
                <w:szCs w:val="22"/>
                <w:highlight w:val="none"/>
                <w:lang w:val="en-US" w:eastAsia="zh-CN"/>
              </w:rPr>
              <w:t>09</w:t>
            </w:r>
            <w:r>
              <w:rPr>
                <w:rFonts w:hint="eastAsia" w:ascii="宋体" w:hAnsi="宋体"/>
                <w:bCs/>
                <w:sz w:val="22"/>
                <w:szCs w:val="22"/>
                <w:highlight w:val="none"/>
                <w:lang w:val="zh-CN"/>
              </w:rPr>
              <w:t>时</w:t>
            </w:r>
            <w:r>
              <w:rPr>
                <w:rFonts w:hint="eastAsia" w:ascii="宋体" w:hAnsi="宋体"/>
                <w:bCs/>
                <w:sz w:val="22"/>
                <w:szCs w:val="22"/>
                <w:highlight w:val="none"/>
                <w:lang w:val="en-US" w:eastAsia="zh-CN"/>
              </w:rPr>
              <w:t>30</w:t>
            </w:r>
            <w:r>
              <w:rPr>
                <w:rFonts w:hint="eastAsia" w:ascii="宋体" w:hAnsi="宋体"/>
                <w:bCs/>
                <w:sz w:val="22"/>
                <w:szCs w:val="22"/>
                <w:highlight w:val="none"/>
                <w:lang w:val="zh-CN"/>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r>
              <w:rPr>
                <w:rFonts w:hint="eastAsia" w:ascii="宋体" w:hAnsi="宋体" w:cs="宋体"/>
                <w:sz w:val="22"/>
                <w:szCs w:val="22"/>
                <w:highlight w:val="none"/>
              </w:rPr>
              <w:t>8</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r>
              <w:rPr>
                <w:rFonts w:hint="eastAsia" w:ascii="宋体" w:hAnsi="宋体" w:cs="宋体"/>
                <w:sz w:val="22"/>
                <w:szCs w:val="22"/>
                <w:highlight w:val="none"/>
              </w:rPr>
              <w:t>投标保证金</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highlight w:val="none"/>
              </w:rPr>
            </w:pPr>
            <w:r>
              <w:rPr>
                <w:rFonts w:hint="eastAsia" w:ascii="宋体" w:hAnsi="宋体" w:cs="宋体"/>
                <w:sz w:val="22"/>
                <w:szCs w:val="22"/>
                <w:highlight w:val="none"/>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r>
              <w:rPr>
                <w:rFonts w:hint="eastAsia" w:ascii="宋体" w:hAnsi="宋体" w:cs="宋体"/>
                <w:sz w:val="22"/>
                <w:szCs w:val="22"/>
                <w:highlight w:val="none"/>
              </w:rPr>
              <w:t>9</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2"/>
                <w:sz w:val="22"/>
                <w:szCs w:val="22"/>
                <w:highlight w:val="none"/>
              </w:rPr>
            </w:pPr>
            <w:r>
              <w:rPr>
                <w:rFonts w:hint="eastAsia" w:ascii="宋体" w:hAnsi="宋体" w:cs="宋体"/>
                <w:kern w:val="2"/>
                <w:sz w:val="22"/>
                <w:szCs w:val="22"/>
                <w:highlight w:val="none"/>
              </w:rPr>
              <w:t>资格审查组及审查方法</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2"/>
                <w:sz w:val="22"/>
                <w:szCs w:val="22"/>
                <w:highlight w:val="none"/>
                <w:lang w:val="zh-CN"/>
              </w:rPr>
            </w:pPr>
            <w:r>
              <w:rPr>
                <w:rFonts w:hint="eastAsia" w:ascii="宋体" w:hAnsi="宋体" w:cs="宋体"/>
                <w:sz w:val="22"/>
                <w:szCs w:val="22"/>
                <w:highlight w:val="none"/>
              </w:rPr>
              <w:t>通过</w:t>
            </w:r>
            <w:r>
              <w:rPr>
                <w:rFonts w:ascii="宋体" w:hAnsi="宋体" w:cs="宋体"/>
                <w:sz w:val="22"/>
                <w:szCs w:val="22"/>
                <w:highlight w:val="none"/>
              </w:rPr>
              <w:t>资格性审查后</w:t>
            </w:r>
            <w:r>
              <w:rPr>
                <w:rFonts w:hint="eastAsia" w:ascii="宋体" w:hAnsi="宋体" w:cs="宋体"/>
                <w:sz w:val="22"/>
                <w:szCs w:val="22"/>
                <w:highlight w:val="none"/>
              </w:rPr>
              <w:t>，</w:t>
            </w:r>
            <w:r>
              <w:rPr>
                <w:rFonts w:ascii="宋体" w:hAnsi="宋体" w:cs="宋体"/>
                <w:sz w:val="22"/>
                <w:szCs w:val="22"/>
                <w:highlight w:val="none"/>
              </w:rPr>
              <w:t>获得</w:t>
            </w:r>
            <w:r>
              <w:rPr>
                <w:rFonts w:hint="eastAsia" w:ascii="宋体"/>
                <w:bCs/>
                <w:sz w:val="22"/>
                <w:szCs w:val="22"/>
                <w:highlight w:val="none"/>
              </w:rPr>
              <w:t>东莞巴士有限公司充电服务资格供应商采购项目</w:t>
            </w:r>
            <w:r>
              <w:rPr>
                <w:rFonts w:ascii="宋体" w:hAnsi="宋体" w:cs="宋体"/>
                <w:sz w:val="22"/>
                <w:szCs w:val="22"/>
                <w:highlight w:val="none"/>
              </w:rPr>
              <w:t>的入库资格。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r>
              <w:rPr>
                <w:rFonts w:hint="eastAsia" w:ascii="宋体" w:hAnsi="宋体" w:cs="宋体"/>
                <w:sz w:val="22"/>
                <w:szCs w:val="22"/>
                <w:highlight w:val="none"/>
              </w:rPr>
              <w:t>10</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ind w:right="-36" w:rightChars="-18"/>
              <w:rPr>
                <w:rFonts w:ascii="宋体" w:hAnsi="宋体"/>
                <w:bCs/>
                <w:sz w:val="22"/>
                <w:szCs w:val="22"/>
                <w:highlight w:val="none"/>
              </w:rPr>
            </w:pPr>
            <w:r>
              <w:rPr>
                <w:rFonts w:hint="eastAsia" w:ascii="宋体" w:hAnsi="宋体"/>
                <w:bCs/>
                <w:sz w:val="22"/>
                <w:szCs w:val="22"/>
                <w:highlight w:val="none"/>
              </w:rPr>
              <w:t>采购信息公告和</w:t>
            </w:r>
            <w:r>
              <w:rPr>
                <w:rFonts w:ascii="宋体" w:hAnsi="宋体"/>
                <w:bCs/>
                <w:sz w:val="22"/>
                <w:szCs w:val="22"/>
                <w:highlight w:val="none"/>
              </w:rPr>
              <w:t>结果公示</w:t>
            </w:r>
            <w:r>
              <w:rPr>
                <w:rFonts w:hint="eastAsia" w:ascii="宋体" w:hAnsi="宋体"/>
                <w:bCs/>
                <w:sz w:val="22"/>
                <w:szCs w:val="22"/>
                <w:highlight w:val="none"/>
              </w:rPr>
              <w:t>媒体</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highlight w:val="none"/>
              </w:rPr>
            </w:pPr>
            <w:r>
              <w:rPr>
                <w:rFonts w:hint="eastAsia" w:ascii="宋体" w:hAnsi="宋体" w:cs="宋体"/>
                <w:bCs/>
                <w:sz w:val="22"/>
                <w:szCs w:val="22"/>
                <w:highlight w:val="none"/>
              </w:rPr>
              <w:t>所有有关本次采购的招标公告在东莞市公共资源交易网站（http://ggzy.dg.gov.cn）、东莞市交通投资集团有限公司网站</w:t>
            </w:r>
            <w:r>
              <w:rPr>
                <w:rFonts w:hint="eastAsia" w:ascii="宋体" w:hAnsi="宋体" w:cs="宋体"/>
                <w:sz w:val="22"/>
                <w:szCs w:val="22"/>
                <w:highlight w:val="none"/>
              </w:rPr>
              <w:t>（http://www.dgjtjt.com.cn）、</w:t>
            </w:r>
            <w:r>
              <w:rPr>
                <w:rFonts w:ascii="宋体" w:hAnsi="宋体" w:cs="宋体"/>
                <w:sz w:val="22"/>
                <w:szCs w:val="22"/>
                <w:highlight w:val="none"/>
              </w:rPr>
              <w:t>东莞巴士有限公司网站（</w:t>
            </w:r>
            <w:r>
              <w:rPr>
                <w:rFonts w:hint="eastAsia" w:ascii="宋体" w:hAnsi="宋体" w:cs="宋体"/>
                <w:sz w:val="22"/>
                <w:szCs w:val="22"/>
                <w:highlight w:val="none"/>
              </w:rPr>
              <w:t>www.东莞巴士.com</w:t>
            </w:r>
            <w:r>
              <w:rPr>
                <w:rFonts w:ascii="宋体" w:hAnsi="宋体" w:cs="宋体"/>
                <w:sz w:val="22"/>
                <w:szCs w:val="22"/>
                <w:highlight w:val="none"/>
              </w:rPr>
              <w:t>）</w:t>
            </w:r>
            <w:r>
              <w:rPr>
                <w:rFonts w:hint="eastAsia" w:ascii="宋体" w:hAnsi="宋体" w:cs="宋体"/>
                <w:sz w:val="22"/>
                <w:szCs w:val="22"/>
                <w:highlight w:val="none"/>
              </w:rPr>
              <w:t>等</w:t>
            </w:r>
            <w:r>
              <w:rPr>
                <w:rFonts w:hint="eastAsia" w:ascii="宋体" w:hAnsi="宋体" w:cs="宋体"/>
                <w:bCs/>
                <w:sz w:val="22"/>
                <w:szCs w:val="22"/>
                <w:highlight w:val="none"/>
              </w:rPr>
              <w:t>网站上公布，</w:t>
            </w:r>
            <w:r>
              <w:rPr>
                <w:rFonts w:ascii="宋体" w:hAnsi="宋体"/>
                <w:bCs/>
                <w:sz w:val="22"/>
                <w:szCs w:val="22"/>
                <w:highlight w:val="none"/>
              </w:rPr>
              <w:t>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szCs w:val="22"/>
                <w:highlight w:val="none"/>
              </w:rPr>
            </w:pPr>
            <w:r>
              <w:rPr>
                <w:rFonts w:hint="eastAsia" w:ascii="宋体" w:hAnsi="宋体" w:cs="宋体"/>
                <w:sz w:val="22"/>
                <w:szCs w:val="22"/>
                <w:highlight w:val="none"/>
              </w:rPr>
              <w:t>11</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sz w:val="22"/>
                <w:szCs w:val="22"/>
                <w:highlight w:val="none"/>
              </w:rPr>
            </w:pPr>
            <w:r>
              <w:rPr>
                <w:rFonts w:hint="eastAsia" w:ascii="宋体" w:hAnsi="宋体" w:cs="宋体"/>
                <w:bCs/>
                <w:sz w:val="22"/>
                <w:szCs w:val="22"/>
                <w:highlight w:val="none"/>
              </w:rPr>
              <w:t>履约保证金</w:t>
            </w:r>
          </w:p>
        </w:tc>
        <w:tc>
          <w:tcPr>
            <w:tcW w:w="6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z w:val="22"/>
                <w:szCs w:val="22"/>
                <w:highlight w:val="none"/>
              </w:rPr>
            </w:pPr>
            <w:r>
              <w:rPr>
                <w:rFonts w:ascii="宋体" w:hAnsi="宋体"/>
                <w:b/>
                <w:sz w:val="22"/>
                <w:szCs w:val="22"/>
                <w:highlight w:val="none"/>
              </w:rPr>
              <w:t>1、履约担保金额：</w:t>
            </w:r>
            <w:r>
              <w:rPr>
                <w:rFonts w:hint="eastAsia" w:ascii="宋体" w:hAnsi="宋体"/>
                <w:b/>
                <w:sz w:val="22"/>
                <w:szCs w:val="22"/>
                <w:highlight w:val="none"/>
              </w:rPr>
              <w:t>贰拾万元整（</w:t>
            </w:r>
            <w:r>
              <w:rPr>
                <w:rFonts w:ascii="宋体" w:hAnsi="宋体"/>
                <w:b/>
                <w:sz w:val="22"/>
                <w:szCs w:val="22"/>
                <w:highlight w:val="none"/>
              </w:rPr>
              <w:t>200,000</w:t>
            </w:r>
            <w:r>
              <w:rPr>
                <w:rFonts w:hint="eastAsia" w:ascii="宋体" w:hAnsi="宋体"/>
                <w:b/>
                <w:sz w:val="22"/>
                <w:szCs w:val="22"/>
                <w:highlight w:val="none"/>
              </w:rPr>
              <w:t>元）。</w:t>
            </w:r>
          </w:p>
          <w:p>
            <w:pPr>
              <w:spacing w:line="360" w:lineRule="auto"/>
              <w:rPr>
                <w:rFonts w:ascii="宋体" w:hAnsi="宋体"/>
                <w:sz w:val="22"/>
                <w:szCs w:val="22"/>
                <w:highlight w:val="none"/>
              </w:rPr>
            </w:pPr>
            <w:r>
              <w:rPr>
                <w:rFonts w:ascii="宋体" w:hAnsi="宋体"/>
                <w:sz w:val="22"/>
                <w:szCs w:val="22"/>
                <w:highlight w:val="none"/>
              </w:rPr>
              <w:t>2、履约担保可以采用下列任何一种形式：</w:t>
            </w:r>
          </w:p>
          <w:p>
            <w:pPr>
              <w:spacing w:line="360" w:lineRule="auto"/>
              <w:rPr>
                <w:rFonts w:ascii="宋体" w:hAnsi="宋体"/>
                <w:sz w:val="22"/>
                <w:szCs w:val="22"/>
                <w:highlight w:val="none"/>
              </w:rPr>
            </w:pPr>
            <w:r>
              <w:rPr>
                <w:rFonts w:ascii="宋体" w:hAnsi="宋体"/>
                <w:sz w:val="22"/>
                <w:szCs w:val="22"/>
                <w:highlight w:val="none"/>
              </w:rPr>
              <w:t>2.1</w:t>
            </w:r>
            <w:r>
              <w:rPr>
                <w:rFonts w:hint="eastAsia" w:ascii="宋体" w:hAnsi="宋体"/>
                <w:sz w:val="22"/>
                <w:szCs w:val="22"/>
                <w:highlight w:val="none"/>
              </w:rPr>
              <w:t>银行</w:t>
            </w:r>
            <w:r>
              <w:rPr>
                <w:rFonts w:ascii="宋体" w:hAnsi="宋体"/>
                <w:sz w:val="22"/>
                <w:szCs w:val="22"/>
                <w:highlight w:val="none"/>
              </w:rPr>
              <w:t>履约保函</w:t>
            </w:r>
            <w:r>
              <w:rPr>
                <w:rFonts w:hint="eastAsia" w:ascii="宋体" w:hAnsi="宋体"/>
                <w:sz w:val="22"/>
                <w:szCs w:val="22"/>
                <w:highlight w:val="none"/>
              </w:rPr>
              <w:t>：必须为无条件不可撤保函（</w:t>
            </w:r>
            <w:r>
              <w:rPr>
                <w:rFonts w:hint="eastAsia"/>
                <w:sz w:val="22"/>
                <w:szCs w:val="22"/>
                <w:highlight w:val="none"/>
              </w:rPr>
              <w:t>招标人原则上只接受国有商业银行或股份制商业银行的支行或其他以上级别银行出具的无条件不可撤销的履约保函，保函应为见索即付保函，保函不得附件任何条件。由非东莞市行政区域内的银行出具的银行履约保函需经担保银行所在地公证机关公证）</w:t>
            </w:r>
            <w:r>
              <w:rPr>
                <w:rFonts w:ascii="宋体" w:hAnsi="宋体"/>
                <w:sz w:val="22"/>
                <w:szCs w:val="22"/>
                <w:highlight w:val="none"/>
              </w:rPr>
              <w:t>；</w:t>
            </w:r>
          </w:p>
          <w:p>
            <w:pPr>
              <w:spacing w:line="360" w:lineRule="auto"/>
              <w:rPr>
                <w:rFonts w:ascii="宋体" w:hAnsi="宋体"/>
                <w:sz w:val="22"/>
                <w:szCs w:val="22"/>
                <w:highlight w:val="none"/>
              </w:rPr>
            </w:pPr>
            <w:r>
              <w:rPr>
                <w:rFonts w:ascii="宋体" w:hAnsi="宋体"/>
                <w:sz w:val="22"/>
                <w:szCs w:val="22"/>
                <w:highlight w:val="none"/>
              </w:rPr>
              <w:t>2.2保证金</w:t>
            </w:r>
            <w:r>
              <w:rPr>
                <w:rFonts w:hint="eastAsia" w:ascii="宋体" w:hAnsi="宋体"/>
                <w:sz w:val="22"/>
                <w:szCs w:val="22"/>
                <w:highlight w:val="none"/>
              </w:rPr>
              <w:t>：可采用电汇、银行转帐方式提交，不可以采用现金方式提交。</w:t>
            </w:r>
          </w:p>
          <w:p>
            <w:pPr>
              <w:spacing w:line="360" w:lineRule="auto"/>
              <w:rPr>
                <w:rFonts w:ascii="宋体" w:hAnsi="宋体"/>
                <w:sz w:val="22"/>
                <w:szCs w:val="22"/>
                <w:highlight w:val="none"/>
              </w:rPr>
            </w:pPr>
            <w:r>
              <w:rPr>
                <w:rFonts w:hint="eastAsia" w:ascii="宋体" w:hAnsi="宋体"/>
                <w:sz w:val="22"/>
                <w:szCs w:val="22"/>
                <w:highlight w:val="none"/>
              </w:rPr>
              <w:t>汇入以下履约保证金专用账户：</w:t>
            </w:r>
          </w:p>
          <w:p>
            <w:pPr>
              <w:spacing w:line="360" w:lineRule="auto"/>
              <w:rPr>
                <w:rFonts w:ascii="宋体" w:hAnsi="宋体"/>
                <w:b/>
                <w:sz w:val="22"/>
                <w:szCs w:val="22"/>
                <w:highlight w:val="none"/>
                <w:u w:val="single"/>
              </w:rPr>
            </w:pPr>
            <w:r>
              <w:rPr>
                <w:rFonts w:hint="eastAsia" w:ascii="宋体" w:hAnsi="宋体"/>
                <w:b/>
                <w:sz w:val="22"/>
                <w:szCs w:val="22"/>
                <w:highlight w:val="none"/>
              </w:rPr>
              <w:t>履约保证金账户：</w:t>
            </w:r>
          </w:p>
          <w:p>
            <w:pPr>
              <w:spacing w:line="360" w:lineRule="auto"/>
              <w:rPr>
                <w:rFonts w:ascii="宋体" w:hAnsi="宋体"/>
                <w:sz w:val="22"/>
                <w:highlight w:val="none"/>
                <w:u w:val="single"/>
              </w:rPr>
            </w:pPr>
            <w:r>
              <w:rPr>
                <w:rFonts w:hint="eastAsia" w:ascii="宋体" w:hAnsi="宋体"/>
                <w:sz w:val="22"/>
                <w:szCs w:val="22"/>
                <w:highlight w:val="none"/>
              </w:rPr>
              <w:t>开户名称：</w:t>
            </w:r>
            <w:r>
              <w:rPr>
                <w:rFonts w:hint="eastAsia" w:ascii="宋体" w:hAnsi="宋体"/>
                <w:sz w:val="22"/>
                <w:szCs w:val="22"/>
                <w:highlight w:val="none"/>
                <w:u w:val="single"/>
              </w:rPr>
              <w:t>东莞巴士有限公司</w:t>
            </w:r>
          </w:p>
          <w:p>
            <w:pPr>
              <w:spacing w:line="360" w:lineRule="auto"/>
              <w:rPr>
                <w:rFonts w:ascii="宋体" w:hAnsi="宋体"/>
                <w:sz w:val="22"/>
                <w:szCs w:val="22"/>
                <w:highlight w:val="none"/>
                <w:u w:val="single"/>
              </w:rPr>
            </w:pPr>
            <w:r>
              <w:rPr>
                <w:rFonts w:hint="eastAsia" w:ascii="宋体" w:hAnsi="宋体"/>
                <w:sz w:val="22"/>
                <w:szCs w:val="22"/>
                <w:highlight w:val="none"/>
              </w:rPr>
              <w:t>开户银行：</w:t>
            </w:r>
            <w:r>
              <w:rPr>
                <w:rFonts w:hint="eastAsia" w:ascii="宋体" w:hAnsi="宋体"/>
                <w:sz w:val="22"/>
                <w:szCs w:val="22"/>
                <w:highlight w:val="none"/>
                <w:u w:val="single"/>
              </w:rPr>
              <w:t>中国建设银行东莞南城支行</w:t>
            </w:r>
          </w:p>
          <w:p>
            <w:pPr>
              <w:spacing w:line="400" w:lineRule="exact"/>
              <w:rPr>
                <w:rFonts w:ascii="宋体" w:hAnsi="宋体" w:cs="宋体"/>
                <w:bCs/>
                <w:sz w:val="22"/>
                <w:szCs w:val="22"/>
                <w:highlight w:val="none"/>
              </w:rPr>
            </w:pPr>
            <w:r>
              <w:rPr>
                <w:rFonts w:hint="eastAsia" w:ascii="宋体" w:hAnsi="宋体"/>
                <w:sz w:val="22"/>
                <w:szCs w:val="22"/>
                <w:highlight w:val="none"/>
              </w:rPr>
              <w:t>账</w:t>
            </w:r>
            <w:r>
              <w:rPr>
                <w:rFonts w:ascii="宋体" w:hAnsi="宋体"/>
                <w:sz w:val="22"/>
                <w:szCs w:val="22"/>
                <w:highlight w:val="none"/>
              </w:rPr>
              <w:t xml:space="preserve">    </w:t>
            </w:r>
            <w:r>
              <w:rPr>
                <w:rFonts w:hint="eastAsia" w:ascii="宋体" w:hAnsi="宋体"/>
                <w:sz w:val="22"/>
                <w:szCs w:val="22"/>
                <w:highlight w:val="none"/>
              </w:rPr>
              <w:t>号：</w:t>
            </w:r>
            <w:r>
              <w:rPr>
                <w:rFonts w:ascii="宋体" w:hAnsi="宋体"/>
                <w:sz w:val="22"/>
                <w:szCs w:val="22"/>
                <w:highlight w:val="none"/>
                <w:u w:val="single"/>
              </w:rPr>
              <w:t>44001776040053012176</w:t>
            </w:r>
          </w:p>
        </w:tc>
      </w:tr>
    </w:tbl>
    <w:p>
      <w:pPr>
        <w:rPr>
          <w:rFonts w:ascii="宋体" w:hAnsi="宋体"/>
          <w:spacing w:val="20"/>
          <w:szCs w:val="44"/>
          <w:highlight w:val="none"/>
        </w:rPr>
      </w:pPr>
    </w:p>
    <w:p>
      <w:pPr>
        <w:widowControl/>
        <w:jc w:val="left"/>
        <w:rPr>
          <w:rFonts w:ascii="宋体" w:hAnsi="宋体"/>
          <w:spacing w:val="20"/>
          <w:szCs w:val="44"/>
          <w:highlight w:val="none"/>
        </w:rPr>
      </w:pPr>
      <w:bookmarkStart w:id="6" w:name="_Toc13374"/>
      <w:r>
        <w:rPr>
          <w:rFonts w:ascii="宋体" w:hAnsi="宋体"/>
          <w:spacing w:val="20"/>
          <w:szCs w:val="44"/>
          <w:highlight w:val="none"/>
        </w:rPr>
        <w:br w:type="page"/>
      </w:r>
    </w:p>
    <w:p>
      <w:pPr>
        <w:widowControl/>
        <w:jc w:val="left"/>
        <w:rPr>
          <w:rFonts w:ascii="宋体" w:hAnsi="宋体"/>
          <w:b/>
          <w:spacing w:val="20"/>
          <w:kern w:val="2"/>
          <w:sz w:val="44"/>
          <w:szCs w:val="44"/>
          <w:highlight w:val="none"/>
        </w:rPr>
      </w:pPr>
    </w:p>
    <w:p>
      <w:pPr>
        <w:pStyle w:val="5"/>
        <w:spacing w:before="0" w:after="0" w:line="240" w:lineRule="auto"/>
        <w:ind w:left="230" w:leftChars="115"/>
        <w:rPr>
          <w:rFonts w:ascii="宋体" w:hAnsi="宋体"/>
          <w:spacing w:val="20"/>
          <w:sz w:val="28"/>
          <w:szCs w:val="28"/>
          <w:highlight w:val="none"/>
        </w:rPr>
      </w:pPr>
      <w:r>
        <w:rPr>
          <w:rFonts w:hint="eastAsia" w:ascii="宋体" w:hAnsi="宋体"/>
          <w:spacing w:val="20"/>
          <w:szCs w:val="44"/>
          <w:highlight w:val="none"/>
        </w:rPr>
        <w:t>第三部分</w:t>
      </w:r>
      <w:r>
        <w:rPr>
          <w:rFonts w:ascii="宋体" w:hAnsi="宋体"/>
          <w:spacing w:val="20"/>
          <w:szCs w:val="44"/>
          <w:highlight w:val="none"/>
        </w:rPr>
        <w:t xml:space="preserve"> </w:t>
      </w:r>
      <w:r>
        <w:rPr>
          <w:rFonts w:ascii="宋体" w:hAnsi="宋体"/>
          <w:highlight w:val="none"/>
        </w:rPr>
        <w:t xml:space="preserve">  用户需求书</w:t>
      </w:r>
      <w:bookmarkEnd w:id="6"/>
    </w:p>
    <w:p>
      <w:pPr>
        <w:rPr>
          <w:rFonts w:ascii="宋体" w:hAnsi="宋体"/>
          <w:highlight w:val="none"/>
        </w:rPr>
      </w:pPr>
    </w:p>
    <w:p>
      <w:pPr>
        <w:spacing w:line="360" w:lineRule="auto"/>
        <w:jc w:val="center"/>
        <w:rPr>
          <w:rFonts w:ascii="宋体" w:hAnsi="宋体"/>
          <w:b/>
          <w:sz w:val="30"/>
          <w:szCs w:val="30"/>
          <w:highlight w:val="none"/>
        </w:rPr>
      </w:pPr>
    </w:p>
    <w:p>
      <w:pPr>
        <w:spacing w:line="360" w:lineRule="auto"/>
        <w:jc w:val="center"/>
        <w:rPr>
          <w:rFonts w:ascii="宋体" w:hAnsi="宋体"/>
          <w:b/>
          <w:sz w:val="30"/>
          <w:szCs w:val="30"/>
          <w:highlight w:val="none"/>
        </w:rPr>
      </w:pPr>
    </w:p>
    <w:p>
      <w:pPr>
        <w:spacing w:line="360" w:lineRule="auto"/>
        <w:jc w:val="center"/>
        <w:rPr>
          <w:rFonts w:ascii="宋体" w:hAnsi="宋体"/>
          <w:b/>
          <w:sz w:val="30"/>
          <w:szCs w:val="30"/>
          <w:highlight w:val="none"/>
        </w:rPr>
      </w:pPr>
    </w:p>
    <w:p>
      <w:pPr>
        <w:spacing w:line="360" w:lineRule="auto"/>
        <w:jc w:val="center"/>
        <w:rPr>
          <w:rFonts w:ascii="宋体" w:hAnsi="宋体"/>
          <w:b/>
          <w:sz w:val="30"/>
          <w:szCs w:val="30"/>
          <w:highlight w:val="none"/>
        </w:rPr>
      </w:pPr>
    </w:p>
    <w:p>
      <w:pPr>
        <w:spacing w:line="360" w:lineRule="auto"/>
        <w:jc w:val="center"/>
        <w:rPr>
          <w:rFonts w:ascii="宋体" w:hAnsi="宋体"/>
          <w:b/>
          <w:sz w:val="30"/>
          <w:szCs w:val="30"/>
          <w:highlight w:val="none"/>
        </w:rPr>
      </w:pPr>
    </w:p>
    <w:p>
      <w:pPr>
        <w:spacing w:line="360" w:lineRule="auto"/>
        <w:jc w:val="center"/>
        <w:rPr>
          <w:rFonts w:ascii="宋体" w:hAnsi="宋体"/>
          <w:b/>
          <w:sz w:val="30"/>
          <w:szCs w:val="30"/>
          <w:highlight w:val="none"/>
        </w:rPr>
      </w:pPr>
    </w:p>
    <w:p>
      <w:pPr>
        <w:widowControl/>
        <w:jc w:val="left"/>
        <w:rPr>
          <w:rFonts w:ascii="宋体" w:hAnsi="宋体"/>
          <w:b/>
          <w:sz w:val="30"/>
          <w:szCs w:val="30"/>
          <w:highlight w:val="none"/>
        </w:rPr>
      </w:pPr>
      <w:r>
        <w:rPr>
          <w:rFonts w:ascii="宋体" w:hAnsi="宋体"/>
          <w:b/>
          <w:sz w:val="30"/>
          <w:szCs w:val="30"/>
          <w:highlight w:val="none"/>
        </w:rPr>
        <w:br w:type="page"/>
      </w:r>
    </w:p>
    <w:p>
      <w:pPr>
        <w:spacing w:line="360" w:lineRule="auto"/>
        <w:jc w:val="center"/>
        <w:rPr>
          <w:rFonts w:ascii="宋体" w:hAnsi="宋体"/>
          <w:b/>
          <w:sz w:val="30"/>
          <w:szCs w:val="30"/>
          <w:highlight w:val="none"/>
        </w:rPr>
      </w:pPr>
      <w:r>
        <w:rPr>
          <w:rFonts w:hint="eastAsia" w:ascii="宋体" w:hAnsi="宋体"/>
          <w:b/>
          <w:sz w:val="30"/>
          <w:szCs w:val="30"/>
          <w:highlight w:val="none"/>
        </w:rPr>
        <w:t>用户需求书</w:t>
      </w:r>
    </w:p>
    <w:tbl>
      <w:tblPr>
        <w:tblStyle w:val="44"/>
        <w:tblW w:w="907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35"/>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2435" w:type="dxa"/>
            <w:vAlign w:val="center"/>
          </w:tcPr>
          <w:p>
            <w:pPr>
              <w:spacing w:line="400" w:lineRule="exact"/>
              <w:jc w:val="center"/>
              <w:rPr>
                <w:rFonts w:ascii="宋体" w:hAnsi="宋体"/>
                <w:b/>
                <w:sz w:val="22"/>
                <w:szCs w:val="22"/>
                <w:highlight w:val="none"/>
              </w:rPr>
            </w:pPr>
            <w:r>
              <w:rPr>
                <w:rFonts w:ascii="宋体" w:hAnsi="宋体"/>
                <w:b/>
                <w:sz w:val="22"/>
                <w:szCs w:val="22"/>
                <w:highlight w:val="none"/>
              </w:rPr>
              <w:t>需求名称</w:t>
            </w:r>
          </w:p>
        </w:tc>
        <w:tc>
          <w:tcPr>
            <w:tcW w:w="6641" w:type="dxa"/>
            <w:vAlign w:val="center"/>
          </w:tcPr>
          <w:p>
            <w:pPr>
              <w:spacing w:line="400" w:lineRule="exact"/>
              <w:ind w:leftChars="-1" w:hanging="2"/>
              <w:jc w:val="center"/>
              <w:rPr>
                <w:rFonts w:ascii="宋体" w:hAnsi="宋体"/>
                <w:b/>
                <w:sz w:val="22"/>
                <w:szCs w:val="22"/>
                <w:highlight w:val="none"/>
              </w:rPr>
            </w:pPr>
            <w:r>
              <w:rPr>
                <w:rFonts w:ascii="宋体" w:hAnsi="宋体"/>
                <w:b/>
                <w:sz w:val="22"/>
                <w:szCs w:val="22"/>
                <w:highlight w:val="none"/>
              </w:rPr>
              <w:t>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02" w:hRule="atLeast"/>
          <w:tblCellSpacing w:w="0" w:type="dxa"/>
        </w:trPr>
        <w:tc>
          <w:tcPr>
            <w:tcW w:w="2435" w:type="dxa"/>
            <w:vAlign w:val="center"/>
          </w:tcPr>
          <w:p>
            <w:pPr>
              <w:spacing w:line="400" w:lineRule="exact"/>
              <w:jc w:val="center"/>
              <w:rPr>
                <w:rFonts w:ascii="宋体" w:hAnsi="宋体"/>
                <w:sz w:val="22"/>
                <w:szCs w:val="22"/>
                <w:highlight w:val="none"/>
              </w:rPr>
            </w:pPr>
            <w:r>
              <w:rPr>
                <w:rFonts w:ascii="宋体" w:hAnsi="宋体"/>
                <w:sz w:val="22"/>
                <w:szCs w:val="22"/>
                <w:highlight w:val="none"/>
              </w:rPr>
              <w:t>投标人资格要求</w:t>
            </w:r>
          </w:p>
        </w:tc>
        <w:tc>
          <w:tcPr>
            <w:tcW w:w="6641" w:type="dxa"/>
            <w:vAlign w:val="center"/>
          </w:tcPr>
          <w:p>
            <w:pPr>
              <w:snapToGrid w:val="0"/>
              <w:spacing w:line="360" w:lineRule="auto"/>
              <w:rPr>
                <w:rFonts w:ascii="宋体" w:hAnsi="宋体" w:cs="宋体"/>
                <w:sz w:val="22"/>
                <w:szCs w:val="22"/>
                <w:highlight w:val="none"/>
              </w:rPr>
            </w:pPr>
            <w:r>
              <w:rPr>
                <w:rFonts w:hint="eastAsia" w:ascii="宋体" w:hAnsi="宋体" w:cs="宋体"/>
                <w:sz w:val="22"/>
                <w:szCs w:val="22"/>
                <w:highlight w:val="none"/>
              </w:rPr>
              <w:t>资格条件：</w:t>
            </w:r>
          </w:p>
          <w:p>
            <w:pPr>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w:t>
            </w:r>
            <w:r>
              <w:rPr>
                <w:rFonts w:ascii="宋体" w:hAnsi="宋体" w:cs="宋体"/>
                <w:sz w:val="22"/>
                <w:szCs w:val="22"/>
                <w:highlight w:val="none"/>
              </w:rPr>
              <w:t>1）中华人民共和国境内注册的有合法经营资格的国内独立法人或其他组织（提供相关证明材料复印件加盖公章）；</w:t>
            </w:r>
          </w:p>
          <w:p>
            <w:pPr>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w:t>
            </w:r>
            <w:r>
              <w:rPr>
                <w:rFonts w:ascii="宋体" w:hAnsi="宋体" w:cs="宋体"/>
                <w:sz w:val="22"/>
                <w:szCs w:val="22"/>
                <w:highlight w:val="none"/>
              </w:rPr>
              <w:t>2）投标人未被列入“信用中国”网站(www.creditchina.gov.cn)“记录失信被执行人或重大税收违法案件当事人名单或政府采购严重违法失信名单”记录名单；不处于中国政府采购网(www.ccgp.gov.cn)“政府采购严重违法失信行信息记录”中的禁止参加政府采购活动期间（处罚期限届满的除外）。（以采购代理机构于投标截止日当天在“信用中国”网站及中国政府采购网查询结果为准，同时对信用信息查询记录和证据进行打印存档）；</w:t>
            </w:r>
          </w:p>
          <w:p>
            <w:pPr>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w:t>
            </w:r>
            <w:r>
              <w:rPr>
                <w:rFonts w:ascii="宋体" w:hAnsi="宋体" w:cs="宋体"/>
                <w:sz w:val="22"/>
                <w:szCs w:val="22"/>
                <w:highlight w:val="none"/>
              </w:rPr>
              <w:t>3</w:t>
            </w:r>
            <w:r>
              <w:rPr>
                <w:rFonts w:hint="eastAsia" w:ascii="宋体" w:hAnsi="宋体" w:cs="宋体"/>
                <w:sz w:val="22"/>
                <w:szCs w:val="22"/>
                <w:highlight w:val="none"/>
              </w:rPr>
              <w:t>）投标人未被列入“中国执行信息公开网”失信被执行人；不存在大额诉讼或多宗诉讼或其他违法、违约等影响本次招标项目正常履行的情况；投标人或其关联公司未曾与东莞市交通投资集团有限公司及其下属企业在签订合同的履约过程中，因投标人或其关联公司严重违约而致使合同变更、中止、解除的；截至本项目开标之日签，投标人或其关联公司并没有正在与东莞市交通投资集团有限公司及其下属企业发生诉讼的；不存在法院判决或仲裁裁决认定投标人或其关联公司在与东莞市交通投资集团有限公司及其下属企业履约过程中存在违约责任或过失责任。（以投标人在投标文件中附的《投标人资格承诺》为准）</w:t>
            </w:r>
          </w:p>
          <w:p>
            <w:pPr>
              <w:snapToGrid w:val="0"/>
              <w:spacing w:line="360" w:lineRule="auto"/>
              <w:ind w:firstLine="440" w:firstLineChars="200"/>
              <w:rPr>
                <w:rFonts w:ascii="宋体" w:hAnsi="宋体" w:cs="宋体"/>
                <w:b/>
                <w:sz w:val="22"/>
                <w:szCs w:val="22"/>
                <w:highlight w:val="none"/>
              </w:rPr>
            </w:pPr>
            <w:r>
              <w:rPr>
                <w:rFonts w:hint="eastAsia" w:ascii="宋体" w:hAnsi="宋体" w:cs="宋体"/>
                <w:sz w:val="22"/>
                <w:szCs w:val="22"/>
                <w:highlight w:val="none"/>
              </w:rPr>
              <w:t>（</w:t>
            </w:r>
            <w:r>
              <w:rPr>
                <w:rFonts w:ascii="宋体" w:hAnsi="宋体" w:cs="宋体"/>
                <w:sz w:val="22"/>
                <w:szCs w:val="22"/>
                <w:highlight w:val="none"/>
              </w:rPr>
              <w:t>4</w:t>
            </w:r>
            <w:r>
              <w:rPr>
                <w:rFonts w:hint="eastAsia" w:ascii="宋体" w:hAnsi="宋体" w:cs="宋体"/>
                <w:sz w:val="22"/>
                <w:szCs w:val="22"/>
                <w:highlight w:val="none"/>
              </w:rPr>
              <w:t>）本项目接受联合体投标。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2" w:hRule="atLeast"/>
          <w:tblCellSpacing w:w="0" w:type="dxa"/>
        </w:trPr>
        <w:tc>
          <w:tcPr>
            <w:tcW w:w="2435" w:type="dxa"/>
            <w:vAlign w:val="center"/>
          </w:tcPr>
          <w:p>
            <w:pPr>
              <w:spacing w:line="400" w:lineRule="exact"/>
              <w:jc w:val="center"/>
              <w:rPr>
                <w:rFonts w:ascii="宋体" w:hAnsi="宋体"/>
                <w:sz w:val="22"/>
                <w:szCs w:val="22"/>
                <w:highlight w:val="none"/>
              </w:rPr>
            </w:pPr>
            <w:r>
              <w:rPr>
                <w:rFonts w:hint="eastAsia" w:ascii="宋体" w:hAnsi="宋体"/>
                <w:sz w:val="22"/>
                <w:szCs w:val="22"/>
                <w:highlight w:val="none"/>
              </w:rPr>
              <w:t>★服务期限</w:t>
            </w:r>
          </w:p>
        </w:tc>
        <w:tc>
          <w:tcPr>
            <w:tcW w:w="6641" w:type="dxa"/>
            <w:shd w:val="clear" w:color="auto" w:fill="auto"/>
            <w:vAlign w:val="center"/>
          </w:tcPr>
          <w:p>
            <w:pPr>
              <w:spacing w:line="400" w:lineRule="exact"/>
              <w:ind w:left="88" w:leftChars="44"/>
              <w:rPr>
                <w:rFonts w:ascii="宋体" w:hAnsi="宋体"/>
                <w:sz w:val="22"/>
                <w:szCs w:val="22"/>
                <w:highlight w:val="none"/>
                <w:lang w:val="zh-CN"/>
              </w:rPr>
            </w:pPr>
            <w:r>
              <w:rPr>
                <w:rFonts w:ascii="宋体" w:hAnsi="宋体"/>
                <w:sz w:val="22"/>
                <w:szCs w:val="22"/>
                <w:highlight w:val="none"/>
                <w:lang w:val="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2" w:hRule="atLeast"/>
          <w:tblCellSpacing w:w="0" w:type="dxa"/>
        </w:trPr>
        <w:tc>
          <w:tcPr>
            <w:tcW w:w="2435" w:type="dxa"/>
            <w:vAlign w:val="center"/>
          </w:tcPr>
          <w:p>
            <w:pPr>
              <w:spacing w:line="400" w:lineRule="exact"/>
              <w:jc w:val="center"/>
              <w:rPr>
                <w:rFonts w:ascii="宋体" w:hAnsi="宋体"/>
                <w:sz w:val="22"/>
                <w:szCs w:val="22"/>
                <w:highlight w:val="none"/>
              </w:rPr>
            </w:pPr>
            <w:r>
              <w:rPr>
                <w:rFonts w:hint="eastAsia" w:ascii="宋体" w:hAnsi="宋体"/>
                <w:sz w:val="22"/>
                <w:szCs w:val="22"/>
                <w:highlight w:val="none"/>
              </w:rPr>
              <w:t>★</w:t>
            </w:r>
            <w:r>
              <w:rPr>
                <w:rFonts w:ascii="宋体" w:hAnsi="宋体"/>
                <w:sz w:val="22"/>
                <w:szCs w:val="22"/>
                <w:highlight w:val="none"/>
              </w:rPr>
              <w:t>报价</w:t>
            </w:r>
            <w:r>
              <w:rPr>
                <w:rFonts w:hint="eastAsia" w:ascii="宋体" w:hAnsi="宋体"/>
                <w:sz w:val="22"/>
                <w:szCs w:val="22"/>
                <w:highlight w:val="none"/>
              </w:rPr>
              <w:t>方式</w:t>
            </w:r>
          </w:p>
        </w:tc>
        <w:tc>
          <w:tcPr>
            <w:tcW w:w="6641" w:type="dxa"/>
            <w:shd w:val="clear" w:color="auto" w:fill="auto"/>
            <w:vAlign w:val="center"/>
          </w:tcPr>
          <w:p>
            <w:pPr>
              <w:spacing w:line="400" w:lineRule="exact"/>
              <w:ind w:left="88" w:leftChars="44"/>
              <w:rPr>
                <w:rFonts w:ascii="宋体" w:hAnsi="宋体"/>
                <w:sz w:val="22"/>
                <w:szCs w:val="22"/>
                <w:highlight w:val="none"/>
                <w:lang w:val="zh-CN"/>
              </w:rPr>
            </w:pPr>
            <w:r>
              <w:rPr>
                <w:rFonts w:ascii="宋体" w:hAnsi="宋体"/>
                <w:sz w:val="22"/>
                <w:szCs w:val="22"/>
                <w:highlight w:val="none"/>
                <w:lang w:val="zh-CN"/>
              </w:rPr>
              <w:t>1.投标人报价以人民币为准，投标报价应包含履行合同所有相关服务所需的费用、税金。</w:t>
            </w:r>
          </w:p>
          <w:p>
            <w:pPr>
              <w:spacing w:line="400" w:lineRule="exact"/>
              <w:ind w:left="88" w:leftChars="44"/>
              <w:rPr>
                <w:rFonts w:ascii="宋体" w:hAnsi="宋体"/>
                <w:sz w:val="22"/>
                <w:szCs w:val="22"/>
                <w:highlight w:val="none"/>
                <w:lang w:val="zh-CN"/>
              </w:rPr>
            </w:pPr>
            <w:r>
              <w:rPr>
                <w:rFonts w:ascii="宋体" w:hAnsi="宋体"/>
                <w:sz w:val="22"/>
                <w:szCs w:val="22"/>
                <w:highlight w:val="none"/>
                <w:lang w:val="zh-CN"/>
              </w:rPr>
              <w:t>2.不能在报价之外还有其他费用出现。</w:t>
            </w:r>
          </w:p>
          <w:p>
            <w:pPr>
              <w:spacing w:line="400" w:lineRule="exact"/>
              <w:ind w:left="88" w:leftChars="44"/>
              <w:rPr>
                <w:rFonts w:ascii="宋体" w:hAnsi="宋体"/>
                <w:sz w:val="22"/>
                <w:szCs w:val="22"/>
                <w:highlight w:val="none"/>
                <w:lang w:val="zh-CN"/>
              </w:rPr>
            </w:pPr>
            <w:r>
              <w:rPr>
                <w:rFonts w:ascii="宋体" w:hAnsi="宋体"/>
                <w:sz w:val="22"/>
                <w:szCs w:val="22"/>
                <w:highlight w:val="none"/>
                <w:lang w:val="zh-CN"/>
              </w:rPr>
              <w:t>3.投标人报价为合同期内固定不变金额。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tblCellSpacing w:w="0" w:type="dxa"/>
        </w:trPr>
        <w:tc>
          <w:tcPr>
            <w:tcW w:w="2435" w:type="dxa"/>
            <w:vAlign w:val="center"/>
          </w:tcPr>
          <w:p>
            <w:pPr>
              <w:spacing w:line="400" w:lineRule="exact"/>
              <w:jc w:val="center"/>
              <w:rPr>
                <w:rFonts w:ascii="宋体" w:hAnsi="宋体"/>
                <w:sz w:val="22"/>
                <w:szCs w:val="22"/>
                <w:highlight w:val="none"/>
              </w:rPr>
            </w:pPr>
            <w:r>
              <w:rPr>
                <w:rFonts w:hint="eastAsia" w:ascii="宋体" w:hAnsi="宋体"/>
                <w:sz w:val="22"/>
                <w:szCs w:val="22"/>
                <w:highlight w:val="none"/>
              </w:rPr>
              <w:t>★付款方法和条件</w:t>
            </w:r>
          </w:p>
        </w:tc>
        <w:tc>
          <w:tcPr>
            <w:tcW w:w="6641" w:type="dxa"/>
            <w:vAlign w:val="center"/>
          </w:tcPr>
          <w:p>
            <w:pPr>
              <w:spacing w:line="400" w:lineRule="exact"/>
              <w:ind w:left="88" w:leftChars="44"/>
              <w:rPr>
                <w:rFonts w:ascii="宋体" w:hAnsi="宋体"/>
                <w:sz w:val="22"/>
                <w:szCs w:val="22"/>
                <w:highlight w:val="none"/>
              </w:rPr>
            </w:pPr>
            <w:r>
              <w:rPr>
                <w:rFonts w:hint="eastAsia" w:ascii="宋体" w:hAnsi="宋体"/>
                <w:sz w:val="22"/>
                <w:szCs w:val="22"/>
                <w:highlight w:val="none"/>
              </w:rPr>
              <w:t>详见本项目用户需求。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trPr>
        <w:tc>
          <w:tcPr>
            <w:tcW w:w="2435" w:type="dxa"/>
            <w:vAlign w:val="center"/>
          </w:tcPr>
          <w:p>
            <w:pPr>
              <w:spacing w:line="400" w:lineRule="exact"/>
              <w:jc w:val="center"/>
              <w:rPr>
                <w:rFonts w:ascii="宋体" w:hAnsi="宋体"/>
                <w:sz w:val="22"/>
                <w:szCs w:val="22"/>
                <w:highlight w:val="none"/>
              </w:rPr>
            </w:pPr>
            <w:r>
              <w:rPr>
                <w:rFonts w:hint="eastAsia" w:ascii="宋体" w:hAnsi="宋体"/>
                <w:sz w:val="22"/>
                <w:szCs w:val="22"/>
                <w:highlight w:val="none"/>
              </w:rPr>
              <w:t>★</w:t>
            </w:r>
            <w:r>
              <w:rPr>
                <w:rFonts w:ascii="宋体" w:hAnsi="宋体"/>
                <w:sz w:val="22"/>
                <w:szCs w:val="22"/>
                <w:highlight w:val="none"/>
              </w:rPr>
              <w:t>投标有效期</w:t>
            </w:r>
          </w:p>
        </w:tc>
        <w:tc>
          <w:tcPr>
            <w:tcW w:w="6641" w:type="dxa"/>
            <w:vAlign w:val="center"/>
          </w:tcPr>
          <w:p>
            <w:pPr>
              <w:spacing w:line="400" w:lineRule="exact"/>
              <w:ind w:left="88" w:leftChars="44"/>
              <w:rPr>
                <w:rFonts w:ascii="宋体" w:hAnsi="宋体"/>
                <w:sz w:val="22"/>
                <w:szCs w:val="22"/>
                <w:highlight w:val="none"/>
                <w:lang w:val="zh-CN"/>
              </w:rPr>
            </w:pPr>
            <w:r>
              <w:rPr>
                <w:rFonts w:ascii="宋体" w:hAnsi="宋体"/>
                <w:sz w:val="22"/>
                <w:szCs w:val="22"/>
                <w:highlight w:val="none"/>
                <w:lang w:val="zh-CN"/>
              </w:rPr>
              <w:t>自开标日起90个日历日。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trPr>
        <w:tc>
          <w:tcPr>
            <w:tcW w:w="2435" w:type="dxa"/>
            <w:vAlign w:val="center"/>
          </w:tcPr>
          <w:p>
            <w:pPr>
              <w:spacing w:line="400" w:lineRule="exact"/>
              <w:jc w:val="center"/>
              <w:rPr>
                <w:rFonts w:ascii="宋体" w:hAnsi="宋体"/>
                <w:sz w:val="22"/>
                <w:szCs w:val="22"/>
                <w:highlight w:val="none"/>
              </w:rPr>
            </w:pPr>
            <w:r>
              <w:rPr>
                <w:rFonts w:hint="eastAsia" w:ascii="宋体" w:hAnsi="宋体"/>
                <w:sz w:val="22"/>
                <w:szCs w:val="22"/>
                <w:highlight w:val="none"/>
              </w:rPr>
              <w:t>合同条款</w:t>
            </w:r>
          </w:p>
        </w:tc>
        <w:tc>
          <w:tcPr>
            <w:tcW w:w="6641" w:type="dxa"/>
            <w:vAlign w:val="center"/>
          </w:tcPr>
          <w:p>
            <w:pPr>
              <w:spacing w:line="400" w:lineRule="exact"/>
              <w:ind w:left="88" w:leftChars="44"/>
              <w:rPr>
                <w:rFonts w:ascii="宋体" w:hAnsi="宋体"/>
                <w:sz w:val="22"/>
                <w:szCs w:val="22"/>
                <w:highlight w:val="none"/>
              </w:rPr>
            </w:pPr>
            <w:r>
              <w:rPr>
                <w:rFonts w:ascii="宋体" w:hAnsi="宋体" w:cs="宋体"/>
                <w:sz w:val="22"/>
                <w:szCs w:val="22"/>
                <w:highlight w:val="none"/>
              </w:rPr>
              <w:t>投标人实质响应合同各条款</w:t>
            </w:r>
            <w:r>
              <w:rPr>
                <w:rFonts w:hint="eastAsia" w:ascii="宋体" w:hAnsi="宋体" w:cs="宋体"/>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CellSpacing w:w="0" w:type="dxa"/>
        </w:trPr>
        <w:tc>
          <w:tcPr>
            <w:tcW w:w="2435" w:type="dxa"/>
            <w:vAlign w:val="center"/>
          </w:tcPr>
          <w:p>
            <w:pPr>
              <w:spacing w:line="400" w:lineRule="exact"/>
              <w:jc w:val="center"/>
              <w:rPr>
                <w:rFonts w:ascii="宋体" w:hAnsi="宋体"/>
                <w:sz w:val="22"/>
                <w:szCs w:val="22"/>
                <w:highlight w:val="none"/>
              </w:rPr>
            </w:pPr>
            <w:r>
              <w:rPr>
                <w:rFonts w:ascii="宋体" w:hAnsi="宋体"/>
                <w:sz w:val="22"/>
                <w:szCs w:val="22"/>
                <w:highlight w:val="none"/>
              </w:rPr>
              <w:t>重要说明</w:t>
            </w:r>
          </w:p>
        </w:tc>
        <w:tc>
          <w:tcPr>
            <w:tcW w:w="6641" w:type="dxa"/>
            <w:vAlign w:val="center"/>
          </w:tcPr>
          <w:p>
            <w:pPr>
              <w:spacing w:line="400" w:lineRule="exact"/>
              <w:ind w:left="88" w:leftChars="44"/>
              <w:rPr>
                <w:rFonts w:ascii="宋体" w:hAnsi="宋体"/>
                <w:sz w:val="22"/>
                <w:szCs w:val="22"/>
                <w:highlight w:val="none"/>
                <w:lang w:val="zh-CN"/>
              </w:rPr>
            </w:pPr>
            <w:r>
              <w:rPr>
                <w:rFonts w:ascii="宋体" w:hAnsi="宋体"/>
                <w:sz w:val="22"/>
                <w:szCs w:val="22"/>
                <w:highlight w:val="none"/>
                <w:lang w:val="zh-CN"/>
              </w:rPr>
              <w:t>招标文件中标注“</w:t>
            </w:r>
            <w:r>
              <w:rPr>
                <w:rFonts w:hint="eastAsia" w:ascii="宋体" w:hAnsi="宋体"/>
                <w:sz w:val="22"/>
                <w:szCs w:val="22"/>
                <w:highlight w:val="none"/>
                <w:lang w:val="zh-CN"/>
              </w:rPr>
              <w:t>★</w:t>
            </w:r>
            <w:r>
              <w:rPr>
                <w:rFonts w:ascii="宋体" w:hAnsi="宋体"/>
                <w:sz w:val="22"/>
                <w:szCs w:val="22"/>
                <w:highlight w:val="none"/>
                <w:lang w:val="zh-CN"/>
              </w:rPr>
              <w:t>”号的为重要要求或关键指标，对这些重要要求或关键指标的任何偏离或不满足将导致废标。</w:t>
            </w:r>
          </w:p>
        </w:tc>
      </w:tr>
    </w:tbl>
    <w:p>
      <w:pPr>
        <w:spacing w:line="360" w:lineRule="auto"/>
        <w:jc w:val="center"/>
        <w:rPr>
          <w:rFonts w:ascii="宋体" w:hAnsi="宋体"/>
          <w:b/>
          <w:sz w:val="22"/>
          <w:szCs w:val="22"/>
          <w:highlight w:val="none"/>
        </w:rPr>
      </w:pPr>
    </w:p>
    <w:p>
      <w:pPr>
        <w:pStyle w:val="148"/>
        <w:keepNext w:val="0"/>
        <w:spacing w:after="0" w:line="440" w:lineRule="exact"/>
        <w:ind w:firstLine="442" w:firstLineChars="200"/>
        <w:jc w:val="left"/>
        <w:rPr>
          <w:rFonts w:ascii="宋体" w:hAnsi="宋体" w:cs="宋体"/>
          <w:b/>
          <w:sz w:val="22"/>
          <w:szCs w:val="22"/>
          <w:highlight w:val="none"/>
        </w:rPr>
      </w:pPr>
      <w:r>
        <w:rPr>
          <w:rFonts w:hint="eastAsia" w:ascii="宋体" w:hAnsi="宋体" w:cs="宋体"/>
          <w:b/>
          <w:sz w:val="22"/>
          <w:szCs w:val="22"/>
          <w:highlight w:val="none"/>
        </w:rPr>
        <w:t>一、企业简介</w:t>
      </w:r>
    </w:p>
    <w:p>
      <w:pPr>
        <w:pStyle w:val="148"/>
        <w:keepNext w:val="0"/>
        <w:spacing w:after="0" w:line="440" w:lineRule="exact"/>
        <w:ind w:firstLine="440" w:firstLineChars="200"/>
        <w:jc w:val="left"/>
        <w:rPr>
          <w:rFonts w:ascii="宋体" w:hAnsi="宋体" w:cs="宋体"/>
          <w:b/>
          <w:sz w:val="22"/>
          <w:szCs w:val="22"/>
          <w:highlight w:val="none"/>
        </w:rPr>
      </w:pPr>
      <w:r>
        <w:rPr>
          <w:rFonts w:hint="eastAsia" w:ascii="宋体" w:hAnsi="宋体" w:cs="宋体"/>
          <w:sz w:val="22"/>
          <w:szCs w:val="22"/>
          <w:highlight w:val="none"/>
          <w:shd w:val="clear" w:color="auto" w:fill="FFFFFF"/>
        </w:rPr>
        <w:t>东莞巴士有限公司是东莞市交通投资集团有限公司全资设立的国有企业，于</w:t>
      </w:r>
      <w:r>
        <w:rPr>
          <w:rFonts w:ascii="宋体" w:hAnsi="宋体" w:cs="宋体"/>
          <w:sz w:val="22"/>
          <w:szCs w:val="22"/>
          <w:highlight w:val="none"/>
          <w:shd w:val="clear" w:color="auto" w:fill="FFFFFF"/>
        </w:rPr>
        <w:t xml:space="preserve">2014年4月21日注册成立，主要负责东莞市跨镇及中心城区公交资源整合和运营服务。公司以“服务市民、维护形象”为企业宗旨，致力于为市民提供安全、便捷、环保、舒适的公交服务，改善东莞公交经营状况，维护城市形象。按照东莞市公交体制改革的整体部署，公司未来将组建以国有控股、民营参与的混合型经济主体运营全市跨镇公交线路，成为东莞市公交经营市场的核心企业。 </w:t>
      </w:r>
      <w:r>
        <w:rPr>
          <w:rFonts w:hint="eastAsia" w:ascii="宋体" w:hAnsi="宋体" w:cs="宋体"/>
          <w:sz w:val="22"/>
          <w:szCs w:val="22"/>
          <w:highlight w:val="none"/>
          <w:shd w:val="clear" w:color="auto" w:fill="FFFFFF"/>
        </w:rPr>
        <w:t>目前公司下设东部分公司，并控股东莞市城巴运输有限公司、东莞市滨海湾公共交通有限公司、东莞市松山湖公共交通有限公司、东莞市小巴运输有限公司。根据东莞市人民政府关于印发《东莞市蓝天保卫战行动方案》的通知要求，我司于</w:t>
      </w:r>
      <w:r>
        <w:rPr>
          <w:rFonts w:ascii="宋体" w:hAnsi="宋体" w:cs="宋体"/>
          <w:sz w:val="22"/>
          <w:szCs w:val="22"/>
          <w:highlight w:val="none"/>
          <w:shd w:val="clear" w:color="auto" w:fill="FFFFFF"/>
        </w:rPr>
        <w:t>2019年年底完成公交车辆100%纯电动化，目前在线运营纯电动公交车辆共计5596辆。</w:t>
      </w:r>
    </w:p>
    <w:p>
      <w:pPr>
        <w:pStyle w:val="148"/>
        <w:keepNext w:val="0"/>
        <w:spacing w:after="0" w:line="440" w:lineRule="exact"/>
        <w:ind w:firstLine="442" w:firstLineChars="200"/>
        <w:jc w:val="left"/>
        <w:rPr>
          <w:rFonts w:ascii="宋体" w:hAnsi="宋体" w:cs="宋体"/>
          <w:b/>
          <w:bCs/>
          <w:sz w:val="22"/>
          <w:szCs w:val="22"/>
          <w:highlight w:val="none"/>
        </w:rPr>
      </w:pPr>
      <w:r>
        <w:rPr>
          <w:rFonts w:hint="eastAsia" w:ascii="宋体" w:hAnsi="宋体" w:cs="宋体"/>
          <w:b/>
          <w:bCs/>
          <w:sz w:val="22"/>
          <w:szCs w:val="22"/>
          <w:highlight w:val="none"/>
        </w:rPr>
        <w:t>二</w:t>
      </w:r>
      <w:r>
        <w:rPr>
          <w:rFonts w:ascii="宋体" w:hAnsi="宋体" w:cs="宋体"/>
          <w:b/>
          <w:bCs/>
          <w:sz w:val="22"/>
          <w:szCs w:val="22"/>
          <w:highlight w:val="none"/>
        </w:rPr>
        <w:t>、</w:t>
      </w:r>
      <w:r>
        <w:rPr>
          <w:rFonts w:hint="eastAsia" w:ascii="宋体" w:hAnsi="宋体" w:cs="宋体"/>
          <w:b/>
          <w:bCs/>
          <w:sz w:val="22"/>
          <w:szCs w:val="22"/>
          <w:highlight w:val="none"/>
        </w:rPr>
        <w:t>报价</w:t>
      </w:r>
      <w:r>
        <w:rPr>
          <w:rFonts w:ascii="宋体" w:hAnsi="宋体" w:cs="宋体"/>
          <w:b/>
          <w:bCs/>
          <w:sz w:val="22"/>
          <w:szCs w:val="22"/>
          <w:highlight w:val="none"/>
        </w:rPr>
        <w:t>要求</w:t>
      </w:r>
    </w:p>
    <w:p>
      <w:pPr>
        <w:pStyle w:val="148"/>
        <w:keepNext w:val="0"/>
        <w:spacing w:after="0" w:line="440" w:lineRule="exact"/>
        <w:ind w:firstLine="440" w:firstLineChars="200"/>
        <w:jc w:val="left"/>
        <w:rPr>
          <w:rFonts w:ascii="宋体" w:hAnsi="宋体" w:cs="宋体"/>
          <w:sz w:val="22"/>
          <w:szCs w:val="22"/>
          <w:highlight w:val="none"/>
          <w:shd w:val="clear" w:color="auto" w:fill="FFFFFF"/>
        </w:rPr>
      </w:pPr>
      <w:r>
        <w:rPr>
          <w:rFonts w:hint="eastAsia" w:ascii="宋体" w:hAnsi="宋体" w:cs="宋体"/>
          <w:sz w:val="22"/>
          <w:szCs w:val="22"/>
          <w:highlight w:val="none"/>
          <w:shd w:val="clear" w:color="auto" w:fill="FFFFFF"/>
        </w:rPr>
        <w:t>本项目</w:t>
      </w:r>
      <w:r>
        <w:rPr>
          <w:rFonts w:ascii="宋体" w:hAnsi="宋体" w:cs="宋体"/>
          <w:sz w:val="22"/>
          <w:szCs w:val="22"/>
          <w:highlight w:val="none"/>
          <w:shd w:val="clear" w:color="auto" w:fill="FFFFFF"/>
        </w:rPr>
        <w:t>按照</w:t>
      </w:r>
      <w:r>
        <w:rPr>
          <w:rFonts w:hint="eastAsia" w:ascii="宋体" w:hAnsi="宋体" w:cs="宋体"/>
          <w:sz w:val="22"/>
          <w:szCs w:val="22"/>
          <w:highlight w:val="none"/>
          <w:shd w:val="clear" w:color="auto" w:fill="FFFFFF"/>
        </w:rPr>
        <w:t>仅提供充电服务（由中标人提供充电桩建设、充电运营及车辆摆渡服务，但不提供场站停车服务）和“充电</w:t>
      </w:r>
      <w:r>
        <w:rPr>
          <w:rFonts w:ascii="宋体" w:hAnsi="宋体" w:cs="宋体"/>
          <w:sz w:val="22"/>
          <w:szCs w:val="22"/>
          <w:highlight w:val="none"/>
          <w:shd w:val="clear" w:color="auto" w:fill="FFFFFF"/>
        </w:rPr>
        <w:t>+</w:t>
      </w:r>
      <w:r>
        <w:rPr>
          <w:rFonts w:hint="eastAsia" w:ascii="宋体" w:hAnsi="宋体" w:cs="宋体"/>
          <w:sz w:val="22"/>
          <w:szCs w:val="22"/>
          <w:highlight w:val="none"/>
          <w:shd w:val="clear" w:color="auto" w:fill="FFFFFF"/>
        </w:rPr>
        <w:t>夜间停场”服务（由中标人提供场站停车服务、充电桩建设、充电运营及车辆摆渡服务）</w:t>
      </w:r>
      <w:r>
        <w:rPr>
          <w:rFonts w:ascii="宋体" w:hAnsi="宋体" w:cs="宋体"/>
          <w:sz w:val="22"/>
          <w:szCs w:val="22"/>
          <w:highlight w:val="none"/>
          <w:shd w:val="clear" w:color="auto" w:fill="FFFFFF"/>
        </w:rPr>
        <w:t>两种</w:t>
      </w:r>
      <w:r>
        <w:rPr>
          <w:rFonts w:hint="eastAsia" w:ascii="宋体" w:hAnsi="宋体" w:cs="宋体"/>
          <w:sz w:val="22"/>
          <w:szCs w:val="22"/>
          <w:highlight w:val="none"/>
          <w:shd w:val="clear" w:color="auto" w:fill="FFFFFF"/>
        </w:rPr>
        <w:t>模式</w:t>
      </w:r>
      <w:r>
        <w:rPr>
          <w:rFonts w:ascii="宋体" w:hAnsi="宋体" w:cs="宋体"/>
          <w:sz w:val="22"/>
          <w:szCs w:val="22"/>
          <w:highlight w:val="none"/>
          <w:shd w:val="clear" w:color="auto" w:fill="FFFFFF"/>
        </w:rPr>
        <w:t>确定预算单价</w:t>
      </w:r>
      <w:r>
        <w:rPr>
          <w:rFonts w:hint="eastAsia" w:ascii="宋体" w:hAnsi="宋体" w:cs="宋体"/>
          <w:sz w:val="22"/>
          <w:szCs w:val="22"/>
          <w:highlight w:val="none"/>
          <w:shd w:val="clear" w:color="auto" w:fill="FFFFFF"/>
        </w:rPr>
        <w:t>，</w:t>
      </w:r>
      <w:r>
        <w:rPr>
          <w:rFonts w:ascii="宋体" w:hAnsi="宋体" w:cs="宋体"/>
          <w:sz w:val="22"/>
          <w:szCs w:val="22"/>
          <w:highlight w:val="none"/>
          <w:shd w:val="clear" w:color="auto" w:fill="FFFFFF"/>
        </w:rPr>
        <w:t>参与本项目投标的供应商其所报单价不能超过</w:t>
      </w:r>
      <w:r>
        <w:rPr>
          <w:rFonts w:hint="eastAsia" w:ascii="宋体" w:hAnsi="宋体" w:cs="宋体"/>
          <w:sz w:val="22"/>
          <w:szCs w:val="22"/>
          <w:highlight w:val="none"/>
          <w:shd w:val="clear" w:color="auto" w:fill="FFFFFF"/>
        </w:rPr>
        <w:t>下述</w:t>
      </w:r>
      <w:r>
        <w:rPr>
          <w:rFonts w:ascii="宋体" w:hAnsi="宋体" w:cs="宋体"/>
          <w:sz w:val="22"/>
          <w:szCs w:val="22"/>
          <w:highlight w:val="none"/>
          <w:shd w:val="clear" w:color="auto" w:fill="FFFFFF"/>
        </w:rPr>
        <w:t>预算单价，否则报价无效</w:t>
      </w:r>
      <w:r>
        <w:rPr>
          <w:rFonts w:hint="eastAsia" w:ascii="宋体" w:hAnsi="宋体" w:cs="宋体"/>
          <w:sz w:val="22"/>
          <w:szCs w:val="22"/>
          <w:highlight w:val="none"/>
          <w:shd w:val="clear" w:color="auto" w:fill="FFFFFF"/>
        </w:rPr>
        <w:t>。</w:t>
      </w:r>
      <w:r>
        <w:rPr>
          <w:rFonts w:ascii="宋体" w:hAnsi="宋体" w:cs="宋体"/>
          <w:sz w:val="22"/>
          <w:szCs w:val="22"/>
          <w:highlight w:val="none"/>
          <w:shd w:val="clear" w:color="auto" w:fill="FFFFFF"/>
        </w:rPr>
        <w:t>具体</w:t>
      </w:r>
      <w:r>
        <w:rPr>
          <w:rFonts w:hint="eastAsia" w:ascii="宋体" w:hAnsi="宋体" w:cs="宋体"/>
          <w:sz w:val="22"/>
          <w:szCs w:val="22"/>
          <w:highlight w:val="none"/>
          <w:shd w:val="clear" w:color="auto" w:fill="FFFFFF"/>
        </w:rPr>
        <w:t>预算</w:t>
      </w:r>
      <w:r>
        <w:rPr>
          <w:rFonts w:ascii="宋体" w:hAnsi="宋体" w:cs="宋体"/>
          <w:sz w:val="22"/>
          <w:szCs w:val="22"/>
          <w:highlight w:val="none"/>
          <w:shd w:val="clear" w:color="auto" w:fill="FFFFFF"/>
        </w:rPr>
        <w:t>单价如下：</w:t>
      </w:r>
    </w:p>
    <w:p>
      <w:pPr>
        <w:pStyle w:val="148"/>
        <w:keepNext w:val="0"/>
        <w:spacing w:after="0" w:line="440" w:lineRule="exact"/>
        <w:ind w:firstLine="440" w:firstLineChars="200"/>
        <w:jc w:val="left"/>
        <w:rPr>
          <w:rFonts w:ascii="宋体" w:hAnsi="宋体" w:cs="宋体"/>
          <w:sz w:val="22"/>
          <w:szCs w:val="22"/>
          <w:highlight w:val="none"/>
          <w:shd w:val="clear" w:color="auto" w:fill="FFFFFF"/>
        </w:rPr>
      </w:pPr>
      <w:r>
        <w:rPr>
          <w:rFonts w:ascii="宋体" w:hAnsi="宋体" w:cs="宋体"/>
          <w:sz w:val="22"/>
          <w:szCs w:val="22"/>
          <w:highlight w:val="none"/>
          <w:shd w:val="clear" w:color="auto" w:fill="FFFFFF"/>
        </w:rPr>
        <w:t>1.</w:t>
      </w:r>
      <w:r>
        <w:rPr>
          <w:rFonts w:hint="eastAsia" w:ascii="宋体" w:hAnsi="宋体" w:cs="宋体"/>
          <w:sz w:val="22"/>
          <w:szCs w:val="22"/>
          <w:highlight w:val="none"/>
          <w:shd w:val="clear" w:color="auto" w:fill="FFFFFF"/>
        </w:rPr>
        <w:t>中标人仅提供充电服务的，充电服务费预算单价定为</w:t>
      </w:r>
      <w:r>
        <w:rPr>
          <w:rFonts w:ascii="宋体" w:hAnsi="宋体" w:cs="宋体"/>
          <w:sz w:val="22"/>
          <w:szCs w:val="22"/>
          <w:highlight w:val="none"/>
          <w:shd w:val="clear" w:color="auto" w:fill="FFFFFF"/>
        </w:rPr>
        <w:t>0.60元/kwh；</w:t>
      </w:r>
    </w:p>
    <w:p>
      <w:pPr>
        <w:pStyle w:val="148"/>
        <w:keepNext w:val="0"/>
        <w:spacing w:after="0" w:line="440" w:lineRule="exact"/>
        <w:ind w:firstLine="440" w:firstLineChars="200"/>
        <w:jc w:val="left"/>
        <w:rPr>
          <w:rFonts w:ascii="宋体" w:hAnsi="宋体" w:cs="宋体"/>
          <w:sz w:val="22"/>
          <w:szCs w:val="22"/>
          <w:highlight w:val="none"/>
          <w:shd w:val="clear" w:color="auto" w:fill="FFFFFF"/>
        </w:rPr>
      </w:pPr>
      <w:r>
        <w:rPr>
          <w:rFonts w:ascii="宋体" w:hAnsi="宋体" w:cs="宋体"/>
          <w:sz w:val="22"/>
          <w:szCs w:val="22"/>
          <w:highlight w:val="none"/>
          <w:shd w:val="clear" w:color="auto" w:fill="FFFFFF"/>
        </w:rPr>
        <w:t>2.</w:t>
      </w:r>
      <w:r>
        <w:rPr>
          <w:rFonts w:hint="eastAsia" w:ascii="宋体" w:hAnsi="宋体" w:cs="宋体"/>
          <w:sz w:val="22"/>
          <w:szCs w:val="22"/>
          <w:highlight w:val="none"/>
          <w:shd w:val="clear" w:color="auto" w:fill="FFFFFF"/>
        </w:rPr>
        <w:t>中标人同时提供充电服务和夜间停放场地的，充电服务费预算单价定为</w:t>
      </w:r>
      <w:r>
        <w:rPr>
          <w:rFonts w:ascii="宋体" w:hAnsi="宋体" w:cs="宋体"/>
          <w:sz w:val="22"/>
          <w:szCs w:val="22"/>
          <w:highlight w:val="none"/>
          <w:shd w:val="clear" w:color="auto" w:fill="FFFFFF"/>
        </w:rPr>
        <w:t>0.70元/kwh，停车费300元/辆/月</w:t>
      </w:r>
      <w:r>
        <w:rPr>
          <w:rFonts w:hint="eastAsia" w:ascii="宋体" w:hAnsi="宋体" w:cs="宋体"/>
          <w:sz w:val="22"/>
          <w:szCs w:val="22"/>
          <w:highlight w:val="none"/>
          <w:shd w:val="clear" w:color="auto" w:fill="FFFFFF"/>
        </w:rPr>
        <w:t>；</w:t>
      </w:r>
    </w:p>
    <w:p>
      <w:pPr>
        <w:pStyle w:val="148"/>
        <w:keepNext w:val="0"/>
        <w:spacing w:after="0" w:line="440" w:lineRule="exact"/>
        <w:ind w:firstLine="440" w:firstLineChars="200"/>
        <w:jc w:val="left"/>
        <w:rPr>
          <w:rFonts w:ascii="宋体" w:hAnsi="宋体" w:cs="宋体"/>
          <w:b/>
          <w:bCs/>
          <w:sz w:val="22"/>
          <w:szCs w:val="22"/>
          <w:highlight w:val="none"/>
        </w:rPr>
      </w:pPr>
      <w:r>
        <w:rPr>
          <w:rFonts w:ascii="宋体" w:hAnsi="宋体" w:cs="宋体"/>
          <w:sz w:val="22"/>
          <w:szCs w:val="22"/>
          <w:highlight w:val="none"/>
          <w:shd w:val="clear" w:color="auto" w:fill="FFFFFF"/>
        </w:rPr>
        <w:t>3.</w:t>
      </w:r>
      <w:r>
        <w:rPr>
          <w:rFonts w:hint="eastAsia" w:ascii="宋体" w:hAnsi="宋体" w:cs="宋体"/>
          <w:sz w:val="22"/>
          <w:szCs w:val="22"/>
          <w:highlight w:val="none"/>
          <w:shd w:val="clear" w:color="auto" w:fill="FFFFFF"/>
        </w:rPr>
        <w:t>上述</w:t>
      </w:r>
      <w:r>
        <w:rPr>
          <w:rFonts w:ascii="宋体" w:hAnsi="宋体" w:cs="宋体"/>
          <w:sz w:val="22"/>
          <w:szCs w:val="22"/>
          <w:highlight w:val="none"/>
          <w:shd w:val="clear" w:color="auto" w:fill="FFFFFF"/>
        </w:rPr>
        <w:t>预算单价均以</w:t>
      </w:r>
      <w:r>
        <w:rPr>
          <w:rFonts w:hint="eastAsia" w:ascii="宋体" w:hAnsi="宋体" w:cs="宋体"/>
          <w:sz w:val="22"/>
          <w:szCs w:val="22"/>
          <w:highlight w:val="none"/>
          <w:shd w:val="clear" w:color="auto" w:fill="FFFFFF"/>
        </w:rPr>
        <w:t>包含摆渡</w:t>
      </w:r>
      <w:r>
        <w:rPr>
          <w:rFonts w:ascii="宋体" w:hAnsi="宋体" w:cs="宋体"/>
          <w:sz w:val="22"/>
          <w:szCs w:val="22"/>
          <w:highlight w:val="none"/>
          <w:shd w:val="clear" w:color="auto" w:fill="FFFFFF"/>
        </w:rPr>
        <w:t>费用。</w:t>
      </w:r>
    </w:p>
    <w:p>
      <w:pPr>
        <w:pStyle w:val="148"/>
        <w:keepNext w:val="0"/>
        <w:spacing w:after="0" w:line="440" w:lineRule="exact"/>
        <w:ind w:firstLine="442" w:firstLineChars="200"/>
        <w:jc w:val="left"/>
        <w:rPr>
          <w:rFonts w:ascii="宋体" w:hAnsi="宋体" w:cs="宋体"/>
          <w:b/>
          <w:bCs/>
          <w:sz w:val="22"/>
          <w:szCs w:val="22"/>
          <w:highlight w:val="none"/>
        </w:rPr>
      </w:pPr>
      <w:r>
        <w:rPr>
          <w:rFonts w:hint="eastAsia" w:ascii="宋体" w:hAnsi="宋体" w:cs="宋体"/>
          <w:b/>
          <w:bCs/>
          <w:sz w:val="22"/>
          <w:szCs w:val="22"/>
          <w:highlight w:val="none"/>
        </w:rPr>
        <w:t>三、供应商整体</w:t>
      </w:r>
      <w:r>
        <w:rPr>
          <w:rFonts w:ascii="宋体" w:hAnsi="宋体" w:cs="宋体"/>
          <w:b/>
          <w:bCs/>
          <w:sz w:val="22"/>
          <w:szCs w:val="22"/>
          <w:highlight w:val="none"/>
        </w:rPr>
        <w:t>要求</w:t>
      </w:r>
    </w:p>
    <w:p>
      <w:pPr>
        <w:pStyle w:val="148"/>
        <w:keepNext w:val="0"/>
        <w:spacing w:after="0" w:line="440" w:lineRule="exact"/>
        <w:ind w:firstLine="440" w:firstLineChars="200"/>
        <w:jc w:val="left"/>
        <w:rPr>
          <w:rFonts w:ascii="宋体" w:hAnsi="宋体" w:cs="宋体"/>
          <w:sz w:val="22"/>
          <w:szCs w:val="22"/>
          <w:highlight w:val="none"/>
          <w:shd w:val="clear" w:color="auto" w:fill="FFFFFF"/>
        </w:rPr>
      </w:pPr>
      <w:r>
        <w:rPr>
          <w:rFonts w:hint="eastAsia" w:ascii="宋体" w:hAnsi="宋体"/>
          <w:sz w:val="22"/>
          <w:szCs w:val="22"/>
          <w:highlight w:val="none"/>
        </w:rPr>
        <w:t>★</w:t>
      </w:r>
      <w:r>
        <w:rPr>
          <w:rFonts w:ascii="宋体" w:hAnsi="宋体" w:cs="宋体"/>
          <w:sz w:val="22"/>
          <w:szCs w:val="22"/>
          <w:highlight w:val="none"/>
          <w:shd w:val="clear" w:color="auto" w:fill="FFFFFF"/>
        </w:rPr>
        <w:t>1.</w:t>
      </w:r>
      <w:r>
        <w:rPr>
          <w:rFonts w:hint="eastAsia" w:ascii="宋体" w:hAnsi="宋体" w:cs="宋体"/>
          <w:sz w:val="22"/>
          <w:szCs w:val="22"/>
          <w:highlight w:val="none"/>
          <w:shd w:val="clear" w:color="auto" w:fill="FFFFFF"/>
        </w:rPr>
        <w:t>参与本项目的投标人，须有运营充电设施的经验。（投标人须提供建设充电设施到</w:t>
      </w:r>
      <w:r>
        <w:rPr>
          <w:rFonts w:ascii="宋体" w:hAnsi="宋体" w:cs="宋体"/>
          <w:sz w:val="22"/>
          <w:szCs w:val="22"/>
          <w:highlight w:val="none"/>
          <w:shd w:val="clear" w:color="auto" w:fill="FFFFFF"/>
        </w:rPr>
        <w:t>东莞市发展和改革局</w:t>
      </w:r>
      <w:r>
        <w:rPr>
          <w:rFonts w:hint="eastAsia" w:ascii="宋体" w:hAnsi="宋体" w:cs="宋体"/>
          <w:sz w:val="22"/>
          <w:szCs w:val="22"/>
          <w:highlight w:val="none"/>
          <w:shd w:val="clear" w:color="auto" w:fill="FFFFFF"/>
        </w:rPr>
        <w:t>的备案证明或承接充电服务的业绩合同复印件作为证明材料）</w:t>
      </w:r>
    </w:p>
    <w:p>
      <w:pPr>
        <w:pStyle w:val="148"/>
        <w:keepNext w:val="0"/>
        <w:spacing w:after="0" w:line="440" w:lineRule="exact"/>
        <w:ind w:firstLine="440" w:firstLineChars="200"/>
        <w:jc w:val="left"/>
        <w:rPr>
          <w:rFonts w:ascii="宋体" w:hAnsi="宋体" w:cs="宋体"/>
          <w:sz w:val="22"/>
          <w:szCs w:val="22"/>
          <w:highlight w:val="none"/>
          <w:shd w:val="clear" w:color="auto" w:fill="FFFFFF"/>
        </w:rPr>
      </w:pPr>
      <w:r>
        <w:rPr>
          <w:rFonts w:ascii="宋体" w:hAnsi="宋体" w:cs="宋体"/>
          <w:sz w:val="22"/>
          <w:szCs w:val="22"/>
          <w:highlight w:val="none"/>
          <w:shd w:val="clear" w:color="auto" w:fill="FFFFFF"/>
        </w:rPr>
        <w:t>2.</w:t>
      </w:r>
      <w:r>
        <w:rPr>
          <w:rFonts w:hint="eastAsia" w:ascii="宋体" w:hAnsi="宋体" w:cs="宋体"/>
          <w:sz w:val="22"/>
          <w:szCs w:val="22"/>
          <w:highlight w:val="none"/>
          <w:shd w:val="clear" w:color="auto" w:fill="FFFFFF"/>
        </w:rPr>
        <w:t>中标人</w:t>
      </w:r>
      <w:r>
        <w:rPr>
          <w:rFonts w:ascii="宋体" w:hAnsi="宋体" w:cs="宋体"/>
          <w:sz w:val="22"/>
          <w:szCs w:val="22"/>
          <w:highlight w:val="none"/>
          <w:shd w:val="clear" w:color="auto" w:fill="FFFFFF"/>
        </w:rPr>
        <w:t>入库后，其提供的充电设施没有完成</w:t>
      </w:r>
      <w:r>
        <w:rPr>
          <w:rFonts w:hint="eastAsia" w:ascii="宋体" w:hAnsi="宋体" w:cs="宋体"/>
          <w:sz w:val="22"/>
          <w:szCs w:val="22"/>
          <w:highlight w:val="none"/>
          <w:shd w:val="clear" w:color="auto" w:fill="FFFFFF"/>
        </w:rPr>
        <w:t>相关</w:t>
      </w:r>
      <w:r>
        <w:rPr>
          <w:rFonts w:ascii="宋体" w:hAnsi="宋体" w:cs="宋体"/>
          <w:sz w:val="22"/>
          <w:szCs w:val="22"/>
          <w:highlight w:val="none"/>
          <w:shd w:val="clear" w:color="auto" w:fill="FFFFFF"/>
        </w:rPr>
        <w:t>备案手续的，要求</w:t>
      </w:r>
      <w:r>
        <w:rPr>
          <w:rFonts w:hint="eastAsia" w:ascii="宋体" w:hAnsi="宋体" w:cs="宋体"/>
          <w:sz w:val="22"/>
          <w:szCs w:val="22"/>
          <w:highlight w:val="none"/>
          <w:shd w:val="clear" w:color="auto" w:fill="FFFFFF"/>
        </w:rPr>
        <w:t>中标人</w:t>
      </w:r>
      <w:r>
        <w:rPr>
          <w:rFonts w:ascii="宋体" w:hAnsi="宋体" w:cs="宋体"/>
          <w:sz w:val="22"/>
          <w:szCs w:val="22"/>
          <w:highlight w:val="none"/>
          <w:shd w:val="clear" w:color="auto" w:fill="FFFFFF"/>
        </w:rPr>
        <w:t>在入库后</w:t>
      </w:r>
      <w:r>
        <w:rPr>
          <w:rFonts w:hint="eastAsia" w:ascii="宋体" w:hAnsi="宋体" w:cs="宋体"/>
          <w:sz w:val="22"/>
          <w:szCs w:val="22"/>
          <w:highlight w:val="none"/>
          <w:shd w:val="clear" w:color="auto" w:fill="FFFFFF"/>
        </w:rPr>
        <w:t>3个</w:t>
      </w:r>
      <w:r>
        <w:rPr>
          <w:rFonts w:ascii="宋体" w:hAnsi="宋体" w:cs="宋体"/>
          <w:sz w:val="22"/>
          <w:szCs w:val="22"/>
          <w:highlight w:val="none"/>
          <w:shd w:val="clear" w:color="auto" w:fill="FFFFFF"/>
        </w:rPr>
        <w:t>月内完成相关备案手续，否则招标人及其下属</w:t>
      </w:r>
      <w:r>
        <w:rPr>
          <w:rFonts w:hint="eastAsia" w:ascii="宋体" w:hAnsi="宋体" w:cs="宋体"/>
          <w:sz w:val="22"/>
          <w:szCs w:val="22"/>
          <w:highlight w:val="none"/>
          <w:shd w:val="clear" w:color="auto" w:fill="FFFFFF"/>
        </w:rPr>
        <w:t>公司</w:t>
      </w:r>
      <w:r>
        <w:rPr>
          <w:rFonts w:ascii="宋体" w:hAnsi="宋体" w:cs="宋体"/>
          <w:sz w:val="22"/>
          <w:szCs w:val="22"/>
          <w:highlight w:val="none"/>
          <w:shd w:val="clear" w:color="auto" w:fill="FFFFFF"/>
        </w:rPr>
        <w:t>有权</w:t>
      </w:r>
      <w:r>
        <w:rPr>
          <w:rFonts w:hint="eastAsia" w:ascii="宋体" w:hAnsi="宋体" w:cs="宋体"/>
          <w:sz w:val="22"/>
          <w:szCs w:val="22"/>
          <w:highlight w:val="none"/>
          <w:shd w:val="clear" w:color="auto" w:fill="FFFFFF"/>
        </w:rPr>
        <w:t>选择</w:t>
      </w:r>
      <w:r>
        <w:rPr>
          <w:rFonts w:ascii="宋体" w:hAnsi="宋体" w:cs="宋体"/>
          <w:sz w:val="22"/>
          <w:szCs w:val="22"/>
          <w:highlight w:val="none"/>
          <w:shd w:val="clear" w:color="auto" w:fill="FFFFFF"/>
        </w:rPr>
        <w:t>不适用其相关设施的充电服务。</w:t>
      </w:r>
    </w:p>
    <w:p>
      <w:pPr>
        <w:pStyle w:val="148"/>
        <w:keepNext w:val="0"/>
        <w:spacing w:after="0" w:line="440" w:lineRule="exact"/>
        <w:ind w:firstLine="440" w:firstLineChars="200"/>
        <w:jc w:val="left"/>
        <w:rPr>
          <w:sz w:val="22"/>
          <w:szCs w:val="22"/>
          <w:highlight w:val="none"/>
        </w:rPr>
      </w:pPr>
      <w:r>
        <w:rPr>
          <w:rFonts w:ascii="宋体" w:hAnsi="宋体" w:cs="宋体"/>
          <w:sz w:val="22"/>
          <w:szCs w:val="22"/>
          <w:highlight w:val="none"/>
          <w:shd w:val="clear" w:color="auto" w:fill="FFFFFF"/>
        </w:rPr>
        <w:t>3.</w:t>
      </w:r>
      <w:r>
        <w:rPr>
          <w:rFonts w:hint="eastAsia"/>
          <w:sz w:val="22"/>
          <w:szCs w:val="22"/>
          <w:highlight w:val="none"/>
        </w:rPr>
        <w:t>投标人充电设施建设完成后，需按发改部门要求完成相关设施的验收工作，并提供相应的验收资料。中标后，招标人有权对中标人建设的充电设施的验收资料进行查证，如果中标人无法提供相关充电设施的验收资料，招标人及其下属公司有权选择不使用相关设施的充电服务。</w:t>
      </w:r>
    </w:p>
    <w:p>
      <w:pPr>
        <w:pStyle w:val="148"/>
        <w:keepNext w:val="0"/>
        <w:spacing w:after="0" w:line="440" w:lineRule="exact"/>
        <w:ind w:firstLine="440" w:firstLineChars="200"/>
        <w:jc w:val="left"/>
        <w:rPr>
          <w:sz w:val="22"/>
          <w:szCs w:val="22"/>
          <w:highlight w:val="none"/>
        </w:rPr>
      </w:pPr>
      <w:r>
        <w:rPr>
          <w:sz w:val="22"/>
          <w:szCs w:val="22"/>
          <w:highlight w:val="none"/>
        </w:rPr>
        <w:t>4.</w:t>
      </w:r>
      <w:r>
        <w:rPr>
          <w:rFonts w:hint="eastAsia"/>
          <w:sz w:val="22"/>
          <w:szCs w:val="22"/>
          <w:highlight w:val="none"/>
        </w:rPr>
        <w:t>中标人在为招标人及其下属公司提供充电服务的同时，需提前完善充电数据平台的搭建，及时和招标人数据平台完成实时数据的对接，保证双方数据一致。如果数据平台未完成搭建，或者中标人已搭建的数据平台无法完成对接，招标人及其下属公司有权选择不使用其充电服务，或根据实际需求，由招标人要求中标人限期（</w:t>
      </w:r>
      <w:r>
        <w:rPr>
          <w:sz w:val="22"/>
          <w:szCs w:val="22"/>
          <w:highlight w:val="none"/>
        </w:rPr>
        <w:t>2</w:t>
      </w:r>
      <w:r>
        <w:rPr>
          <w:rFonts w:hint="eastAsia"/>
          <w:sz w:val="22"/>
          <w:szCs w:val="22"/>
          <w:highlight w:val="none"/>
        </w:rPr>
        <w:t>个月）整改，相关充电服务费用待完成整改后再行支付。如果整改期限届满后，中标人仍然未能完成数据平台搭建并对接，招标人及其下属公司有权终止相关充电服务合同并视为中标人违约。</w:t>
      </w:r>
    </w:p>
    <w:p>
      <w:pPr>
        <w:pStyle w:val="148"/>
        <w:keepNext w:val="0"/>
        <w:spacing w:after="0" w:line="440" w:lineRule="exact"/>
        <w:ind w:firstLine="440" w:firstLineChars="200"/>
        <w:jc w:val="left"/>
        <w:rPr>
          <w:rFonts w:ascii="宋体" w:hAnsi="宋体" w:cs="宋体"/>
          <w:sz w:val="22"/>
          <w:szCs w:val="22"/>
          <w:highlight w:val="none"/>
          <w:shd w:val="clear" w:color="auto" w:fill="FFFFFF"/>
        </w:rPr>
      </w:pPr>
      <w:r>
        <w:rPr>
          <w:sz w:val="22"/>
          <w:szCs w:val="22"/>
          <w:highlight w:val="none"/>
        </w:rPr>
        <w:t>5.</w:t>
      </w:r>
      <w:r>
        <w:rPr>
          <w:rFonts w:hint="eastAsia"/>
          <w:sz w:val="22"/>
          <w:szCs w:val="22"/>
          <w:highlight w:val="none"/>
        </w:rPr>
        <w:t>投标单位需定期对充电设施进行检查，对存在安全隐患的事项即时整改，保留检查和维修记录。</w:t>
      </w:r>
    </w:p>
    <w:p>
      <w:pPr>
        <w:pStyle w:val="148"/>
        <w:keepNext w:val="0"/>
        <w:spacing w:after="0" w:line="440" w:lineRule="exact"/>
        <w:ind w:firstLine="442" w:firstLineChars="200"/>
        <w:jc w:val="left"/>
        <w:rPr>
          <w:rFonts w:ascii="宋体" w:hAnsi="宋体" w:cs="宋体"/>
          <w:b/>
          <w:sz w:val="22"/>
          <w:szCs w:val="22"/>
          <w:highlight w:val="none"/>
          <w:shd w:val="clear" w:color="auto" w:fill="FFFFFF"/>
        </w:rPr>
      </w:pPr>
      <w:r>
        <w:rPr>
          <w:rFonts w:hint="eastAsia" w:ascii="宋体" w:hAnsi="宋体" w:cs="宋体"/>
          <w:b/>
          <w:sz w:val="22"/>
          <w:szCs w:val="22"/>
          <w:highlight w:val="none"/>
          <w:shd w:val="clear" w:color="auto" w:fill="FFFFFF"/>
        </w:rPr>
        <w:t>四、</w:t>
      </w:r>
      <w:r>
        <w:rPr>
          <w:rFonts w:ascii="宋体" w:hAnsi="宋体" w:cs="宋体"/>
          <w:b/>
          <w:sz w:val="22"/>
          <w:szCs w:val="22"/>
          <w:highlight w:val="none"/>
          <w:shd w:val="clear" w:color="auto" w:fill="FFFFFF"/>
        </w:rPr>
        <w:t>入库规则</w:t>
      </w:r>
    </w:p>
    <w:p>
      <w:pPr>
        <w:pStyle w:val="148"/>
        <w:keepNext w:val="0"/>
        <w:spacing w:after="0" w:line="440" w:lineRule="exact"/>
        <w:ind w:firstLine="440" w:firstLineChars="200"/>
        <w:jc w:val="left"/>
        <w:rPr>
          <w:rFonts w:ascii="宋体" w:hAnsi="宋体" w:cs="宋体"/>
          <w:b/>
          <w:bCs/>
          <w:sz w:val="22"/>
          <w:szCs w:val="22"/>
          <w:highlight w:val="none"/>
        </w:rPr>
      </w:pPr>
      <w:r>
        <w:rPr>
          <w:rFonts w:hint="eastAsia" w:ascii="宋体" w:hAnsi="宋体" w:cs="宋体"/>
          <w:sz w:val="22"/>
          <w:szCs w:val="22"/>
          <w:highlight w:val="none"/>
          <w:shd w:val="clear" w:color="auto" w:fill="FFFFFF"/>
        </w:rPr>
        <w:t>满足本项目资格条件要求的供应商，按照招标文件要求编制并递交投标文件，通过资格</w:t>
      </w:r>
      <w:r>
        <w:rPr>
          <w:rFonts w:ascii="宋体" w:hAnsi="宋体" w:cs="宋体"/>
          <w:sz w:val="22"/>
          <w:szCs w:val="22"/>
          <w:highlight w:val="none"/>
          <w:shd w:val="clear" w:color="auto" w:fill="FFFFFF"/>
        </w:rPr>
        <w:t>审查的</w:t>
      </w:r>
      <w:r>
        <w:rPr>
          <w:rFonts w:hint="eastAsia" w:ascii="宋体" w:hAnsi="宋体" w:cs="宋体"/>
          <w:sz w:val="22"/>
          <w:szCs w:val="22"/>
          <w:highlight w:val="none"/>
          <w:shd w:val="clear" w:color="auto" w:fill="FFFFFF"/>
        </w:rPr>
        <w:t>投标人</w:t>
      </w:r>
      <w:r>
        <w:rPr>
          <w:rFonts w:ascii="宋体" w:hAnsi="宋体" w:cs="宋体"/>
          <w:sz w:val="22"/>
          <w:szCs w:val="22"/>
          <w:highlight w:val="none"/>
          <w:shd w:val="clear" w:color="auto" w:fill="FFFFFF"/>
        </w:rPr>
        <w:t>即可</w:t>
      </w:r>
      <w:r>
        <w:rPr>
          <w:rFonts w:hint="eastAsia" w:ascii="宋体" w:hAnsi="宋体" w:cs="宋体"/>
          <w:sz w:val="22"/>
          <w:szCs w:val="22"/>
          <w:highlight w:val="none"/>
          <w:shd w:val="clear" w:color="auto" w:fill="FFFFFF"/>
        </w:rPr>
        <w:t>入库</w:t>
      </w:r>
      <w:r>
        <w:rPr>
          <w:rFonts w:ascii="宋体" w:hAnsi="宋体" w:cs="宋体"/>
          <w:sz w:val="22"/>
          <w:szCs w:val="22"/>
          <w:highlight w:val="none"/>
          <w:shd w:val="clear" w:color="auto" w:fill="FFFFFF"/>
        </w:rPr>
        <w:t>。</w:t>
      </w:r>
    </w:p>
    <w:p>
      <w:pPr>
        <w:pStyle w:val="148"/>
        <w:keepNext w:val="0"/>
        <w:spacing w:after="0" w:line="440" w:lineRule="exact"/>
        <w:ind w:firstLine="442" w:firstLineChars="200"/>
        <w:jc w:val="left"/>
        <w:rPr>
          <w:rFonts w:ascii="宋体" w:hAnsi="宋体" w:cs="宋体"/>
          <w:b/>
          <w:bCs/>
          <w:sz w:val="22"/>
          <w:szCs w:val="22"/>
          <w:highlight w:val="none"/>
        </w:rPr>
      </w:pPr>
      <w:r>
        <w:rPr>
          <w:rFonts w:hint="eastAsia" w:ascii="宋体" w:hAnsi="宋体" w:cs="宋体"/>
          <w:b/>
          <w:bCs/>
          <w:sz w:val="22"/>
          <w:szCs w:val="22"/>
          <w:highlight w:val="none"/>
        </w:rPr>
        <w:t>五、充电服务</w:t>
      </w:r>
      <w:r>
        <w:rPr>
          <w:rFonts w:ascii="宋体" w:hAnsi="宋体" w:cs="宋体"/>
          <w:b/>
          <w:bCs/>
          <w:sz w:val="22"/>
          <w:szCs w:val="22"/>
          <w:highlight w:val="none"/>
        </w:rPr>
        <w:t>商</w:t>
      </w:r>
      <w:r>
        <w:rPr>
          <w:rFonts w:hint="eastAsia" w:ascii="宋体" w:hAnsi="宋体" w:cs="宋体"/>
          <w:b/>
          <w:bCs/>
          <w:sz w:val="22"/>
          <w:szCs w:val="22"/>
          <w:highlight w:val="none"/>
        </w:rPr>
        <w:t>的选择</w:t>
      </w:r>
    </w:p>
    <w:p>
      <w:pPr>
        <w:pStyle w:val="148"/>
        <w:keepNext w:val="0"/>
        <w:spacing w:after="0" w:line="440" w:lineRule="exact"/>
        <w:ind w:firstLine="440" w:firstLineChars="200"/>
        <w:jc w:val="left"/>
        <w:rPr>
          <w:rFonts w:ascii="宋体" w:hAnsi="宋体" w:cs="宋体"/>
          <w:sz w:val="22"/>
          <w:szCs w:val="22"/>
          <w:highlight w:val="none"/>
          <w:shd w:val="clear" w:color="auto" w:fill="FFFFFF"/>
        </w:rPr>
      </w:pPr>
      <w:r>
        <w:rPr>
          <w:rFonts w:hint="eastAsia" w:ascii="宋体" w:hAnsi="宋体" w:cs="宋体"/>
          <w:sz w:val="22"/>
          <w:szCs w:val="22"/>
          <w:highlight w:val="none"/>
          <w:shd w:val="clear" w:color="auto" w:fill="FFFFFF"/>
        </w:rPr>
        <w:t>招标</w:t>
      </w:r>
      <w:r>
        <w:rPr>
          <w:rFonts w:ascii="宋体" w:hAnsi="宋体" w:cs="宋体"/>
          <w:sz w:val="22"/>
          <w:szCs w:val="22"/>
          <w:highlight w:val="none"/>
          <w:shd w:val="clear" w:color="auto" w:fill="FFFFFF"/>
        </w:rPr>
        <w:t>人及各下属</w:t>
      </w:r>
      <w:r>
        <w:rPr>
          <w:rFonts w:hint="eastAsia" w:ascii="宋体" w:hAnsi="宋体" w:cs="宋体"/>
          <w:sz w:val="22"/>
          <w:szCs w:val="22"/>
          <w:highlight w:val="none"/>
          <w:shd w:val="clear" w:color="auto" w:fill="FFFFFF"/>
        </w:rPr>
        <w:t>子分公司作为</w:t>
      </w:r>
      <w:r>
        <w:rPr>
          <w:rFonts w:ascii="宋体" w:hAnsi="宋体" w:cs="宋体"/>
          <w:sz w:val="22"/>
          <w:szCs w:val="22"/>
          <w:highlight w:val="none"/>
          <w:shd w:val="clear" w:color="auto" w:fill="FFFFFF"/>
        </w:rPr>
        <w:t>需求单位，将通过下属方式确定最终</w:t>
      </w:r>
      <w:r>
        <w:rPr>
          <w:rFonts w:hint="eastAsia" w:ascii="宋体" w:hAnsi="宋体" w:cs="宋体"/>
          <w:sz w:val="22"/>
          <w:szCs w:val="22"/>
          <w:highlight w:val="none"/>
          <w:shd w:val="clear" w:color="auto" w:fill="FFFFFF"/>
        </w:rPr>
        <w:t>充电</w:t>
      </w:r>
      <w:r>
        <w:rPr>
          <w:rFonts w:ascii="宋体" w:hAnsi="宋体" w:cs="宋体"/>
          <w:sz w:val="22"/>
          <w:szCs w:val="22"/>
          <w:highlight w:val="none"/>
          <w:shd w:val="clear" w:color="auto" w:fill="FFFFFF"/>
        </w:rPr>
        <w:t>服务单位，</w:t>
      </w:r>
      <w:r>
        <w:rPr>
          <w:rFonts w:hint="eastAsia" w:ascii="宋体" w:hAnsi="宋体" w:cs="宋体"/>
          <w:sz w:val="22"/>
          <w:szCs w:val="22"/>
          <w:highlight w:val="none"/>
          <w:shd w:val="clear" w:color="auto" w:fill="FFFFFF"/>
        </w:rPr>
        <w:t>并与其签订具体的充电服务协议，其协议期限不超过东莞巴士有限</w:t>
      </w:r>
      <w:r>
        <w:rPr>
          <w:rFonts w:ascii="宋体" w:hAnsi="宋体" w:cs="宋体"/>
          <w:sz w:val="22"/>
          <w:szCs w:val="22"/>
          <w:highlight w:val="none"/>
          <w:shd w:val="clear" w:color="auto" w:fill="FFFFFF"/>
        </w:rPr>
        <w:t>公司</w:t>
      </w:r>
      <w:r>
        <w:rPr>
          <w:rFonts w:hint="eastAsia" w:ascii="宋体" w:hAnsi="宋体" w:cs="宋体"/>
          <w:sz w:val="22"/>
          <w:szCs w:val="22"/>
          <w:highlight w:val="none"/>
          <w:shd w:val="clear" w:color="auto" w:fill="FFFFFF"/>
        </w:rPr>
        <w:t>与各中标单位签订的框架协议的服务期限：</w:t>
      </w:r>
    </w:p>
    <w:p>
      <w:pPr>
        <w:pStyle w:val="148"/>
        <w:keepNext w:val="0"/>
        <w:spacing w:after="0" w:line="440" w:lineRule="exact"/>
        <w:ind w:firstLine="440" w:firstLineChars="200"/>
        <w:jc w:val="left"/>
        <w:rPr>
          <w:rFonts w:ascii="宋体" w:hAnsi="宋体" w:cs="宋体"/>
          <w:sz w:val="22"/>
          <w:szCs w:val="22"/>
          <w:highlight w:val="none"/>
          <w:shd w:val="clear" w:color="auto" w:fill="FFFFFF"/>
        </w:rPr>
      </w:pPr>
      <w:r>
        <w:rPr>
          <w:rFonts w:hint="eastAsia" w:ascii="宋体" w:hAnsi="宋体" w:cs="宋体"/>
          <w:sz w:val="22"/>
          <w:szCs w:val="22"/>
          <w:highlight w:val="none"/>
          <w:shd w:val="clear" w:color="auto" w:fill="FFFFFF"/>
        </w:rPr>
        <w:t>（一）对于已经</w:t>
      </w:r>
      <w:r>
        <w:rPr>
          <w:rFonts w:ascii="宋体" w:hAnsi="宋体" w:cs="宋体"/>
          <w:sz w:val="22"/>
          <w:szCs w:val="22"/>
          <w:highlight w:val="none"/>
          <w:shd w:val="clear" w:color="auto" w:fill="FFFFFF"/>
        </w:rPr>
        <w:t>入库</w:t>
      </w:r>
      <w:r>
        <w:rPr>
          <w:rFonts w:hint="eastAsia" w:ascii="宋体" w:hAnsi="宋体" w:cs="宋体"/>
          <w:sz w:val="22"/>
          <w:szCs w:val="22"/>
          <w:highlight w:val="none"/>
          <w:shd w:val="clear" w:color="auto" w:fill="FFFFFF"/>
        </w:rPr>
        <w:t>并且</w:t>
      </w:r>
      <w:r>
        <w:rPr>
          <w:rFonts w:ascii="宋体" w:hAnsi="宋体" w:cs="宋体"/>
          <w:sz w:val="22"/>
          <w:szCs w:val="22"/>
          <w:highlight w:val="none"/>
          <w:shd w:val="clear" w:color="auto" w:fill="FFFFFF"/>
        </w:rPr>
        <w:t>已经建设有充电</w:t>
      </w:r>
      <w:r>
        <w:rPr>
          <w:rFonts w:hint="eastAsia" w:ascii="宋体" w:hAnsi="宋体" w:cs="宋体"/>
          <w:sz w:val="22"/>
          <w:szCs w:val="22"/>
          <w:highlight w:val="none"/>
          <w:shd w:val="clear" w:color="auto" w:fill="FFFFFF"/>
        </w:rPr>
        <w:t>设施</w:t>
      </w:r>
      <w:r>
        <w:rPr>
          <w:rFonts w:ascii="宋体" w:hAnsi="宋体" w:cs="宋体"/>
          <w:sz w:val="22"/>
          <w:szCs w:val="22"/>
          <w:highlight w:val="none"/>
          <w:shd w:val="clear" w:color="auto" w:fill="FFFFFF"/>
        </w:rPr>
        <w:t>的供应商，</w:t>
      </w:r>
      <w:r>
        <w:rPr>
          <w:rFonts w:hint="eastAsia" w:ascii="宋体" w:hAnsi="宋体" w:cs="宋体"/>
          <w:sz w:val="22"/>
          <w:szCs w:val="22"/>
          <w:highlight w:val="none"/>
          <w:shd w:val="clear" w:color="auto" w:fill="FFFFFF"/>
        </w:rPr>
        <w:t>包括但</w:t>
      </w:r>
      <w:r>
        <w:rPr>
          <w:rFonts w:ascii="宋体" w:hAnsi="宋体" w:cs="宋体"/>
          <w:sz w:val="22"/>
          <w:szCs w:val="22"/>
          <w:highlight w:val="none"/>
          <w:shd w:val="clear" w:color="auto" w:fill="FFFFFF"/>
        </w:rPr>
        <w:t>不仅限于</w:t>
      </w:r>
      <w:r>
        <w:rPr>
          <w:rFonts w:hint="eastAsia" w:ascii="宋体" w:hAnsi="宋体" w:cs="宋体"/>
          <w:sz w:val="22"/>
          <w:szCs w:val="22"/>
          <w:highlight w:val="none"/>
          <w:shd w:val="clear" w:color="auto" w:fill="FFFFFF"/>
        </w:rPr>
        <w:t>入库</w:t>
      </w:r>
      <w:r>
        <w:rPr>
          <w:rFonts w:ascii="宋体" w:hAnsi="宋体" w:cs="宋体"/>
          <w:sz w:val="22"/>
          <w:szCs w:val="22"/>
          <w:highlight w:val="none"/>
          <w:shd w:val="clear" w:color="auto" w:fill="FFFFFF"/>
        </w:rPr>
        <w:t>之后根据供应商自身经营决策建设的充电</w:t>
      </w:r>
      <w:r>
        <w:rPr>
          <w:rFonts w:hint="eastAsia" w:ascii="宋体" w:hAnsi="宋体" w:cs="宋体"/>
          <w:sz w:val="22"/>
          <w:szCs w:val="22"/>
          <w:highlight w:val="none"/>
          <w:shd w:val="clear" w:color="auto" w:fill="FFFFFF"/>
        </w:rPr>
        <w:t>设施</w:t>
      </w:r>
      <w:r>
        <w:rPr>
          <w:rFonts w:ascii="宋体" w:hAnsi="宋体" w:cs="宋体"/>
          <w:sz w:val="22"/>
          <w:szCs w:val="22"/>
          <w:highlight w:val="none"/>
          <w:shd w:val="clear" w:color="auto" w:fill="FFFFFF"/>
        </w:rPr>
        <w:t>，</w:t>
      </w:r>
      <w:r>
        <w:rPr>
          <w:rFonts w:hint="eastAsia" w:ascii="宋体" w:hAnsi="宋体" w:cs="宋体"/>
          <w:sz w:val="22"/>
          <w:szCs w:val="22"/>
          <w:highlight w:val="none"/>
          <w:shd w:val="clear" w:color="auto" w:fill="FFFFFF"/>
        </w:rPr>
        <w:t>需求单位</w:t>
      </w:r>
      <w:r>
        <w:rPr>
          <w:rFonts w:ascii="宋体" w:hAnsi="宋体" w:cs="宋体"/>
          <w:sz w:val="22"/>
          <w:szCs w:val="22"/>
          <w:highlight w:val="none"/>
          <w:shd w:val="clear" w:color="auto" w:fill="FFFFFF"/>
        </w:rPr>
        <w:t>可</w:t>
      </w:r>
      <w:r>
        <w:rPr>
          <w:rFonts w:hint="eastAsia" w:ascii="宋体" w:hAnsi="宋体" w:cs="宋体"/>
          <w:sz w:val="22"/>
          <w:szCs w:val="22"/>
          <w:highlight w:val="none"/>
          <w:shd w:val="clear" w:color="auto" w:fill="FFFFFF"/>
        </w:rPr>
        <w:t>结合地理位置、预算单价、空驶里程等因素从中选供应商库中选取合适充电服务供应商并与其签订具体的充电服务协议，</w:t>
      </w:r>
      <w:r>
        <w:rPr>
          <w:rFonts w:ascii="宋体" w:hAnsi="宋体" w:cs="宋体"/>
          <w:sz w:val="22"/>
          <w:szCs w:val="22"/>
          <w:highlight w:val="none"/>
          <w:shd w:val="clear" w:color="auto" w:fill="FFFFFF"/>
        </w:rPr>
        <w:t>其结算单价以供应商入库时所报的单价为准</w:t>
      </w:r>
      <w:r>
        <w:rPr>
          <w:rFonts w:hint="eastAsia" w:ascii="宋体" w:hAnsi="宋体" w:cs="宋体"/>
          <w:sz w:val="22"/>
          <w:szCs w:val="22"/>
          <w:highlight w:val="none"/>
          <w:shd w:val="clear" w:color="auto" w:fill="FFFFFF"/>
        </w:rPr>
        <w:t>。</w:t>
      </w:r>
    </w:p>
    <w:p>
      <w:pPr>
        <w:pStyle w:val="148"/>
        <w:keepNext w:val="0"/>
        <w:spacing w:after="0" w:line="440" w:lineRule="exact"/>
        <w:ind w:firstLine="440" w:firstLineChars="200"/>
        <w:jc w:val="left"/>
        <w:rPr>
          <w:rFonts w:ascii="宋体" w:hAnsi="宋体" w:cs="宋体"/>
          <w:sz w:val="22"/>
          <w:szCs w:val="22"/>
          <w:highlight w:val="none"/>
          <w:shd w:val="clear" w:color="auto" w:fill="FFFFFF"/>
        </w:rPr>
      </w:pPr>
      <w:r>
        <w:rPr>
          <w:rFonts w:hint="eastAsia" w:ascii="宋体" w:hAnsi="宋体" w:cs="宋体"/>
          <w:sz w:val="22"/>
          <w:szCs w:val="22"/>
          <w:highlight w:val="none"/>
          <w:shd w:val="clear" w:color="auto" w:fill="FFFFFF"/>
        </w:rPr>
        <w:t>（二）对于未建</w:t>
      </w:r>
      <w:r>
        <w:rPr>
          <w:rFonts w:ascii="宋体" w:hAnsi="宋体" w:cs="宋体"/>
          <w:sz w:val="22"/>
          <w:szCs w:val="22"/>
          <w:highlight w:val="none"/>
          <w:shd w:val="clear" w:color="auto" w:fill="FFFFFF"/>
        </w:rPr>
        <w:t>有可满足需求的充电</w:t>
      </w:r>
      <w:r>
        <w:rPr>
          <w:rFonts w:hint="eastAsia" w:ascii="宋体" w:hAnsi="宋体" w:cs="宋体"/>
          <w:sz w:val="22"/>
          <w:szCs w:val="22"/>
          <w:highlight w:val="none"/>
          <w:shd w:val="clear" w:color="auto" w:fill="FFFFFF"/>
        </w:rPr>
        <w:t>设施的</w:t>
      </w:r>
      <w:r>
        <w:rPr>
          <w:rFonts w:ascii="宋体" w:hAnsi="宋体" w:cs="宋体"/>
          <w:sz w:val="22"/>
          <w:szCs w:val="22"/>
          <w:highlight w:val="none"/>
          <w:shd w:val="clear" w:color="auto" w:fill="FFFFFF"/>
        </w:rPr>
        <w:t>场地，</w:t>
      </w:r>
      <w:r>
        <w:rPr>
          <w:rFonts w:hint="eastAsia" w:ascii="宋体" w:hAnsi="宋体" w:cs="宋体"/>
          <w:sz w:val="22"/>
          <w:szCs w:val="22"/>
          <w:highlight w:val="none"/>
          <w:shd w:val="clear" w:color="auto" w:fill="FFFFFF"/>
        </w:rPr>
        <w:t>需求单位</w:t>
      </w:r>
      <w:r>
        <w:rPr>
          <w:rFonts w:ascii="宋体" w:hAnsi="宋体" w:cs="宋体"/>
          <w:sz w:val="22"/>
          <w:szCs w:val="22"/>
          <w:highlight w:val="none"/>
          <w:shd w:val="clear" w:color="auto" w:fill="FFFFFF"/>
        </w:rPr>
        <w:t>可根据</w:t>
      </w:r>
      <w:r>
        <w:rPr>
          <w:rFonts w:hint="eastAsia" w:ascii="宋体" w:hAnsi="宋体" w:cs="宋体"/>
          <w:sz w:val="22"/>
          <w:szCs w:val="22"/>
          <w:highlight w:val="none"/>
          <w:shd w:val="clear" w:color="auto" w:fill="FFFFFF"/>
        </w:rPr>
        <w:t>项目</w:t>
      </w:r>
      <w:r>
        <w:rPr>
          <w:rFonts w:ascii="宋体" w:hAnsi="宋体" w:cs="宋体"/>
          <w:sz w:val="22"/>
          <w:szCs w:val="22"/>
          <w:highlight w:val="none"/>
          <w:shd w:val="clear" w:color="auto" w:fill="FFFFFF"/>
        </w:rPr>
        <w:t>需求，在供应商库中选取</w:t>
      </w:r>
      <w:r>
        <w:rPr>
          <w:rFonts w:hint="eastAsia" w:ascii="宋体" w:hAnsi="宋体" w:cs="宋体"/>
          <w:sz w:val="22"/>
          <w:szCs w:val="22"/>
          <w:highlight w:val="none"/>
          <w:shd w:val="clear" w:color="auto" w:fill="FFFFFF"/>
        </w:rPr>
        <w:t>不少于</w:t>
      </w:r>
      <w:r>
        <w:rPr>
          <w:rFonts w:ascii="宋体" w:hAnsi="宋体" w:cs="宋体"/>
          <w:sz w:val="22"/>
          <w:szCs w:val="22"/>
          <w:highlight w:val="none"/>
          <w:shd w:val="clear" w:color="auto" w:fill="FFFFFF"/>
        </w:rPr>
        <w:t>3家供应商，</w:t>
      </w:r>
      <w:r>
        <w:rPr>
          <w:rFonts w:hint="eastAsia" w:ascii="宋体" w:hAnsi="宋体" w:cs="宋体"/>
          <w:sz w:val="22"/>
          <w:szCs w:val="22"/>
          <w:highlight w:val="none"/>
          <w:shd w:val="clear" w:color="auto" w:fill="FFFFFF"/>
        </w:rPr>
        <w:t>以</w:t>
      </w:r>
      <w:r>
        <w:rPr>
          <w:rFonts w:ascii="宋体" w:hAnsi="宋体" w:cs="宋体"/>
          <w:sz w:val="22"/>
          <w:szCs w:val="22"/>
          <w:highlight w:val="none"/>
          <w:shd w:val="clear" w:color="auto" w:fill="FFFFFF"/>
        </w:rPr>
        <w:t>充电服务招标的预算单价作为</w:t>
      </w:r>
      <w:r>
        <w:rPr>
          <w:rFonts w:hint="eastAsia" w:ascii="宋体" w:hAnsi="宋体" w:cs="宋体"/>
          <w:sz w:val="22"/>
          <w:szCs w:val="22"/>
          <w:highlight w:val="none"/>
          <w:shd w:val="clear" w:color="auto" w:fill="FFFFFF"/>
        </w:rPr>
        <w:t>该</w:t>
      </w:r>
      <w:r>
        <w:rPr>
          <w:rFonts w:ascii="宋体" w:hAnsi="宋体" w:cs="宋体"/>
          <w:sz w:val="22"/>
          <w:szCs w:val="22"/>
          <w:highlight w:val="none"/>
          <w:shd w:val="clear" w:color="auto" w:fill="FFFFFF"/>
        </w:rPr>
        <w:t>场地充电服务费预算</w:t>
      </w:r>
      <w:r>
        <w:rPr>
          <w:rFonts w:hint="eastAsia" w:ascii="宋体" w:hAnsi="宋体" w:cs="宋体"/>
          <w:sz w:val="22"/>
          <w:szCs w:val="22"/>
          <w:highlight w:val="none"/>
          <w:shd w:val="clear" w:color="auto" w:fill="FFFFFF"/>
        </w:rPr>
        <w:t>单价</w:t>
      </w:r>
      <w:r>
        <w:rPr>
          <w:rFonts w:ascii="宋体" w:hAnsi="宋体" w:cs="宋体"/>
          <w:sz w:val="22"/>
          <w:szCs w:val="22"/>
          <w:highlight w:val="none"/>
          <w:shd w:val="clear" w:color="auto" w:fill="FFFFFF"/>
        </w:rPr>
        <w:t>上限，通过竞价的</w:t>
      </w:r>
      <w:r>
        <w:rPr>
          <w:rFonts w:hint="eastAsia" w:ascii="宋体" w:hAnsi="宋体" w:cs="宋体"/>
          <w:sz w:val="22"/>
          <w:szCs w:val="22"/>
          <w:highlight w:val="none"/>
          <w:shd w:val="clear" w:color="auto" w:fill="FFFFFF"/>
        </w:rPr>
        <w:t>方式</w:t>
      </w:r>
      <w:r>
        <w:rPr>
          <w:rFonts w:ascii="宋体" w:hAnsi="宋体" w:cs="宋体"/>
          <w:sz w:val="22"/>
          <w:szCs w:val="22"/>
          <w:highlight w:val="none"/>
          <w:shd w:val="clear" w:color="auto" w:fill="FFFFFF"/>
        </w:rPr>
        <w:t>，确定最低报价的供应商按照</w:t>
      </w:r>
      <w:r>
        <w:rPr>
          <w:rFonts w:hint="eastAsia" w:ascii="宋体" w:hAnsi="宋体" w:cs="宋体"/>
          <w:sz w:val="22"/>
          <w:szCs w:val="22"/>
          <w:highlight w:val="none"/>
          <w:shd w:val="clear" w:color="auto" w:fill="FFFFFF"/>
        </w:rPr>
        <w:t>其</w:t>
      </w:r>
      <w:r>
        <w:rPr>
          <w:rFonts w:ascii="宋体" w:hAnsi="宋体" w:cs="宋体"/>
          <w:sz w:val="22"/>
          <w:szCs w:val="22"/>
          <w:highlight w:val="none"/>
          <w:shd w:val="clear" w:color="auto" w:fill="FFFFFF"/>
        </w:rPr>
        <w:t>需求建设充电设施并提供充电服务</w:t>
      </w:r>
      <w:r>
        <w:rPr>
          <w:rFonts w:hint="eastAsia" w:ascii="宋体" w:hAnsi="宋体" w:cs="宋体"/>
          <w:sz w:val="22"/>
          <w:szCs w:val="22"/>
          <w:highlight w:val="none"/>
          <w:shd w:val="clear" w:color="auto" w:fill="FFFFFF"/>
        </w:rPr>
        <w:t>，该</w:t>
      </w:r>
      <w:r>
        <w:rPr>
          <w:rFonts w:ascii="宋体" w:hAnsi="宋体" w:cs="宋体"/>
          <w:sz w:val="22"/>
          <w:szCs w:val="22"/>
          <w:highlight w:val="none"/>
          <w:shd w:val="clear" w:color="auto" w:fill="FFFFFF"/>
        </w:rPr>
        <w:t>场站充电服务结算单价以</w:t>
      </w:r>
      <w:r>
        <w:rPr>
          <w:rFonts w:hint="eastAsia" w:ascii="宋体" w:hAnsi="宋体" w:cs="宋体"/>
          <w:sz w:val="22"/>
          <w:szCs w:val="22"/>
          <w:highlight w:val="none"/>
          <w:shd w:val="clear" w:color="auto" w:fill="FFFFFF"/>
        </w:rPr>
        <w:t>竞价</w:t>
      </w:r>
      <w:r>
        <w:rPr>
          <w:rFonts w:ascii="宋体" w:hAnsi="宋体" w:cs="宋体"/>
          <w:sz w:val="22"/>
          <w:szCs w:val="22"/>
          <w:highlight w:val="none"/>
          <w:shd w:val="clear" w:color="auto" w:fill="FFFFFF"/>
        </w:rPr>
        <w:t>的最终报价为准</w:t>
      </w:r>
      <w:r>
        <w:rPr>
          <w:rFonts w:hint="eastAsia" w:ascii="宋体" w:hAnsi="宋体" w:cs="宋体"/>
          <w:sz w:val="22"/>
          <w:szCs w:val="22"/>
          <w:highlight w:val="none"/>
          <w:shd w:val="clear" w:color="auto" w:fill="FFFFFF"/>
        </w:rPr>
        <w:t>。</w:t>
      </w:r>
    </w:p>
    <w:p>
      <w:pPr>
        <w:pStyle w:val="148"/>
        <w:keepNext w:val="0"/>
        <w:spacing w:after="0" w:line="440" w:lineRule="exact"/>
        <w:ind w:firstLine="440" w:firstLineChars="200"/>
        <w:jc w:val="left"/>
        <w:rPr>
          <w:rFonts w:ascii="宋体" w:hAnsi="宋体" w:cs="宋体"/>
          <w:b/>
          <w:bCs/>
          <w:sz w:val="22"/>
          <w:szCs w:val="22"/>
          <w:highlight w:val="none"/>
        </w:rPr>
      </w:pPr>
      <w:r>
        <w:rPr>
          <w:rFonts w:hint="eastAsia"/>
          <w:sz w:val="22"/>
          <w:szCs w:val="22"/>
          <w:highlight w:val="none"/>
        </w:rPr>
        <w:t>（三）对于需求单位特定区域范围以内的充电服务需求，在需求单位及充电服务供应商库中的供应商都无法提供用于建设充电设施的场地，以满足充电设施建设需求时，需求单位可以在库内选择附近的供应商提供充电服务，或根据实际需求通过公开招标等方式另行确定服务单位。</w:t>
      </w:r>
    </w:p>
    <w:p>
      <w:pPr>
        <w:pStyle w:val="148"/>
        <w:keepNext w:val="0"/>
        <w:spacing w:after="0" w:line="440" w:lineRule="exact"/>
        <w:ind w:firstLine="442" w:firstLineChars="200"/>
        <w:jc w:val="left"/>
        <w:rPr>
          <w:rFonts w:ascii="宋体" w:hAnsi="宋体" w:cs="宋体"/>
          <w:b/>
          <w:bCs/>
          <w:sz w:val="22"/>
          <w:szCs w:val="22"/>
          <w:highlight w:val="none"/>
        </w:rPr>
      </w:pPr>
      <w:r>
        <w:rPr>
          <w:rFonts w:hint="eastAsia" w:ascii="宋体" w:hAnsi="宋体" w:cs="宋体"/>
          <w:b/>
          <w:bCs/>
          <w:sz w:val="22"/>
          <w:szCs w:val="22"/>
          <w:highlight w:val="none"/>
        </w:rPr>
        <w:t>六、履约保证金</w:t>
      </w:r>
    </w:p>
    <w:p>
      <w:pPr>
        <w:pStyle w:val="148"/>
        <w:keepNext w:val="0"/>
        <w:spacing w:after="0" w:line="440" w:lineRule="exact"/>
        <w:ind w:firstLine="440" w:firstLineChars="200"/>
        <w:jc w:val="left"/>
        <w:rPr>
          <w:sz w:val="22"/>
          <w:szCs w:val="22"/>
          <w:highlight w:val="none"/>
        </w:rPr>
      </w:pPr>
      <w:r>
        <w:rPr>
          <w:rFonts w:hint="eastAsia"/>
          <w:sz w:val="22"/>
          <w:szCs w:val="22"/>
          <w:highlight w:val="none"/>
        </w:rPr>
        <w:t>（一）中标人在取得中标通知书后</w:t>
      </w:r>
      <w:r>
        <w:rPr>
          <w:sz w:val="22"/>
          <w:szCs w:val="22"/>
          <w:highlight w:val="none"/>
        </w:rPr>
        <w:t>1</w:t>
      </w:r>
      <w:r>
        <w:rPr>
          <w:rFonts w:hint="eastAsia"/>
          <w:sz w:val="22"/>
          <w:szCs w:val="22"/>
          <w:highlight w:val="none"/>
        </w:rPr>
        <w:t>个月内须向招标人提交履约担保金，招标人在收到履约担保后与中标人签订相关中标合同，担保金额为人民币</w:t>
      </w:r>
      <w:r>
        <w:rPr>
          <w:sz w:val="22"/>
          <w:szCs w:val="22"/>
          <w:highlight w:val="none"/>
          <w:u w:val="single"/>
        </w:rPr>
        <w:t xml:space="preserve"> </w:t>
      </w:r>
      <w:r>
        <w:rPr>
          <w:rFonts w:hint="eastAsia"/>
          <w:sz w:val="22"/>
          <w:szCs w:val="22"/>
          <w:highlight w:val="none"/>
          <w:u w:val="single"/>
        </w:rPr>
        <w:t>贰拾万</w:t>
      </w:r>
      <w:r>
        <w:rPr>
          <w:sz w:val="22"/>
          <w:szCs w:val="22"/>
          <w:highlight w:val="none"/>
          <w:u w:val="single"/>
        </w:rPr>
        <w:t xml:space="preserve"> </w:t>
      </w:r>
      <w:r>
        <w:rPr>
          <w:rFonts w:hint="eastAsia"/>
          <w:sz w:val="22"/>
          <w:szCs w:val="22"/>
          <w:highlight w:val="none"/>
        </w:rPr>
        <w:t>元整</w:t>
      </w:r>
      <w:r>
        <w:rPr>
          <w:sz w:val="22"/>
          <w:szCs w:val="22"/>
          <w:highlight w:val="none"/>
        </w:rPr>
        <w:t>(¥200,000</w:t>
      </w:r>
      <w:r>
        <w:rPr>
          <w:rFonts w:hint="eastAsia"/>
          <w:sz w:val="22"/>
          <w:szCs w:val="22"/>
          <w:highlight w:val="none"/>
        </w:rPr>
        <w:t>元</w:t>
      </w:r>
      <w:r>
        <w:rPr>
          <w:sz w:val="22"/>
          <w:szCs w:val="22"/>
          <w:highlight w:val="none"/>
        </w:rPr>
        <w:t>)</w:t>
      </w:r>
      <w:r>
        <w:rPr>
          <w:rFonts w:hint="eastAsia"/>
          <w:sz w:val="22"/>
          <w:szCs w:val="22"/>
          <w:highlight w:val="none"/>
        </w:rPr>
        <w:t>。如果中标人以银行转账、汇款等方式提交履约担保的，保证金在中标合同终止一个月后，在扣除中标人相应违约责任后（如有），由乙方申请办理无息退回。</w:t>
      </w:r>
    </w:p>
    <w:p>
      <w:pPr>
        <w:pStyle w:val="148"/>
        <w:keepNext w:val="0"/>
        <w:spacing w:after="0" w:line="440" w:lineRule="exact"/>
        <w:ind w:firstLine="440" w:firstLineChars="200"/>
        <w:jc w:val="left"/>
        <w:rPr>
          <w:sz w:val="22"/>
          <w:szCs w:val="22"/>
          <w:highlight w:val="none"/>
        </w:rPr>
      </w:pPr>
      <w:r>
        <w:rPr>
          <w:rFonts w:hint="eastAsia"/>
          <w:sz w:val="22"/>
          <w:szCs w:val="22"/>
          <w:highlight w:val="none"/>
        </w:rPr>
        <w:t>（二）履约担保金可以采用银行转账或者银行出具的担保函的形式缴交。</w:t>
      </w:r>
    </w:p>
    <w:p>
      <w:pPr>
        <w:pStyle w:val="148"/>
        <w:keepNext w:val="0"/>
        <w:spacing w:after="0" w:line="440" w:lineRule="exact"/>
        <w:ind w:firstLine="440" w:firstLineChars="200"/>
        <w:jc w:val="left"/>
        <w:rPr>
          <w:rFonts w:ascii="宋体" w:hAnsi="宋体" w:cs="宋体"/>
          <w:b/>
          <w:bCs/>
          <w:sz w:val="22"/>
          <w:szCs w:val="22"/>
          <w:highlight w:val="none"/>
        </w:rPr>
      </w:pPr>
      <w:r>
        <w:rPr>
          <w:rFonts w:hint="eastAsia"/>
          <w:sz w:val="22"/>
          <w:szCs w:val="22"/>
          <w:highlight w:val="none"/>
        </w:rPr>
        <w:t>（三）招标人原则上只接受国有商业银行或股份制商业银行的支行或其他以上级别银行出具的无条件不可撤销的履约保函，保函应为见索即付保函，保函不得附件任何条件。由非东莞市行政区域内的银行出具的银行履约保函需经担保银行所在地公证机关公证。履约保函的内容，应符合招标文件、投标响应文件和本合同的要求。履约保函应在本合同有效期满后</w:t>
      </w:r>
      <w:r>
        <w:rPr>
          <w:sz w:val="22"/>
          <w:szCs w:val="22"/>
          <w:highlight w:val="none"/>
        </w:rPr>
        <w:t>28</w:t>
      </w:r>
      <w:r>
        <w:rPr>
          <w:rFonts w:hint="eastAsia"/>
          <w:sz w:val="22"/>
          <w:szCs w:val="22"/>
          <w:highlight w:val="none"/>
        </w:rPr>
        <w:t>天内继续有效。</w:t>
      </w:r>
    </w:p>
    <w:p>
      <w:pPr>
        <w:pStyle w:val="148"/>
        <w:keepNext w:val="0"/>
        <w:spacing w:after="0" w:line="440" w:lineRule="exact"/>
        <w:ind w:firstLine="442" w:firstLineChars="200"/>
        <w:jc w:val="left"/>
        <w:rPr>
          <w:rFonts w:ascii="宋体" w:hAnsi="宋体" w:cs="宋体"/>
          <w:b/>
          <w:bCs/>
          <w:sz w:val="22"/>
          <w:szCs w:val="22"/>
          <w:highlight w:val="none"/>
        </w:rPr>
      </w:pPr>
      <w:r>
        <w:rPr>
          <w:rFonts w:hint="eastAsia" w:ascii="宋体" w:hAnsi="宋体" w:cs="宋体"/>
          <w:b/>
          <w:bCs/>
          <w:sz w:val="22"/>
          <w:szCs w:val="22"/>
          <w:highlight w:val="none"/>
        </w:rPr>
        <w:t>七</w:t>
      </w:r>
      <w:r>
        <w:rPr>
          <w:rFonts w:ascii="宋体" w:hAnsi="宋体" w:cs="宋体"/>
          <w:b/>
          <w:bCs/>
          <w:sz w:val="22"/>
          <w:szCs w:val="22"/>
          <w:highlight w:val="none"/>
        </w:rPr>
        <w:t>、</w:t>
      </w:r>
      <w:r>
        <w:rPr>
          <w:rFonts w:hint="eastAsia" w:ascii="宋体" w:hAnsi="宋体" w:cs="宋体"/>
          <w:b/>
          <w:bCs/>
          <w:sz w:val="22"/>
          <w:szCs w:val="22"/>
          <w:highlight w:val="none"/>
        </w:rPr>
        <w:t>供应商</w:t>
      </w:r>
      <w:r>
        <w:rPr>
          <w:rFonts w:ascii="宋体" w:hAnsi="宋体" w:cs="宋体"/>
          <w:b/>
          <w:bCs/>
          <w:sz w:val="22"/>
          <w:szCs w:val="22"/>
          <w:highlight w:val="none"/>
        </w:rPr>
        <w:t>考核</w:t>
      </w:r>
    </w:p>
    <w:p>
      <w:pPr>
        <w:pStyle w:val="148"/>
        <w:keepNext w:val="0"/>
        <w:spacing w:after="0" w:line="440" w:lineRule="exact"/>
        <w:ind w:firstLine="440" w:firstLineChars="200"/>
        <w:jc w:val="left"/>
        <w:rPr>
          <w:sz w:val="22"/>
          <w:szCs w:val="22"/>
          <w:highlight w:val="none"/>
        </w:rPr>
      </w:pPr>
      <w:r>
        <w:rPr>
          <w:rFonts w:hint="eastAsia"/>
          <w:sz w:val="22"/>
          <w:szCs w:val="22"/>
          <w:highlight w:val="none"/>
        </w:rPr>
        <w:t>（一）充电服务供应商在框架协议有效期内，连续</w:t>
      </w:r>
      <w:r>
        <w:rPr>
          <w:sz w:val="22"/>
          <w:szCs w:val="22"/>
          <w:highlight w:val="none"/>
        </w:rPr>
        <w:t>3</w:t>
      </w:r>
      <w:r>
        <w:rPr>
          <w:rFonts w:hint="eastAsia"/>
          <w:sz w:val="22"/>
          <w:szCs w:val="22"/>
          <w:highlight w:val="none"/>
        </w:rPr>
        <w:t>次或累计</w:t>
      </w:r>
      <w:r>
        <w:rPr>
          <w:sz w:val="22"/>
          <w:szCs w:val="22"/>
          <w:highlight w:val="none"/>
        </w:rPr>
        <w:t>5</w:t>
      </w:r>
      <w:r>
        <w:rPr>
          <w:rFonts w:hint="eastAsia"/>
          <w:sz w:val="22"/>
          <w:szCs w:val="22"/>
          <w:highlight w:val="none"/>
        </w:rPr>
        <w:t>次拒绝参与项目竞价的，招标人有权终止协议并没收其履约保证金。</w:t>
      </w:r>
    </w:p>
    <w:p>
      <w:pPr>
        <w:pStyle w:val="148"/>
        <w:keepNext w:val="0"/>
        <w:spacing w:after="0" w:line="440" w:lineRule="exact"/>
        <w:ind w:firstLine="440" w:firstLineChars="200"/>
        <w:jc w:val="left"/>
        <w:rPr>
          <w:sz w:val="22"/>
          <w:szCs w:val="22"/>
          <w:highlight w:val="none"/>
        </w:rPr>
      </w:pPr>
      <w:r>
        <w:rPr>
          <w:rFonts w:hint="eastAsia"/>
          <w:sz w:val="22"/>
          <w:szCs w:val="22"/>
          <w:highlight w:val="none"/>
        </w:rPr>
        <w:t>（二）充电服务供应商在签署独立充电服合同后，无故拒绝履行合同约定且累计次数达到</w:t>
      </w:r>
      <w:r>
        <w:rPr>
          <w:sz w:val="22"/>
          <w:szCs w:val="22"/>
          <w:highlight w:val="none"/>
        </w:rPr>
        <w:t>2</w:t>
      </w:r>
      <w:r>
        <w:rPr>
          <w:rFonts w:hint="eastAsia"/>
          <w:sz w:val="22"/>
          <w:szCs w:val="22"/>
          <w:highlight w:val="none"/>
        </w:rPr>
        <w:t>次的，招标人有权解除充电服务合同，同时终止框架协议并没收其履约保证金。</w:t>
      </w:r>
    </w:p>
    <w:p>
      <w:pPr>
        <w:pStyle w:val="148"/>
        <w:keepNext w:val="0"/>
        <w:spacing w:after="0" w:line="440" w:lineRule="exact"/>
        <w:ind w:firstLine="440" w:firstLineChars="200"/>
        <w:jc w:val="left"/>
        <w:rPr>
          <w:sz w:val="22"/>
          <w:szCs w:val="22"/>
          <w:highlight w:val="none"/>
        </w:rPr>
      </w:pPr>
      <w:r>
        <w:rPr>
          <w:rFonts w:hint="eastAsia"/>
          <w:sz w:val="22"/>
          <w:szCs w:val="22"/>
          <w:highlight w:val="none"/>
        </w:rPr>
        <w:t>（三）在提供充电服务过程中的服务考核，以具体签订的充电服务合同中的约定为准。</w:t>
      </w:r>
    </w:p>
    <w:p>
      <w:pPr>
        <w:pStyle w:val="148"/>
        <w:keepNext w:val="0"/>
        <w:spacing w:after="0" w:line="440" w:lineRule="exact"/>
        <w:ind w:firstLine="440" w:firstLineChars="200"/>
        <w:jc w:val="left"/>
        <w:rPr>
          <w:rFonts w:ascii="宋体" w:hAnsi="宋体" w:cs="宋体"/>
          <w:bCs/>
          <w:sz w:val="22"/>
          <w:szCs w:val="22"/>
          <w:highlight w:val="none"/>
        </w:rPr>
      </w:pPr>
      <w:r>
        <w:rPr>
          <w:rFonts w:hint="eastAsia" w:ascii="宋体" w:hAnsi="宋体" w:cs="宋体"/>
          <w:bCs/>
          <w:sz w:val="22"/>
          <w:szCs w:val="22"/>
          <w:highlight w:val="none"/>
        </w:rPr>
        <w:t>（四）招标人</w:t>
      </w:r>
      <w:r>
        <w:rPr>
          <w:rFonts w:ascii="宋体" w:hAnsi="宋体" w:cs="宋体"/>
          <w:bCs/>
          <w:sz w:val="22"/>
          <w:szCs w:val="22"/>
          <w:highlight w:val="none"/>
        </w:rPr>
        <w:t>及其下属子分公司每月按照《</w:t>
      </w:r>
      <w:r>
        <w:rPr>
          <w:rFonts w:hint="eastAsia" w:ascii="宋体" w:hAnsi="宋体" w:cs="宋体"/>
          <w:bCs/>
          <w:sz w:val="22"/>
          <w:szCs w:val="22"/>
          <w:highlight w:val="none"/>
        </w:rPr>
        <w:t>充电服务考核评分表</w:t>
      </w:r>
      <w:r>
        <w:rPr>
          <w:rFonts w:ascii="宋体" w:hAnsi="宋体" w:cs="宋体"/>
          <w:bCs/>
          <w:sz w:val="22"/>
          <w:szCs w:val="22"/>
          <w:highlight w:val="none"/>
        </w:rPr>
        <w:t>》</w:t>
      </w:r>
      <w:r>
        <w:rPr>
          <w:rFonts w:hint="eastAsia" w:ascii="宋体" w:hAnsi="宋体" w:cs="宋体"/>
          <w:bCs/>
          <w:sz w:val="22"/>
          <w:szCs w:val="22"/>
          <w:highlight w:val="none"/>
        </w:rPr>
        <w:t>（详见</w:t>
      </w:r>
      <w:r>
        <w:rPr>
          <w:rFonts w:ascii="宋体" w:hAnsi="宋体" w:cs="宋体"/>
          <w:bCs/>
          <w:sz w:val="22"/>
          <w:szCs w:val="22"/>
          <w:highlight w:val="none"/>
        </w:rPr>
        <w:t>附件</w:t>
      </w:r>
      <w:r>
        <w:rPr>
          <w:rFonts w:hint="eastAsia" w:ascii="宋体" w:hAnsi="宋体" w:cs="宋体"/>
          <w:bCs/>
          <w:sz w:val="22"/>
          <w:szCs w:val="22"/>
          <w:highlight w:val="none"/>
        </w:rPr>
        <w:t>）对中标人</w:t>
      </w:r>
      <w:r>
        <w:rPr>
          <w:rFonts w:ascii="宋体" w:hAnsi="宋体" w:cs="宋体"/>
          <w:bCs/>
          <w:sz w:val="22"/>
          <w:szCs w:val="22"/>
          <w:highlight w:val="none"/>
        </w:rPr>
        <w:t>提供的充电服务进行考核</w:t>
      </w:r>
      <w:r>
        <w:rPr>
          <w:rFonts w:hint="eastAsia" w:ascii="宋体" w:hAnsi="宋体" w:cs="宋体"/>
          <w:bCs/>
          <w:sz w:val="22"/>
          <w:szCs w:val="22"/>
          <w:highlight w:val="none"/>
        </w:rPr>
        <w:t>，</w:t>
      </w:r>
      <w:r>
        <w:rPr>
          <w:rFonts w:ascii="宋体" w:hAnsi="宋体" w:cs="宋体"/>
          <w:bCs/>
          <w:sz w:val="22"/>
          <w:szCs w:val="22"/>
          <w:highlight w:val="none"/>
        </w:rPr>
        <w:t>相关</w:t>
      </w:r>
      <w:r>
        <w:rPr>
          <w:rFonts w:hint="eastAsia" w:ascii="宋体" w:hAnsi="宋体" w:cs="宋体"/>
          <w:bCs/>
          <w:sz w:val="22"/>
          <w:szCs w:val="22"/>
          <w:highlight w:val="none"/>
        </w:rPr>
        <w:t>考核得分</w:t>
      </w:r>
      <w:r>
        <w:rPr>
          <w:rFonts w:ascii="宋体" w:hAnsi="宋体" w:cs="宋体"/>
          <w:bCs/>
          <w:sz w:val="22"/>
          <w:szCs w:val="22"/>
          <w:highlight w:val="none"/>
        </w:rPr>
        <w:t>与充电服务费扣减原则如下：</w:t>
      </w:r>
    </w:p>
    <w:p>
      <w:pPr>
        <w:pStyle w:val="148"/>
        <w:keepNext w:val="0"/>
        <w:spacing w:after="0" w:line="440" w:lineRule="exact"/>
        <w:ind w:firstLine="440" w:firstLineChars="200"/>
        <w:jc w:val="left"/>
        <w:rPr>
          <w:rFonts w:ascii="宋体" w:hAnsi="宋体" w:cs="宋体"/>
          <w:bCs/>
          <w:sz w:val="22"/>
          <w:szCs w:val="22"/>
          <w:highlight w:val="none"/>
        </w:rPr>
      </w:pPr>
      <w:r>
        <w:rPr>
          <w:rFonts w:ascii="宋体" w:hAnsi="宋体" w:cs="宋体"/>
          <w:bCs/>
          <w:sz w:val="22"/>
          <w:szCs w:val="22"/>
          <w:highlight w:val="none"/>
        </w:rPr>
        <w:t>1.充电服务考核得分≥95，不减扣充电服务费；</w:t>
      </w:r>
    </w:p>
    <w:p>
      <w:pPr>
        <w:pStyle w:val="148"/>
        <w:keepNext w:val="0"/>
        <w:spacing w:after="0" w:line="440" w:lineRule="exact"/>
        <w:ind w:firstLine="440" w:firstLineChars="200"/>
        <w:jc w:val="left"/>
        <w:rPr>
          <w:rFonts w:ascii="宋体" w:hAnsi="宋体" w:cs="宋体"/>
          <w:bCs/>
          <w:sz w:val="22"/>
          <w:szCs w:val="22"/>
          <w:highlight w:val="none"/>
        </w:rPr>
      </w:pPr>
      <w:r>
        <w:rPr>
          <w:rFonts w:ascii="宋体" w:hAnsi="宋体" w:cs="宋体"/>
          <w:bCs/>
          <w:sz w:val="22"/>
          <w:szCs w:val="22"/>
          <w:highlight w:val="none"/>
        </w:rPr>
        <w:t>2.</w:t>
      </w:r>
      <w:r>
        <w:rPr>
          <w:rFonts w:hint="eastAsia" w:ascii="宋体" w:hAnsi="宋体" w:cs="宋体"/>
          <w:bCs/>
          <w:sz w:val="22"/>
          <w:szCs w:val="22"/>
          <w:highlight w:val="none"/>
        </w:rPr>
        <w:t>充电服务考核得分为：</w:t>
      </w:r>
      <w:r>
        <w:rPr>
          <w:rFonts w:ascii="宋体" w:hAnsi="宋体" w:cs="宋体"/>
          <w:bCs/>
          <w:sz w:val="22"/>
          <w:szCs w:val="22"/>
          <w:highlight w:val="none"/>
        </w:rPr>
        <w:t>90≤充电服务考核得分&lt;95，扣除充电服务费5000元；</w:t>
      </w:r>
    </w:p>
    <w:p>
      <w:pPr>
        <w:pStyle w:val="148"/>
        <w:keepNext w:val="0"/>
        <w:spacing w:after="0" w:line="440" w:lineRule="exact"/>
        <w:ind w:firstLine="440" w:firstLineChars="200"/>
        <w:jc w:val="left"/>
        <w:rPr>
          <w:rFonts w:ascii="宋体" w:hAnsi="宋体" w:cs="宋体"/>
          <w:bCs/>
          <w:sz w:val="22"/>
          <w:szCs w:val="22"/>
          <w:highlight w:val="none"/>
        </w:rPr>
      </w:pPr>
      <w:r>
        <w:rPr>
          <w:rFonts w:ascii="宋体" w:hAnsi="宋体" w:cs="宋体"/>
          <w:bCs/>
          <w:sz w:val="22"/>
          <w:szCs w:val="22"/>
          <w:highlight w:val="none"/>
        </w:rPr>
        <w:t>3.充电服务考核得分为：85≤充电服务考核得分&lt;90，扣除充电服务费10000元；</w:t>
      </w:r>
    </w:p>
    <w:p>
      <w:pPr>
        <w:pStyle w:val="148"/>
        <w:keepNext w:val="0"/>
        <w:spacing w:after="0" w:line="440" w:lineRule="exact"/>
        <w:ind w:firstLine="440" w:firstLineChars="200"/>
        <w:jc w:val="left"/>
        <w:rPr>
          <w:rFonts w:ascii="宋体" w:hAnsi="宋体" w:cs="宋体"/>
          <w:bCs/>
          <w:sz w:val="22"/>
          <w:szCs w:val="22"/>
          <w:highlight w:val="none"/>
        </w:rPr>
      </w:pPr>
      <w:r>
        <w:rPr>
          <w:rFonts w:ascii="宋体" w:hAnsi="宋体" w:cs="宋体"/>
          <w:bCs/>
          <w:sz w:val="22"/>
          <w:szCs w:val="22"/>
          <w:highlight w:val="none"/>
        </w:rPr>
        <w:t>4.</w:t>
      </w:r>
      <w:r>
        <w:rPr>
          <w:rFonts w:hint="eastAsia" w:ascii="宋体" w:hAnsi="宋体" w:cs="宋体"/>
          <w:bCs/>
          <w:sz w:val="22"/>
          <w:szCs w:val="22"/>
          <w:highlight w:val="none"/>
        </w:rPr>
        <w:t>充电服务考核得分为：</w:t>
      </w:r>
      <w:r>
        <w:rPr>
          <w:rFonts w:ascii="宋体" w:hAnsi="宋体" w:cs="宋体"/>
          <w:bCs/>
          <w:sz w:val="22"/>
          <w:szCs w:val="22"/>
          <w:highlight w:val="none"/>
        </w:rPr>
        <w:t>80≤充电服务考核得分&lt;85，扣除充电服务费20000元；</w:t>
      </w:r>
    </w:p>
    <w:p>
      <w:pPr>
        <w:pStyle w:val="148"/>
        <w:keepNext w:val="0"/>
        <w:spacing w:after="0" w:line="440" w:lineRule="exact"/>
        <w:ind w:firstLine="440" w:firstLineChars="200"/>
        <w:jc w:val="left"/>
        <w:rPr>
          <w:rFonts w:ascii="宋体" w:hAnsi="宋体" w:cs="宋体"/>
          <w:bCs/>
          <w:sz w:val="22"/>
          <w:szCs w:val="22"/>
          <w:highlight w:val="none"/>
        </w:rPr>
      </w:pPr>
      <w:r>
        <w:rPr>
          <w:rFonts w:ascii="宋体" w:hAnsi="宋体" w:cs="宋体"/>
          <w:bCs/>
          <w:sz w:val="22"/>
          <w:szCs w:val="22"/>
          <w:highlight w:val="none"/>
        </w:rPr>
        <w:t>5.充电服务考核得分&lt;80，扣除充电服务费30000元</w:t>
      </w:r>
      <w:r>
        <w:rPr>
          <w:rFonts w:hint="eastAsia" w:ascii="宋体" w:hAnsi="宋体" w:cs="宋体"/>
          <w:bCs/>
          <w:sz w:val="22"/>
          <w:szCs w:val="22"/>
          <w:highlight w:val="none"/>
        </w:rPr>
        <w:t>。</w:t>
      </w:r>
    </w:p>
    <w:p>
      <w:pPr>
        <w:pStyle w:val="148"/>
        <w:keepNext w:val="0"/>
        <w:spacing w:after="0" w:line="440" w:lineRule="exact"/>
        <w:ind w:firstLine="442" w:firstLineChars="200"/>
        <w:jc w:val="left"/>
        <w:rPr>
          <w:rFonts w:ascii="宋体" w:hAnsi="宋体" w:cs="宋体"/>
          <w:b/>
          <w:bCs/>
          <w:sz w:val="22"/>
          <w:szCs w:val="22"/>
          <w:highlight w:val="none"/>
        </w:rPr>
      </w:pPr>
      <w:r>
        <w:rPr>
          <w:rFonts w:hint="eastAsia" w:ascii="宋体" w:hAnsi="宋体" w:cs="宋体"/>
          <w:b/>
          <w:bCs/>
          <w:sz w:val="22"/>
          <w:szCs w:val="22"/>
          <w:highlight w:val="none"/>
        </w:rPr>
        <w:t>八、结算条款</w:t>
      </w:r>
    </w:p>
    <w:p>
      <w:pPr>
        <w:pStyle w:val="148"/>
        <w:keepNext w:val="0"/>
        <w:spacing w:after="0" w:line="440" w:lineRule="exact"/>
        <w:ind w:firstLine="440" w:firstLineChars="200"/>
        <w:jc w:val="left"/>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（一）充电服务费</w:t>
      </w:r>
    </w:p>
    <w:p>
      <w:pPr>
        <w:pStyle w:val="148"/>
        <w:keepNext w:val="0"/>
        <w:spacing w:after="0" w:line="440" w:lineRule="exact"/>
        <w:ind w:firstLine="440" w:firstLineChars="200"/>
        <w:jc w:val="left"/>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对应中标人为招标人各下属公司公交车辆提供充电服务实际发生的用电量，招标人各下属公司向中标人支付相应的充电服务费，服务费以</w:t>
      </w:r>
      <w:r>
        <w:rPr>
          <w:rFonts w:hint="eastAsia" w:asciiTheme="minorEastAsia" w:hAnsiTheme="minorEastAsia" w:eastAsiaTheme="minorEastAsia"/>
          <w:sz w:val="22"/>
          <w:szCs w:val="22"/>
          <w:highlight w:val="none"/>
          <w:u w:val="single"/>
        </w:rPr>
        <w:t>中标单价</w:t>
      </w:r>
      <w:r>
        <w:rPr>
          <w:rFonts w:asciiTheme="minorEastAsia" w:hAnsiTheme="minorEastAsia" w:eastAsiaTheme="minorEastAsia"/>
          <w:sz w:val="22"/>
          <w:szCs w:val="22"/>
          <w:highlight w:val="none"/>
        </w:rPr>
        <w:t>作为基准价，用电谷峰时段充电总量的充电服务费根据基准价的100%乘以投标费率计算；用电平峰时段充电总量的充电服务费根据基准价的90%乘以投标费率计算；用电尖峰时段充电总量的充电服务费根据基准价的80%乘以投标费率计算。</w:t>
      </w:r>
    </w:p>
    <w:p>
      <w:pPr>
        <w:pStyle w:val="148"/>
        <w:keepNext w:val="0"/>
        <w:spacing w:after="0" w:line="440" w:lineRule="exact"/>
        <w:ind w:firstLine="440" w:firstLineChars="200"/>
        <w:jc w:val="left"/>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（二）场地使用补偿费</w:t>
      </w:r>
    </w:p>
    <w:p>
      <w:pPr>
        <w:pStyle w:val="148"/>
        <w:keepNext w:val="0"/>
        <w:spacing w:after="0" w:line="440" w:lineRule="exact"/>
        <w:ind w:firstLine="440" w:firstLineChars="200"/>
        <w:jc w:val="left"/>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中标人每月向招标人及各</w:t>
      </w:r>
      <w:r>
        <w:rPr>
          <w:rFonts w:asciiTheme="minorEastAsia" w:hAnsiTheme="minorEastAsia" w:eastAsiaTheme="minorEastAsia"/>
          <w:sz w:val="22"/>
          <w:szCs w:val="22"/>
          <w:highlight w:val="none"/>
        </w:rPr>
        <w:t>下属公司</w:t>
      </w:r>
      <w:r>
        <w:rPr>
          <w:rFonts w:hint="eastAsia" w:asciiTheme="minorEastAsia" w:hAnsiTheme="minorEastAsia" w:eastAsiaTheme="minorEastAsia"/>
          <w:sz w:val="22"/>
          <w:szCs w:val="22"/>
          <w:highlight w:val="none"/>
        </w:rPr>
        <w:t>支付场地使用费，以租用面积（变电站、监控室及充电车位的合计总面积）乘以招标人或</w:t>
      </w:r>
      <w:r>
        <w:rPr>
          <w:rFonts w:asciiTheme="minorEastAsia" w:hAnsiTheme="minorEastAsia" w:eastAsiaTheme="minorEastAsia"/>
          <w:sz w:val="22"/>
          <w:szCs w:val="22"/>
          <w:highlight w:val="none"/>
        </w:rPr>
        <w:t>各下属</w:t>
      </w:r>
      <w:r>
        <w:rPr>
          <w:rFonts w:hint="eastAsia" w:asciiTheme="minorEastAsia" w:hAnsiTheme="minorEastAsia" w:eastAsiaTheme="minorEastAsia"/>
          <w:sz w:val="22"/>
          <w:szCs w:val="22"/>
          <w:highlight w:val="none"/>
        </w:rPr>
        <w:t>公司向原业主支付的土地租赁单价计算。其中变电站和监控室按实际占地面积计算，充电车位面积按实际建设使用的充电车位个数乘以单个面积（</w:t>
      </w:r>
      <w:r>
        <w:rPr>
          <w:rFonts w:asciiTheme="minorEastAsia" w:hAnsiTheme="minorEastAsia" w:eastAsiaTheme="minorEastAsia"/>
          <w:sz w:val="22"/>
          <w:szCs w:val="22"/>
          <w:highlight w:val="none"/>
        </w:rPr>
        <w:t>12.25平方米/个）计算。（适用甲方提供场地）</w:t>
      </w:r>
    </w:p>
    <w:p>
      <w:pPr>
        <w:pStyle w:val="148"/>
        <w:keepNext w:val="0"/>
        <w:spacing w:after="0" w:line="440" w:lineRule="exact"/>
        <w:ind w:firstLine="440" w:firstLineChars="200"/>
        <w:jc w:val="left"/>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（二）价格</w:t>
      </w:r>
      <w:r>
        <w:rPr>
          <w:rFonts w:asciiTheme="minorEastAsia" w:hAnsiTheme="minorEastAsia" w:eastAsiaTheme="minorEastAsia"/>
          <w:sz w:val="22"/>
          <w:szCs w:val="22"/>
          <w:highlight w:val="none"/>
        </w:rPr>
        <w:t>调整</w:t>
      </w:r>
    </w:p>
    <w:p>
      <w:pPr>
        <w:pStyle w:val="148"/>
        <w:keepNext w:val="0"/>
        <w:spacing w:after="0" w:line="440" w:lineRule="exact"/>
        <w:ind w:firstLine="440" w:firstLineChars="200"/>
        <w:jc w:val="left"/>
        <w:rPr>
          <w:rFonts w:asciiTheme="minorEastAsia" w:hAnsiTheme="minorEastAsia" w:eastAsiaTheme="minorEastAsia"/>
          <w:bCs/>
          <w:sz w:val="22"/>
          <w:szCs w:val="22"/>
          <w:highlight w:val="none"/>
        </w:rPr>
      </w:pPr>
      <w:r>
        <w:rPr>
          <w:rFonts w:asciiTheme="minorEastAsia" w:hAnsiTheme="minorEastAsia" w:eastAsiaTheme="minorEastAsia"/>
          <w:bCs/>
          <w:sz w:val="22"/>
          <w:szCs w:val="22"/>
          <w:highlight w:val="none"/>
        </w:rPr>
        <w:t>1.</w:t>
      </w:r>
      <w:r>
        <w:rPr>
          <w:rFonts w:hint="eastAsia" w:asciiTheme="minorEastAsia" w:hAnsiTheme="minorEastAsia" w:eastAsiaTheme="minorEastAsia"/>
          <w:bCs/>
          <w:sz w:val="22"/>
          <w:szCs w:val="22"/>
          <w:highlight w:val="none"/>
        </w:rPr>
        <w:t>充电</w:t>
      </w:r>
      <w:r>
        <w:rPr>
          <w:rFonts w:asciiTheme="minorEastAsia" w:hAnsiTheme="minorEastAsia" w:eastAsiaTheme="minorEastAsia"/>
          <w:bCs/>
          <w:sz w:val="22"/>
          <w:szCs w:val="22"/>
          <w:highlight w:val="none"/>
        </w:rPr>
        <w:t>服务费</w:t>
      </w:r>
      <w:r>
        <w:rPr>
          <w:rFonts w:hint="eastAsia" w:asciiTheme="minorEastAsia" w:hAnsiTheme="minorEastAsia" w:eastAsiaTheme="minorEastAsia"/>
          <w:bCs/>
          <w:sz w:val="22"/>
          <w:szCs w:val="22"/>
          <w:highlight w:val="none"/>
        </w:rPr>
        <w:t>最高限价根据《关于调整电动汽车充电服务费标准的通知》（东发改〔</w:t>
      </w:r>
      <w:r>
        <w:rPr>
          <w:rFonts w:asciiTheme="minorEastAsia" w:hAnsiTheme="minorEastAsia" w:eastAsiaTheme="minorEastAsia"/>
          <w:bCs/>
          <w:sz w:val="22"/>
          <w:szCs w:val="22"/>
          <w:highlight w:val="none"/>
        </w:rPr>
        <w:t>2017〕285号）进行制定，如服务期内因国家或地区关于充电服务费的政策发生变动，甲方有权对合同结算单价进行调整，具体价格另行确定</w:t>
      </w:r>
      <w:r>
        <w:rPr>
          <w:rFonts w:hint="eastAsia" w:asciiTheme="minorEastAsia" w:hAnsiTheme="minorEastAsia" w:eastAsiaTheme="minorEastAsia"/>
          <w:bCs/>
          <w:sz w:val="22"/>
          <w:szCs w:val="22"/>
          <w:highlight w:val="none"/>
        </w:rPr>
        <w:t>，</w:t>
      </w:r>
      <w:r>
        <w:rPr>
          <w:rFonts w:asciiTheme="minorEastAsia" w:hAnsiTheme="minorEastAsia" w:eastAsiaTheme="minorEastAsia"/>
          <w:bCs/>
          <w:sz w:val="22"/>
          <w:szCs w:val="22"/>
          <w:highlight w:val="none"/>
        </w:rPr>
        <w:t>但最终结算基准价不超过</w:t>
      </w:r>
      <w:r>
        <w:rPr>
          <w:rFonts w:hint="eastAsia" w:asciiTheme="minorEastAsia" w:hAnsiTheme="minorEastAsia" w:eastAsiaTheme="minorEastAsia"/>
          <w:bCs/>
          <w:sz w:val="22"/>
          <w:szCs w:val="22"/>
          <w:highlight w:val="none"/>
        </w:rPr>
        <w:t>相关政策</w:t>
      </w:r>
      <w:r>
        <w:rPr>
          <w:rFonts w:asciiTheme="minorEastAsia" w:hAnsiTheme="minorEastAsia" w:eastAsiaTheme="minorEastAsia"/>
          <w:bCs/>
          <w:sz w:val="22"/>
          <w:szCs w:val="22"/>
          <w:highlight w:val="none"/>
        </w:rPr>
        <w:t>的限价及中标人的投标报价</w:t>
      </w:r>
      <w:r>
        <w:rPr>
          <w:rFonts w:hint="eastAsia" w:asciiTheme="minorEastAsia" w:hAnsiTheme="minorEastAsia" w:eastAsiaTheme="minorEastAsia"/>
          <w:bCs/>
          <w:sz w:val="22"/>
          <w:szCs w:val="22"/>
          <w:highlight w:val="none"/>
        </w:rPr>
        <w:t>。</w:t>
      </w:r>
    </w:p>
    <w:p>
      <w:pPr>
        <w:pStyle w:val="148"/>
        <w:keepNext w:val="0"/>
        <w:spacing w:after="0" w:line="440" w:lineRule="exact"/>
        <w:ind w:firstLine="440" w:firstLineChars="200"/>
        <w:jc w:val="left"/>
        <w:rPr>
          <w:rFonts w:cs="宋体" w:asciiTheme="minorEastAsia" w:hAnsiTheme="minorEastAsia" w:eastAsiaTheme="minorEastAsia"/>
          <w:b/>
          <w:bCs/>
          <w:sz w:val="22"/>
          <w:szCs w:val="22"/>
          <w:highlight w:val="none"/>
        </w:rPr>
      </w:pPr>
      <w:r>
        <w:rPr>
          <w:rFonts w:asciiTheme="minorEastAsia" w:hAnsiTheme="minorEastAsia" w:eastAsiaTheme="minorEastAsia"/>
          <w:bCs/>
          <w:sz w:val="22"/>
          <w:szCs w:val="22"/>
          <w:highlight w:val="none"/>
        </w:rPr>
        <w:t>2.电费单价</w:t>
      </w:r>
      <w:r>
        <w:rPr>
          <w:rFonts w:hint="eastAsia" w:asciiTheme="minorEastAsia" w:hAnsiTheme="minorEastAsia" w:eastAsiaTheme="minorEastAsia"/>
          <w:bCs/>
          <w:sz w:val="22"/>
          <w:szCs w:val="22"/>
          <w:highlight w:val="none"/>
        </w:rPr>
        <w:t>以</w:t>
      </w:r>
      <w:r>
        <w:rPr>
          <w:rFonts w:asciiTheme="minorEastAsia" w:hAnsiTheme="minorEastAsia" w:eastAsiaTheme="minorEastAsia"/>
          <w:bCs/>
          <w:sz w:val="22"/>
          <w:szCs w:val="22"/>
          <w:highlight w:val="none"/>
        </w:rPr>
        <w:t>中国南方电网有限责任公司档期公布的电费单价</w:t>
      </w:r>
      <w:r>
        <w:rPr>
          <w:rFonts w:hint="eastAsia" w:asciiTheme="minorEastAsia" w:hAnsiTheme="minorEastAsia" w:eastAsiaTheme="minorEastAsia"/>
          <w:bCs/>
          <w:sz w:val="22"/>
          <w:szCs w:val="22"/>
          <w:highlight w:val="none"/>
        </w:rPr>
        <w:t>为准</w:t>
      </w:r>
      <w:r>
        <w:rPr>
          <w:rFonts w:asciiTheme="minorEastAsia" w:hAnsiTheme="minorEastAsia" w:eastAsiaTheme="minorEastAsia"/>
          <w:bCs/>
          <w:sz w:val="22"/>
          <w:szCs w:val="22"/>
          <w:highlight w:val="none"/>
        </w:rPr>
        <w:t>，如果服务期内因国家或地区</w:t>
      </w:r>
      <w:r>
        <w:rPr>
          <w:rFonts w:hint="eastAsia"/>
          <w:sz w:val="22"/>
          <w:szCs w:val="22"/>
          <w:highlight w:val="none"/>
        </w:rPr>
        <w:t>颁布关于电费优惠政策的，招标人及其下属子分公司有权按相关优惠政策支付电费。</w:t>
      </w:r>
    </w:p>
    <w:p>
      <w:pPr>
        <w:pStyle w:val="148"/>
        <w:keepNext w:val="0"/>
        <w:spacing w:after="0" w:line="440" w:lineRule="exact"/>
        <w:ind w:firstLine="442" w:firstLineChars="200"/>
        <w:jc w:val="left"/>
        <w:rPr>
          <w:rFonts w:cs="宋体" w:asciiTheme="minorEastAsia" w:hAnsiTheme="minorEastAsia" w:eastAsiaTheme="minorEastAsia"/>
          <w:b/>
          <w:bCs/>
          <w:sz w:val="22"/>
          <w:szCs w:val="22"/>
          <w:highlight w:val="none"/>
        </w:rPr>
      </w:pPr>
      <w:r>
        <w:rPr>
          <w:rFonts w:hint="eastAsia" w:cs="宋体" w:asciiTheme="minorEastAsia" w:hAnsiTheme="minorEastAsia" w:eastAsiaTheme="minorEastAsia"/>
          <w:b/>
          <w:bCs/>
          <w:sz w:val="22"/>
          <w:szCs w:val="22"/>
          <w:highlight w:val="none"/>
        </w:rPr>
        <w:t>九、重要提示</w:t>
      </w:r>
    </w:p>
    <w:p>
      <w:pPr>
        <w:pStyle w:val="148"/>
        <w:keepNext w:val="0"/>
        <w:spacing w:after="0" w:line="440" w:lineRule="exact"/>
        <w:ind w:firstLine="440" w:firstLineChars="200"/>
        <w:jc w:val="left"/>
        <w:rPr>
          <w:rFonts w:ascii="宋体" w:hAnsi="宋体" w:cs="宋体"/>
          <w:sz w:val="22"/>
          <w:szCs w:val="22"/>
          <w:highlight w:val="none"/>
        </w:rPr>
      </w:pPr>
      <w:r>
        <w:rPr>
          <w:rFonts w:ascii="宋体" w:hAnsi="宋体" w:cs="宋体"/>
          <w:sz w:val="22"/>
          <w:szCs w:val="22"/>
          <w:highlight w:val="none"/>
        </w:rPr>
        <w:t>1、投标人必须清楚理解入库资格的取得并不意味着服务机会的获得，采购人无法预计也无法保证入库服务单位所能获得的服务项目数量与金额；对此投标人必须承诺不得向采购人追讨任何费用。</w:t>
      </w:r>
    </w:p>
    <w:p>
      <w:pPr>
        <w:pStyle w:val="148"/>
        <w:keepNext w:val="0"/>
        <w:spacing w:after="0" w:line="440" w:lineRule="exact"/>
        <w:ind w:firstLine="440" w:firstLineChars="200"/>
        <w:jc w:val="left"/>
        <w:rPr>
          <w:rFonts w:ascii="宋体" w:hAnsi="宋体" w:cs="宋体"/>
          <w:sz w:val="22"/>
          <w:szCs w:val="22"/>
          <w:highlight w:val="none"/>
        </w:rPr>
      </w:pPr>
      <w:r>
        <w:rPr>
          <w:rFonts w:ascii="宋体" w:hAnsi="宋体" w:cs="宋体"/>
          <w:sz w:val="22"/>
          <w:szCs w:val="22"/>
          <w:highlight w:val="none"/>
        </w:rPr>
        <w:t>2</w:t>
      </w:r>
      <w:r>
        <w:rPr>
          <w:rFonts w:hint="eastAsia" w:ascii="宋体" w:hAnsi="宋体" w:cs="宋体"/>
          <w:sz w:val="22"/>
          <w:szCs w:val="22"/>
          <w:highlight w:val="none"/>
        </w:rPr>
        <w:t>、若中标，投标人必须以投标文件或优于投标文件的要求进行服务。若投标人违反此约定，将被列入东莞巴士有限公司黑名单。</w:t>
      </w:r>
    </w:p>
    <w:p>
      <w:pPr>
        <w:snapToGrid w:val="0"/>
        <w:spacing w:line="440" w:lineRule="exact"/>
        <w:ind w:firstLine="440" w:firstLineChars="200"/>
        <w:jc w:val="left"/>
        <w:rPr>
          <w:rFonts w:ascii="宋体" w:hAnsi="宋体" w:cs="宋体"/>
          <w:sz w:val="22"/>
          <w:szCs w:val="22"/>
          <w:highlight w:val="none"/>
        </w:rPr>
      </w:pPr>
      <w:r>
        <w:rPr>
          <w:rFonts w:ascii="宋体" w:hAnsi="宋体" w:cs="宋体"/>
          <w:sz w:val="22"/>
          <w:szCs w:val="22"/>
          <w:highlight w:val="none"/>
        </w:rPr>
        <w:t>3、如入库的投标人在合同期间无正当理由申请退库或因</w:t>
      </w:r>
      <w:r>
        <w:rPr>
          <w:rFonts w:hint="eastAsia" w:ascii="宋体" w:hAnsi="宋体" w:cs="宋体"/>
          <w:sz w:val="22"/>
          <w:szCs w:val="22"/>
          <w:highlight w:val="none"/>
        </w:rPr>
        <w:t>违反</w:t>
      </w:r>
      <w:r>
        <w:rPr>
          <w:rFonts w:ascii="宋体" w:hAnsi="宋体" w:cs="宋体"/>
          <w:sz w:val="22"/>
          <w:szCs w:val="22"/>
          <w:highlight w:val="none"/>
        </w:rPr>
        <w:t>法律法规</w:t>
      </w:r>
      <w:r>
        <w:rPr>
          <w:rFonts w:hint="eastAsia" w:ascii="宋体" w:hAnsi="宋体" w:cs="宋体"/>
          <w:sz w:val="22"/>
          <w:szCs w:val="22"/>
          <w:highlight w:val="none"/>
        </w:rPr>
        <w:t>受到</w:t>
      </w:r>
      <w:r>
        <w:rPr>
          <w:rFonts w:ascii="宋体" w:hAnsi="宋体" w:cs="宋体"/>
          <w:sz w:val="22"/>
          <w:szCs w:val="22"/>
          <w:highlight w:val="none"/>
        </w:rPr>
        <w:t>处罚而被我司强制退库，我司有权</w:t>
      </w:r>
      <w:r>
        <w:rPr>
          <w:rFonts w:hint="eastAsia" w:ascii="宋体" w:hAnsi="宋体" w:cs="宋体"/>
          <w:sz w:val="22"/>
          <w:szCs w:val="22"/>
          <w:highlight w:val="none"/>
        </w:rPr>
        <w:t>将其列入东莞巴士有限公司黑名单，</w:t>
      </w:r>
      <w:r>
        <w:rPr>
          <w:rFonts w:ascii="宋体" w:hAnsi="宋体" w:cs="宋体"/>
          <w:sz w:val="22"/>
          <w:szCs w:val="22"/>
          <w:highlight w:val="none"/>
        </w:rPr>
        <w:t>并拒绝其参与我司</w:t>
      </w:r>
      <w:r>
        <w:rPr>
          <w:rFonts w:hint="eastAsia" w:ascii="宋体"/>
          <w:bCs/>
          <w:sz w:val="22"/>
          <w:szCs w:val="22"/>
          <w:highlight w:val="none"/>
        </w:rPr>
        <w:t>充电服务资格供应商采购项目</w:t>
      </w:r>
      <w:r>
        <w:rPr>
          <w:rFonts w:ascii="宋体" w:hAnsi="宋体" w:cs="宋体"/>
          <w:sz w:val="22"/>
          <w:szCs w:val="22"/>
          <w:highlight w:val="none"/>
        </w:rPr>
        <w:t>投标。</w:t>
      </w:r>
    </w:p>
    <w:p>
      <w:pPr>
        <w:snapToGrid w:val="0"/>
        <w:spacing w:line="440" w:lineRule="exact"/>
        <w:ind w:firstLine="440" w:firstLineChars="200"/>
        <w:jc w:val="left"/>
        <w:rPr>
          <w:rFonts w:ascii="宋体" w:hAnsi="宋体" w:cs="宋体"/>
          <w:sz w:val="22"/>
          <w:szCs w:val="22"/>
          <w:highlight w:val="none"/>
        </w:rPr>
      </w:pPr>
      <w:r>
        <w:rPr>
          <w:rFonts w:ascii="宋体" w:hAnsi="宋体" w:cs="宋体"/>
          <w:kern w:val="2"/>
          <w:sz w:val="22"/>
          <w:szCs w:val="22"/>
          <w:highlight w:val="none"/>
        </w:rPr>
        <w:t>4、</w:t>
      </w:r>
      <w:r>
        <w:rPr>
          <w:rFonts w:hint="eastAsia" w:ascii="宋体" w:hAnsi="宋体" w:cs="宋体"/>
          <w:kern w:val="2"/>
          <w:sz w:val="22"/>
          <w:szCs w:val="22"/>
          <w:highlight w:val="none"/>
        </w:rPr>
        <w:t>投</w:t>
      </w:r>
      <w:r>
        <w:rPr>
          <w:rFonts w:hint="eastAsia" w:ascii="宋体" w:hAnsi="宋体" w:cs="宋体"/>
          <w:sz w:val="22"/>
          <w:szCs w:val="22"/>
          <w:highlight w:val="none"/>
        </w:rPr>
        <w:t>标人投标即默认同意招标文件所有条款。</w:t>
      </w:r>
    </w:p>
    <w:p>
      <w:pPr>
        <w:pStyle w:val="2"/>
        <w:spacing w:line="440" w:lineRule="exact"/>
        <w:ind w:left="0" w:leftChars="0" w:firstLine="0" w:firstLineChars="0"/>
        <w:rPr>
          <w:rFonts w:ascii="宋体" w:hAnsi="宋体" w:cs="宋体"/>
          <w:kern w:val="0"/>
          <w:sz w:val="22"/>
          <w:szCs w:val="22"/>
          <w:highlight w:val="none"/>
        </w:rPr>
        <w:sectPr>
          <w:footerReference r:id="rId12" w:type="first"/>
          <w:footerReference r:id="rId11" w:type="default"/>
          <w:pgSz w:w="11906" w:h="16838"/>
          <w:pgMar w:top="1531" w:right="1531" w:bottom="1531" w:left="1531" w:header="935" w:footer="964" w:gutter="0"/>
          <w:paperSrc w:first="7" w:other="7"/>
          <w:pgNumType w:fmt="decimal"/>
          <w:cols w:space="0" w:num="1"/>
          <w:titlePg/>
          <w:docGrid w:linePitch="312" w:charSpace="0"/>
        </w:sectPr>
      </w:pPr>
      <w:r>
        <w:rPr>
          <w:rFonts w:ascii="宋体" w:hAnsi="宋体" w:cs="宋体"/>
          <w:kern w:val="0"/>
          <w:sz w:val="22"/>
          <w:szCs w:val="22"/>
          <w:highlight w:val="none"/>
        </w:rPr>
        <w:t xml:space="preserve">    5</w:t>
      </w:r>
      <w:r>
        <w:rPr>
          <w:rFonts w:hint="eastAsia" w:ascii="宋体" w:hAnsi="宋体" w:cs="宋体"/>
          <w:kern w:val="0"/>
          <w:sz w:val="22"/>
          <w:szCs w:val="22"/>
          <w:highlight w:val="none"/>
        </w:rPr>
        <w:t>、中标人须向代理机构支付代理服务费，费用标准为</w:t>
      </w:r>
      <w:r>
        <w:rPr>
          <w:rFonts w:ascii="宋体" w:hAnsi="宋体" w:cs="宋体"/>
          <w:kern w:val="0"/>
          <w:sz w:val="22"/>
          <w:szCs w:val="22"/>
          <w:highlight w:val="none"/>
        </w:rPr>
        <w:t>5000</w:t>
      </w:r>
      <w:r>
        <w:rPr>
          <w:rFonts w:hint="eastAsia" w:ascii="宋体" w:hAnsi="宋体" w:cs="宋体"/>
          <w:kern w:val="0"/>
          <w:sz w:val="22"/>
          <w:szCs w:val="22"/>
          <w:highlight w:val="none"/>
        </w:rPr>
        <w:t>元</w:t>
      </w:r>
      <w:r>
        <w:rPr>
          <w:rFonts w:ascii="宋体" w:hAnsi="宋体" w:cs="宋体"/>
          <w:kern w:val="0"/>
          <w:sz w:val="22"/>
          <w:szCs w:val="22"/>
          <w:highlight w:val="none"/>
        </w:rPr>
        <w:t>/</w:t>
      </w:r>
      <w:r>
        <w:rPr>
          <w:rFonts w:hint="eastAsia" w:ascii="宋体" w:hAnsi="宋体" w:cs="宋体"/>
          <w:kern w:val="0"/>
          <w:sz w:val="22"/>
          <w:szCs w:val="22"/>
          <w:highlight w:val="none"/>
        </w:rPr>
        <w:t>家。</w:t>
      </w:r>
    </w:p>
    <w:p>
      <w:pPr>
        <w:pStyle w:val="2"/>
        <w:spacing w:line="440" w:lineRule="exact"/>
        <w:ind w:left="0" w:leftChars="0" w:firstLine="0" w:firstLineChars="0"/>
        <w:rPr>
          <w:rFonts w:ascii="宋体" w:hAnsi="宋体" w:cs="宋体"/>
          <w:sz w:val="22"/>
          <w:szCs w:val="22"/>
          <w:highlight w:val="none"/>
        </w:rPr>
      </w:pPr>
      <w:r>
        <w:rPr>
          <w:rFonts w:hint="eastAsia" w:ascii="宋体" w:hAnsi="宋体" w:cs="宋体"/>
          <w:kern w:val="0"/>
          <w:sz w:val="22"/>
          <w:szCs w:val="22"/>
          <w:highlight w:val="none"/>
        </w:rPr>
        <w:t>附件</w:t>
      </w:r>
      <w:r>
        <w:rPr>
          <w:rFonts w:ascii="宋体" w:hAnsi="宋体" w:cs="宋体"/>
          <w:kern w:val="0"/>
          <w:sz w:val="22"/>
          <w:szCs w:val="22"/>
          <w:highlight w:val="none"/>
        </w:rPr>
        <w:t>：</w:t>
      </w:r>
    </w:p>
    <w:p>
      <w:pPr>
        <w:pStyle w:val="2"/>
        <w:spacing w:line="440" w:lineRule="exact"/>
        <w:ind w:left="0" w:leftChars="0" w:firstLine="0" w:firstLineChars="0"/>
        <w:jc w:val="center"/>
        <w:rPr>
          <w:rFonts w:ascii="宋体" w:hAnsi="宋体" w:cs="宋体"/>
          <w:sz w:val="22"/>
          <w:szCs w:val="22"/>
          <w:highlight w:val="none"/>
        </w:rPr>
      </w:pPr>
      <w:r>
        <w:rPr>
          <w:rFonts w:cs="华康简标题宋" w:asciiTheme="minorEastAsia" w:hAnsiTheme="minorEastAsia" w:eastAsiaTheme="minorEastAsia"/>
          <w:b/>
          <w:sz w:val="32"/>
          <w:szCs w:val="32"/>
          <w:highlight w:val="none"/>
          <w:lang w:bidi="ar"/>
        </w:rPr>
        <w:t>XX</w:t>
      </w:r>
      <w:r>
        <w:rPr>
          <w:rFonts w:hint="eastAsia" w:cs="华康简标题宋" w:asciiTheme="minorEastAsia" w:hAnsiTheme="minorEastAsia" w:eastAsiaTheme="minorEastAsia"/>
          <w:b/>
          <w:sz w:val="32"/>
          <w:szCs w:val="32"/>
          <w:highlight w:val="none"/>
          <w:lang w:bidi="ar"/>
        </w:rPr>
        <w:t>公司</w:t>
      </w:r>
      <w:r>
        <w:rPr>
          <w:rFonts w:cs="华康简标题宋" w:asciiTheme="minorEastAsia" w:hAnsiTheme="minorEastAsia" w:eastAsiaTheme="minorEastAsia"/>
          <w:b/>
          <w:kern w:val="0"/>
          <w:sz w:val="32"/>
          <w:szCs w:val="32"/>
          <w:highlight w:val="none"/>
          <w:lang w:bidi="ar"/>
        </w:rPr>
        <w:t xml:space="preserve">    年    月份            充电站充电服务考核评分表</w:t>
      </w:r>
    </w:p>
    <w:tbl>
      <w:tblPr>
        <w:tblStyle w:val="4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42"/>
        <w:gridCol w:w="5737"/>
        <w:gridCol w:w="8"/>
        <w:gridCol w:w="676"/>
        <w:gridCol w:w="5118"/>
        <w:gridCol w:w="729"/>
        <w:gridCol w:w="11"/>
        <w:gridCol w:w="765"/>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350" w:type="pct"/>
            <w:gridSpan w:val="3"/>
            <w:shd w:val="clear" w:color="auto" w:fill="auto"/>
            <w:noWrap/>
            <w:tcMar>
              <w:top w:w="15" w:type="dxa"/>
              <w:left w:w="15" w:type="dxa"/>
              <w:right w:w="15" w:type="dxa"/>
            </w:tcMar>
            <w:vAlign w:val="center"/>
          </w:tcPr>
          <w:p>
            <w:pPr>
              <w:widowControl/>
              <w:jc w:val="left"/>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考核部门（单位）：</w:t>
            </w:r>
          </w:p>
        </w:tc>
        <w:tc>
          <w:tcPr>
            <w:tcW w:w="245" w:type="pct"/>
            <w:shd w:val="clear" w:color="auto" w:fill="auto"/>
            <w:noWrap/>
            <w:tcMar>
              <w:top w:w="15" w:type="dxa"/>
              <w:left w:w="15" w:type="dxa"/>
              <w:right w:w="15" w:type="dxa"/>
            </w:tcMar>
            <w:vAlign w:val="center"/>
          </w:tcPr>
          <w:p>
            <w:pPr>
              <w:jc w:val="center"/>
              <w:rPr>
                <w:rFonts w:cs="宋体" w:asciiTheme="minorEastAsia" w:hAnsiTheme="minorEastAsia" w:eastAsiaTheme="minorEastAsia"/>
                <w:sz w:val="22"/>
                <w:szCs w:val="22"/>
                <w:highlight w:val="none"/>
              </w:rPr>
            </w:pPr>
          </w:p>
        </w:tc>
        <w:tc>
          <w:tcPr>
            <w:tcW w:w="2403" w:type="pct"/>
            <w:gridSpan w:val="5"/>
            <w:shd w:val="clear" w:color="auto" w:fill="auto"/>
            <w:noWrap/>
            <w:tcMar>
              <w:top w:w="15" w:type="dxa"/>
              <w:left w:w="15" w:type="dxa"/>
              <w:right w:w="15" w:type="dxa"/>
            </w:tcMar>
            <w:vAlign w:val="center"/>
          </w:tcPr>
          <w:p>
            <w:pPr>
              <w:jc w:val="right"/>
              <w:rPr>
                <w:rFonts w:cs="宋体"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b/>
                <w:sz w:val="22"/>
                <w:szCs w:val="22"/>
                <w:highlight w:val="none"/>
              </w:rPr>
            </w:pPr>
            <w:r>
              <w:rPr>
                <w:rFonts w:hint="eastAsia" w:cs="黑体" w:asciiTheme="minorEastAsia" w:hAnsiTheme="minorEastAsia" w:eastAsiaTheme="minorEastAsia"/>
                <w:b/>
                <w:sz w:val="22"/>
                <w:szCs w:val="22"/>
                <w:highlight w:val="none"/>
                <w:lang w:bidi="ar"/>
              </w:rPr>
              <w:t>考核</w:t>
            </w:r>
            <w:r>
              <w:rPr>
                <w:rFonts w:cs="黑体" w:asciiTheme="minorEastAsia" w:hAnsiTheme="minorEastAsia" w:eastAsiaTheme="minorEastAsia"/>
                <w:b/>
                <w:sz w:val="22"/>
                <w:szCs w:val="22"/>
                <w:highlight w:val="none"/>
                <w:lang w:bidi="ar"/>
              </w:rPr>
              <w:br w:type="textWrapping"/>
            </w:r>
            <w:r>
              <w:rPr>
                <w:rFonts w:hint="eastAsia" w:cs="黑体" w:asciiTheme="minorEastAsia" w:hAnsiTheme="minorEastAsia" w:eastAsiaTheme="minorEastAsia"/>
                <w:b/>
                <w:sz w:val="22"/>
                <w:szCs w:val="22"/>
                <w:highlight w:val="none"/>
                <w:lang w:bidi="ar"/>
              </w:rPr>
              <w:t>项目</w:t>
            </w:r>
          </w:p>
        </w:tc>
        <w:tc>
          <w:tcPr>
            <w:tcW w:w="2078" w:type="pct"/>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b/>
                <w:sz w:val="22"/>
                <w:szCs w:val="22"/>
                <w:highlight w:val="none"/>
              </w:rPr>
            </w:pPr>
            <w:r>
              <w:rPr>
                <w:rFonts w:hint="eastAsia" w:cs="黑体" w:asciiTheme="minorEastAsia" w:hAnsiTheme="minorEastAsia" w:eastAsiaTheme="minorEastAsia"/>
                <w:b/>
                <w:sz w:val="22"/>
                <w:szCs w:val="22"/>
                <w:highlight w:val="none"/>
                <w:lang w:bidi="ar"/>
              </w:rPr>
              <w:t>考评要求</w:t>
            </w:r>
          </w:p>
        </w:tc>
        <w:tc>
          <w:tcPr>
            <w:tcW w:w="248" w:type="pct"/>
            <w:gridSpan w:val="2"/>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b/>
                <w:sz w:val="22"/>
                <w:szCs w:val="22"/>
                <w:highlight w:val="none"/>
              </w:rPr>
            </w:pPr>
            <w:r>
              <w:rPr>
                <w:rFonts w:hint="eastAsia" w:cs="黑体" w:asciiTheme="minorEastAsia" w:hAnsiTheme="minorEastAsia" w:eastAsiaTheme="minorEastAsia"/>
                <w:b/>
                <w:sz w:val="22"/>
                <w:szCs w:val="22"/>
                <w:highlight w:val="none"/>
                <w:lang w:bidi="ar"/>
              </w:rPr>
              <w:t>标准分</w:t>
            </w:r>
          </w:p>
        </w:tc>
        <w:tc>
          <w:tcPr>
            <w:tcW w:w="1854" w:type="pct"/>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b/>
                <w:sz w:val="22"/>
                <w:szCs w:val="22"/>
                <w:highlight w:val="none"/>
              </w:rPr>
            </w:pPr>
            <w:r>
              <w:rPr>
                <w:rFonts w:hint="eastAsia" w:cs="黑体" w:asciiTheme="minorEastAsia" w:hAnsiTheme="minorEastAsia" w:eastAsiaTheme="minorEastAsia"/>
                <w:b/>
                <w:sz w:val="22"/>
                <w:szCs w:val="22"/>
                <w:highlight w:val="none"/>
                <w:lang w:bidi="ar"/>
              </w:rPr>
              <w:t>评分标准</w:t>
            </w:r>
          </w:p>
        </w:tc>
        <w:tc>
          <w:tcPr>
            <w:tcW w:w="264" w:type="pct"/>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b/>
                <w:sz w:val="22"/>
                <w:szCs w:val="22"/>
                <w:highlight w:val="none"/>
              </w:rPr>
            </w:pPr>
            <w:r>
              <w:rPr>
                <w:rFonts w:hint="eastAsia" w:cs="黑体" w:asciiTheme="minorEastAsia" w:hAnsiTheme="minorEastAsia" w:eastAsiaTheme="minorEastAsia"/>
                <w:b/>
                <w:sz w:val="22"/>
                <w:szCs w:val="22"/>
                <w:highlight w:val="none"/>
                <w:lang w:bidi="ar"/>
              </w:rPr>
              <w:t>扣分</w:t>
            </w:r>
          </w:p>
        </w:tc>
        <w:tc>
          <w:tcPr>
            <w:tcW w:w="281" w:type="pct"/>
            <w:gridSpan w:val="2"/>
            <w:shd w:val="clear" w:color="auto" w:fill="auto"/>
            <w:tcMar>
              <w:top w:w="15" w:type="dxa"/>
              <w:left w:w="15" w:type="dxa"/>
              <w:right w:w="15" w:type="dxa"/>
            </w:tcMar>
            <w:vAlign w:val="center"/>
          </w:tcPr>
          <w:p>
            <w:pPr>
              <w:widowControl/>
              <w:jc w:val="center"/>
              <w:textAlignment w:val="center"/>
              <w:rPr>
                <w:rFonts w:cs="黑体" w:asciiTheme="minorEastAsia" w:hAnsiTheme="minorEastAsia" w:eastAsiaTheme="minorEastAsia"/>
                <w:b/>
                <w:sz w:val="22"/>
                <w:szCs w:val="22"/>
                <w:highlight w:val="none"/>
              </w:rPr>
            </w:pPr>
            <w:r>
              <w:rPr>
                <w:rFonts w:hint="eastAsia" w:cs="黑体" w:asciiTheme="minorEastAsia" w:hAnsiTheme="minorEastAsia" w:eastAsiaTheme="minorEastAsia"/>
                <w:b/>
                <w:sz w:val="22"/>
                <w:szCs w:val="22"/>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restart"/>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人员</w:t>
            </w:r>
            <w:r>
              <w:rPr>
                <w:rFonts w:cs="仿宋_GB2312" w:asciiTheme="minorEastAsia" w:hAnsiTheme="minorEastAsia" w:eastAsiaTheme="minorEastAsia"/>
                <w:b/>
                <w:sz w:val="22"/>
                <w:szCs w:val="22"/>
                <w:highlight w:val="none"/>
                <w:lang w:bidi="ar"/>
              </w:rPr>
              <w:br w:type="textWrapping"/>
            </w:r>
            <w:r>
              <w:rPr>
                <w:rFonts w:hint="eastAsia" w:cs="仿宋_GB2312" w:asciiTheme="minorEastAsia" w:hAnsiTheme="minorEastAsia" w:eastAsiaTheme="minorEastAsia"/>
                <w:b/>
                <w:sz w:val="22"/>
                <w:szCs w:val="22"/>
                <w:highlight w:val="none"/>
                <w:lang w:bidi="ar"/>
              </w:rPr>
              <w:t>管理</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考核</w:t>
            </w: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1、充电操作人员</w:t>
            </w:r>
            <w:r>
              <w:rPr>
                <w:rFonts w:hint="eastAsia" w:cs="仿宋_GB2312" w:asciiTheme="minorEastAsia" w:hAnsiTheme="minorEastAsia" w:eastAsiaTheme="minorEastAsia"/>
                <w:sz w:val="22"/>
                <w:szCs w:val="22"/>
                <w:highlight w:val="none"/>
                <w:lang w:bidi="ar"/>
              </w:rPr>
              <w:t>作人员在现场作业时须佩戴工作证。</w:t>
            </w:r>
          </w:p>
        </w:tc>
        <w:tc>
          <w:tcPr>
            <w:tcW w:w="248" w:type="pct"/>
            <w:gridSpan w:val="2"/>
            <w:vMerge w:val="restart"/>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cs="仿宋_GB2312" w:asciiTheme="minorEastAsia" w:hAnsiTheme="minorEastAsia" w:eastAsiaTheme="minorEastAsia"/>
                <w:b/>
                <w:sz w:val="22"/>
                <w:szCs w:val="22"/>
                <w:highlight w:val="none"/>
                <w:lang w:bidi="ar"/>
              </w:rPr>
              <w:t>20</w:t>
            </w: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充电工作人员在现场作业时不佩戴工作证者，每人扣</w:t>
            </w:r>
            <w:r>
              <w:rPr>
                <w:rFonts w:cs="仿宋_GB2312" w:asciiTheme="minorEastAsia" w:hAnsiTheme="minorEastAsia" w:eastAsiaTheme="minorEastAsia"/>
                <w:sz w:val="22"/>
                <w:szCs w:val="22"/>
                <w:highlight w:val="none"/>
                <w:lang w:bidi="ar"/>
              </w:rPr>
              <w:t>2</w:t>
            </w:r>
            <w:r>
              <w:rPr>
                <w:rFonts w:hint="eastAsia" w:cs="仿宋_GB2312" w:asciiTheme="minorEastAsia" w:hAnsiTheme="minorEastAsia" w:eastAsiaTheme="minorEastAsia"/>
                <w:sz w:val="22"/>
                <w:szCs w:val="22"/>
                <w:highlight w:val="none"/>
                <w:lang w:bidi="ar"/>
              </w:rPr>
              <w:t>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2、充电站所有工作人员在现场作业时须着装反光衣。</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充电站所有工作人员在现场作业时不着装反光衣者，每人次扣</w:t>
            </w:r>
            <w:r>
              <w:rPr>
                <w:rFonts w:cs="仿宋_GB2312" w:asciiTheme="minorEastAsia" w:hAnsiTheme="minorEastAsia" w:eastAsiaTheme="minorEastAsia"/>
                <w:sz w:val="22"/>
                <w:szCs w:val="22"/>
                <w:highlight w:val="none"/>
                <w:lang w:bidi="ar"/>
              </w:rPr>
              <w:t>3</w:t>
            </w:r>
            <w:r>
              <w:rPr>
                <w:rFonts w:hint="eastAsia" w:cs="仿宋_GB2312" w:asciiTheme="minorEastAsia" w:hAnsiTheme="minorEastAsia" w:eastAsiaTheme="minorEastAsia"/>
                <w:sz w:val="22"/>
                <w:szCs w:val="22"/>
                <w:highlight w:val="none"/>
                <w:lang w:bidi="ar"/>
              </w:rPr>
              <w:t>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3、维护充电场站卫生，严禁抽烟、大小便、乱扔垃圾等行为。</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充电作业区发现抽烟、大小便、乱扔垃圾等行为者，每人次扣</w:t>
            </w:r>
            <w:r>
              <w:rPr>
                <w:rFonts w:cs="仿宋_GB2312" w:asciiTheme="minorEastAsia" w:hAnsiTheme="minorEastAsia" w:eastAsiaTheme="minorEastAsia"/>
                <w:sz w:val="22"/>
                <w:szCs w:val="22"/>
                <w:highlight w:val="none"/>
                <w:lang w:bidi="ar"/>
              </w:rPr>
              <w:t>1分。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4、充电站作业人员应熟悉场站消防器材摆放位置。</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不知场站消防器材摆放位置者，每人次扣</w:t>
            </w:r>
            <w:r>
              <w:rPr>
                <w:rFonts w:cs="仿宋_GB2312" w:asciiTheme="minorEastAsia" w:hAnsiTheme="minorEastAsia" w:eastAsiaTheme="minorEastAsia"/>
                <w:sz w:val="22"/>
                <w:szCs w:val="22"/>
                <w:highlight w:val="none"/>
                <w:lang w:bidi="ar"/>
              </w:rPr>
              <w:t>3分。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5、摆渡员必须持有A1或A3驾照。</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摆渡员不具有</w:t>
            </w:r>
            <w:r>
              <w:rPr>
                <w:rFonts w:cs="仿宋_GB2312" w:asciiTheme="minorEastAsia" w:hAnsiTheme="minorEastAsia" w:eastAsiaTheme="minorEastAsia"/>
                <w:sz w:val="22"/>
                <w:szCs w:val="22"/>
                <w:highlight w:val="none"/>
                <w:lang w:bidi="ar"/>
              </w:rPr>
              <w:t>A1或A3驾照扣20分。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6、安全员或运行维护人员必须持有与岗位相符的证件。</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安全员或运行维护人员不具有岗位相符的证件扣</w:t>
            </w:r>
            <w:r>
              <w:rPr>
                <w:rFonts w:cs="仿宋_GB2312" w:asciiTheme="minorEastAsia" w:hAnsiTheme="minorEastAsia" w:eastAsiaTheme="minorEastAsia"/>
                <w:sz w:val="22"/>
                <w:szCs w:val="22"/>
                <w:highlight w:val="none"/>
                <w:lang w:bidi="ar"/>
              </w:rPr>
              <w:t>20分。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7、充电操作人员及摆渡员人员变更，需提前2日</w:t>
            </w:r>
            <w:r>
              <w:rPr>
                <w:rFonts w:hint="eastAsia" w:cs="仿宋_GB2312" w:asciiTheme="minorEastAsia" w:hAnsiTheme="minorEastAsia" w:eastAsiaTheme="minorEastAsia"/>
                <w:sz w:val="22"/>
                <w:szCs w:val="22"/>
                <w:highlight w:val="none"/>
                <w:lang w:bidi="ar"/>
              </w:rPr>
              <w:t>向服务单位报备。</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人员变更未向营运部报备，扣</w:t>
            </w:r>
            <w:r>
              <w:rPr>
                <w:rFonts w:cs="仿宋_GB2312" w:asciiTheme="minorEastAsia" w:hAnsiTheme="minorEastAsia" w:eastAsiaTheme="minorEastAsia"/>
                <w:sz w:val="22"/>
                <w:szCs w:val="22"/>
                <w:highlight w:val="none"/>
                <w:lang w:bidi="ar"/>
              </w:rPr>
              <w:t>2分/人次。</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restart"/>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业务</w:t>
            </w:r>
            <w:r>
              <w:rPr>
                <w:rFonts w:cs="仿宋_GB2312" w:asciiTheme="minorEastAsia" w:hAnsiTheme="minorEastAsia" w:eastAsiaTheme="minorEastAsia"/>
                <w:b/>
                <w:sz w:val="22"/>
                <w:szCs w:val="22"/>
                <w:highlight w:val="none"/>
                <w:lang w:bidi="ar"/>
              </w:rPr>
              <w:br w:type="textWrapping"/>
            </w:r>
            <w:r>
              <w:rPr>
                <w:rFonts w:hint="eastAsia" w:cs="仿宋_GB2312" w:asciiTheme="minorEastAsia" w:hAnsiTheme="minorEastAsia" w:eastAsiaTheme="minorEastAsia"/>
                <w:b/>
                <w:sz w:val="22"/>
                <w:szCs w:val="22"/>
                <w:highlight w:val="none"/>
                <w:lang w:bidi="ar"/>
              </w:rPr>
              <w:t>管理</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考核</w:t>
            </w: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1、充电站的运营管理需符合各级主管行政机关颁布的相关标准化指导性技术文件，建立完善的充电服务管理制度。</w:t>
            </w:r>
          </w:p>
        </w:tc>
        <w:tc>
          <w:tcPr>
            <w:tcW w:w="248" w:type="pct"/>
            <w:gridSpan w:val="2"/>
            <w:vMerge w:val="restart"/>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cs="仿宋_GB2312" w:asciiTheme="minorEastAsia" w:hAnsiTheme="minorEastAsia" w:eastAsiaTheme="minorEastAsia"/>
                <w:b/>
                <w:sz w:val="22"/>
                <w:szCs w:val="22"/>
                <w:highlight w:val="none"/>
                <w:lang w:bidi="ar"/>
              </w:rPr>
              <w:t>20</w:t>
            </w: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充电站未设置有安全管理组织，未建立安全管理制度，充电操作规范，每项扣</w:t>
            </w:r>
            <w:r>
              <w:rPr>
                <w:rFonts w:cs="仿宋_GB2312" w:asciiTheme="minorEastAsia" w:hAnsiTheme="minorEastAsia" w:eastAsiaTheme="minorEastAsia"/>
                <w:sz w:val="22"/>
                <w:szCs w:val="22"/>
                <w:highlight w:val="none"/>
                <w:lang w:bidi="ar"/>
              </w:rPr>
              <w:t>5分。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2、提供的充电设施应符合国家、省、市相关行业标准。</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充电设施若不符合国家、省、市相关行业标准，每站场扣</w:t>
            </w:r>
            <w:r>
              <w:rPr>
                <w:rFonts w:cs="仿宋_GB2312" w:asciiTheme="minorEastAsia" w:hAnsiTheme="minorEastAsia" w:eastAsiaTheme="minorEastAsia"/>
                <w:sz w:val="22"/>
                <w:szCs w:val="22"/>
                <w:highlight w:val="none"/>
                <w:lang w:bidi="ar"/>
              </w:rPr>
              <w:t>10分。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3、确保充电服务规范。</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充电服务过程违规操作和充电设备因素造成车辆损坏或故障，无法营运，每次扣</w:t>
            </w:r>
            <w:r>
              <w:rPr>
                <w:rFonts w:cs="仿宋_GB2312" w:asciiTheme="minorEastAsia" w:hAnsiTheme="minorEastAsia" w:eastAsiaTheme="minorEastAsia"/>
                <w:sz w:val="22"/>
                <w:szCs w:val="22"/>
                <w:highlight w:val="none"/>
                <w:lang w:bidi="ar"/>
              </w:rPr>
              <w:t>10分。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4、应建立运行值班制度，包括日常巡检、</w:t>
            </w:r>
            <w:r>
              <w:rPr>
                <w:rFonts w:hint="eastAsia" w:cs="仿宋_GB2312" w:asciiTheme="minorEastAsia" w:hAnsiTheme="minorEastAsia" w:eastAsiaTheme="minorEastAsia"/>
                <w:sz w:val="22"/>
                <w:szCs w:val="22"/>
                <w:highlight w:val="none"/>
                <w:lang w:bidi="ar"/>
              </w:rPr>
              <w:t>交接班、值班日志等。要贯彻落实安全工作的相关规定及要求，组织开展充电桩安全实施工作，落实各级人员的应急职贵。</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无值班制度或值班记录，发现一次扣</w:t>
            </w:r>
            <w:r>
              <w:rPr>
                <w:rFonts w:cs="仿宋_GB2312" w:asciiTheme="minorEastAsia" w:hAnsiTheme="minorEastAsia" w:eastAsiaTheme="minorEastAsia"/>
                <w:sz w:val="22"/>
                <w:szCs w:val="22"/>
                <w:highlight w:val="none"/>
                <w:lang w:bidi="ar"/>
              </w:rPr>
              <w:t>2分。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5、充电完毕后，及时将车辆停放在规定位置，关闭总电源、车门、车窗等。</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充电完毕后，无按要求将车辆停放在规定位置，无关闭总电源和车门，扣</w:t>
            </w:r>
            <w:r>
              <w:rPr>
                <w:rFonts w:cs="仿宋_GB2312" w:asciiTheme="minorEastAsia" w:hAnsiTheme="minorEastAsia" w:eastAsiaTheme="minorEastAsia"/>
                <w:sz w:val="22"/>
                <w:szCs w:val="22"/>
                <w:highlight w:val="none"/>
                <w:lang w:bidi="ar"/>
              </w:rPr>
              <w:t>2分/次。</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6、夜间停场需要充电的车辆必须保证充电满负荷，确保第二天可以正常营运。</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车辆发生漏充情况，影响第二天营运，扣</w:t>
            </w:r>
            <w:r>
              <w:rPr>
                <w:rFonts w:cs="仿宋_GB2312" w:asciiTheme="minorEastAsia" w:hAnsiTheme="minorEastAsia" w:eastAsiaTheme="minorEastAsia"/>
                <w:sz w:val="22"/>
                <w:szCs w:val="22"/>
                <w:highlight w:val="none"/>
                <w:lang w:bidi="ar"/>
              </w:rPr>
              <w:t>5分/辆。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7、应设置应急组织，建立突发事件应急预案，包括火灾、车辆故障、电池破损燃烧爆炸、供电系统故障、人员触电、设备故障、停电和断网等。</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充电站未设置应急组织，无建立突发事件应急预案的，扣</w:t>
            </w:r>
            <w:r>
              <w:rPr>
                <w:rFonts w:cs="仿宋_GB2312" w:asciiTheme="minorEastAsia" w:hAnsiTheme="minorEastAsia" w:eastAsiaTheme="minorEastAsia"/>
                <w:sz w:val="22"/>
                <w:szCs w:val="22"/>
                <w:highlight w:val="none"/>
                <w:lang w:bidi="ar"/>
              </w:rPr>
              <w:t>5分。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8、应按照安全生产法的规定，对所属从业人员进行安全生产教育和培训，保证从业人员具备必要的安全生产知识，不断提高安全生产意识、安全操作技能和遵章守纪自觉性。</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充电站工作人员必须每月进行一次安全教育培训，未进行扣</w:t>
            </w:r>
            <w:r>
              <w:rPr>
                <w:rFonts w:cs="仿宋_GB2312" w:asciiTheme="minorEastAsia" w:hAnsiTheme="minorEastAsia" w:eastAsiaTheme="minorEastAsia"/>
                <w:sz w:val="22"/>
                <w:szCs w:val="22"/>
                <w:highlight w:val="none"/>
                <w:lang w:bidi="ar"/>
              </w:rPr>
              <w:t>5分。</w:t>
            </w:r>
          </w:p>
        </w:tc>
        <w:tc>
          <w:tcPr>
            <w:tcW w:w="264" w:type="pct"/>
            <w:shd w:val="clear" w:color="auto" w:fill="auto"/>
            <w:tcMar>
              <w:top w:w="15" w:type="dxa"/>
              <w:left w:w="15" w:type="dxa"/>
              <w:right w:w="15" w:type="dxa"/>
            </w:tcMar>
            <w:vAlign w:val="center"/>
          </w:tcPr>
          <w:p>
            <w:pPr>
              <w:jc w:val="left"/>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left"/>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9、定期组织进行消防培训和应急演练，全体作业人员应掌握消防知识，熟知消防器材的位置、性能和使用方法。</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充电站每半年必须进行一次应急演练，未进行演练扣</w:t>
            </w:r>
            <w:r>
              <w:rPr>
                <w:rFonts w:cs="仿宋_GB2312" w:asciiTheme="minorEastAsia" w:hAnsiTheme="minorEastAsia" w:eastAsiaTheme="minorEastAsia"/>
                <w:sz w:val="22"/>
                <w:szCs w:val="22"/>
                <w:highlight w:val="none"/>
                <w:lang w:bidi="ar"/>
              </w:rPr>
              <w:t>10分。</w:t>
            </w:r>
          </w:p>
        </w:tc>
        <w:tc>
          <w:tcPr>
            <w:tcW w:w="264" w:type="pct"/>
            <w:shd w:val="clear" w:color="auto" w:fill="auto"/>
            <w:tcMar>
              <w:top w:w="15" w:type="dxa"/>
              <w:left w:w="15" w:type="dxa"/>
              <w:right w:w="15" w:type="dxa"/>
            </w:tcMar>
            <w:vAlign w:val="center"/>
          </w:tcPr>
          <w:p>
            <w:pPr>
              <w:jc w:val="left"/>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left"/>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10、应配置符合规范要求的消防设备，并定期进行消防安全检查，消防设施和监控器材应由专人定期进行维护与保养，灭火和监控系统应处于完好状态。</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消防器材不合格的，扣</w:t>
            </w:r>
            <w:r>
              <w:rPr>
                <w:rFonts w:cs="仿宋_GB2312" w:asciiTheme="minorEastAsia" w:hAnsiTheme="minorEastAsia" w:eastAsiaTheme="minorEastAsia"/>
                <w:sz w:val="22"/>
                <w:szCs w:val="22"/>
                <w:highlight w:val="none"/>
                <w:lang w:bidi="ar"/>
              </w:rPr>
              <w:t>5分。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restart"/>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服务</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质量</w:t>
            </w:r>
            <w:r>
              <w:rPr>
                <w:rFonts w:cs="仿宋_GB2312" w:asciiTheme="minorEastAsia" w:hAnsiTheme="minorEastAsia" w:eastAsiaTheme="minorEastAsia"/>
                <w:b/>
                <w:sz w:val="22"/>
                <w:szCs w:val="22"/>
                <w:highlight w:val="none"/>
                <w:lang w:bidi="ar"/>
              </w:rPr>
              <w:br w:type="textWrapping"/>
            </w:r>
            <w:r>
              <w:rPr>
                <w:rFonts w:hint="eastAsia" w:cs="仿宋_GB2312" w:asciiTheme="minorEastAsia" w:hAnsiTheme="minorEastAsia" w:eastAsiaTheme="minorEastAsia"/>
                <w:b/>
                <w:sz w:val="22"/>
                <w:szCs w:val="22"/>
                <w:highlight w:val="none"/>
                <w:lang w:bidi="ar"/>
              </w:rPr>
              <w:t>考核</w:t>
            </w: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1、根据营运车辆，配备足够的服务、技术、安全、管理等人员。</w:t>
            </w:r>
          </w:p>
        </w:tc>
        <w:tc>
          <w:tcPr>
            <w:tcW w:w="248" w:type="pct"/>
            <w:gridSpan w:val="2"/>
            <w:vMerge w:val="restart"/>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cs="仿宋_GB2312" w:asciiTheme="minorEastAsia" w:hAnsiTheme="minorEastAsia" w:eastAsiaTheme="minorEastAsia"/>
                <w:b/>
                <w:sz w:val="22"/>
                <w:szCs w:val="22"/>
                <w:highlight w:val="none"/>
                <w:lang w:bidi="ar"/>
              </w:rPr>
              <w:t>30</w:t>
            </w: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缺岗扣</w:t>
            </w:r>
            <w:r>
              <w:rPr>
                <w:rFonts w:cs="仿宋_GB2312" w:asciiTheme="minorEastAsia" w:hAnsiTheme="minorEastAsia" w:eastAsiaTheme="minorEastAsia"/>
                <w:sz w:val="22"/>
                <w:szCs w:val="22"/>
                <w:highlight w:val="none"/>
                <w:lang w:bidi="ar"/>
              </w:rPr>
              <w:t>5分/人次，空岗扣10分/人次。</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2、充电操作人员、摆渡员举止文明、礼貌大方、服务热情、仪表整洁，并依法、依约配合、服从服务单位的现场管理、服务需要。</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充电操作人员、摆渡员不服从服务单位正当的管理、服务要求，扣</w:t>
            </w:r>
            <w:r>
              <w:rPr>
                <w:rFonts w:cs="仿宋_GB2312" w:asciiTheme="minorEastAsia" w:hAnsiTheme="minorEastAsia" w:eastAsiaTheme="minorEastAsia"/>
                <w:sz w:val="22"/>
                <w:szCs w:val="22"/>
                <w:highlight w:val="none"/>
                <w:lang w:bidi="ar"/>
              </w:rPr>
              <w:t>10分；车长投诉服务态度差，属实，扣10分/次；发生斗殴，扣30分。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3、</w:t>
            </w:r>
            <w:r>
              <w:rPr>
                <w:rFonts w:hint="eastAsia" w:cs="仿宋_GB2312" w:asciiTheme="minorEastAsia" w:hAnsiTheme="minorEastAsia" w:eastAsiaTheme="minorEastAsia"/>
                <w:sz w:val="22"/>
                <w:szCs w:val="22"/>
                <w:highlight w:val="none"/>
                <w:lang w:bidi="ar"/>
              </w:rPr>
              <w:t>未经允许，禁止无关人员携带易燃易爆等危险物品进入充电区域。</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发现一次扣</w:t>
            </w:r>
            <w:r>
              <w:rPr>
                <w:rFonts w:cs="仿宋_GB2312" w:asciiTheme="minorEastAsia" w:hAnsiTheme="minorEastAsia" w:eastAsiaTheme="minorEastAsia"/>
                <w:sz w:val="22"/>
                <w:szCs w:val="22"/>
                <w:highlight w:val="none"/>
                <w:lang w:bidi="ar"/>
              </w:rPr>
              <w:t>30分。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4、落实防火、防盗、防爆炸、防雷等措施，发现服务区域内的消防、安全隐患，立即报告服务单位和有关部门，并做好处置工作。</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发现未落实防火、防盗、防爆炸、防雷等措施，扣</w:t>
            </w:r>
            <w:r>
              <w:rPr>
                <w:rFonts w:cs="仿宋_GB2312" w:asciiTheme="minorEastAsia" w:hAnsiTheme="minorEastAsia" w:eastAsiaTheme="minorEastAsia"/>
                <w:sz w:val="22"/>
                <w:szCs w:val="22"/>
                <w:highlight w:val="none"/>
                <w:lang w:bidi="ar"/>
              </w:rPr>
              <w:t>5分；发现服务区域内的消防、安全隐患，未立即报告服务单位和有关部门的，扣10分。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5、当班管理人员应对作业现场进行监督，发现违章行为和其他不安全因素，应及时制止并向上级反映情况。</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发现违章行为和其他不安全因素，未及时制止并向上级反映情况，扣</w:t>
            </w:r>
            <w:r>
              <w:rPr>
                <w:rFonts w:cs="仿宋_GB2312" w:asciiTheme="minorEastAsia" w:hAnsiTheme="minorEastAsia" w:eastAsiaTheme="minorEastAsia"/>
                <w:sz w:val="22"/>
                <w:szCs w:val="22"/>
                <w:highlight w:val="none"/>
                <w:lang w:bidi="ar"/>
              </w:rPr>
              <w:t>5分。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6、应设置安全管理组织机构，并配备专职或兼职的安全员，要建立安全管理制度和应急预案，建立安全应急保障体系。负责制作、修订充电</w:t>
            </w:r>
            <w:r>
              <w:rPr>
                <w:rFonts w:hint="eastAsia" w:cs="仿宋_GB2312" w:asciiTheme="minorEastAsia" w:hAnsiTheme="minorEastAsia" w:eastAsiaTheme="minorEastAsia"/>
                <w:sz w:val="22"/>
                <w:szCs w:val="22"/>
                <w:highlight w:val="none"/>
                <w:lang w:bidi="ar"/>
              </w:rPr>
              <w:t>桩安全工作指导书，负责指导、监督、评估充电桩安全管理工作。</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未配备专职或兼职的安全员，扣</w:t>
            </w:r>
            <w:r>
              <w:rPr>
                <w:rFonts w:cs="仿宋_GB2312" w:asciiTheme="minorEastAsia" w:hAnsiTheme="minorEastAsia" w:eastAsiaTheme="minorEastAsia"/>
                <w:sz w:val="22"/>
                <w:szCs w:val="22"/>
                <w:highlight w:val="none"/>
                <w:lang w:bidi="ar"/>
              </w:rPr>
              <w:t>5分；安全应急保障体系不完善，充电桩安全管理工作不到位，扣10分。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lang w:bidi="ar"/>
              </w:rPr>
            </w:pPr>
            <w:r>
              <w:rPr>
                <w:rFonts w:cs="仿宋_GB2312" w:asciiTheme="minorEastAsia" w:hAnsiTheme="minorEastAsia" w:eastAsiaTheme="minorEastAsia"/>
                <w:sz w:val="22"/>
                <w:szCs w:val="22"/>
                <w:highlight w:val="none"/>
                <w:lang w:bidi="ar"/>
              </w:rPr>
              <w:t>7、充电操作人员应及时填写纸质充电</w:t>
            </w:r>
            <w:r>
              <w:rPr>
                <w:rFonts w:hint="eastAsia" w:cs="仿宋_GB2312" w:asciiTheme="minorEastAsia" w:hAnsiTheme="minorEastAsia" w:eastAsiaTheme="minorEastAsia"/>
                <w:sz w:val="22"/>
                <w:szCs w:val="22"/>
                <w:highlight w:val="none"/>
                <w:lang w:bidi="ar"/>
              </w:rPr>
              <w:t>数据</w:t>
            </w:r>
            <w:r>
              <w:rPr>
                <w:rFonts w:cs="仿宋_GB2312" w:asciiTheme="minorEastAsia" w:hAnsiTheme="minorEastAsia" w:eastAsiaTheme="minorEastAsia"/>
                <w:sz w:val="22"/>
                <w:szCs w:val="22"/>
                <w:highlight w:val="none"/>
                <w:lang w:bidi="ar"/>
              </w:rPr>
              <w:t>登记表。</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lang w:bidi="ar"/>
              </w:rPr>
            </w:pPr>
            <w:r>
              <w:rPr>
                <w:rFonts w:hint="eastAsia" w:cs="仿宋_GB2312" w:asciiTheme="minorEastAsia" w:hAnsiTheme="minorEastAsia" w:eastAsiaTheme="minorEastAsia"/>
                <w:sz w:val="22"/>
                <w:szCs w:val="22"/>
                <w:highlight w:val="none"/>
                <w:lang w:bidi="ar"/>
              </w:rPr>
              <w:t>每</w:t>
            </w:r>
            <w:r>
              <w:rPr>
                <w:rFonts w:cs="仿宋_GB2312" w:asciiTheme="minorEastAsia" w:hAnsiTheme="minorEastAsia" w:eastAsiaTheme="minorEastAsia"/>
                <w:sz w:val="22"/>
                <w:szCs w:val="22"/>
                <w:highlight w:val="none"/>
                <w:lang w:bidi="ar"/>
              </w:rPr>
              <w:t>发现一条数据未登记，扣1分。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restart"/>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安全</w:t>
            </w:r>
            <w:r>
              <w:rPr>
                <w:rFonts w:cs="仿宋_GB2312" w:asciiTheme="minorEastAsia" w:hAnsiTheme="minorEastAsia" w:eastAsiaTheme="minorEastAsia"/>
                <w:b/>
                <w:sz w:val="22"/>
                <w:szCs w:val="22"/>
                <w:highlight w:val="none"/>
                <w:lang w:bidi="ar"/>
              </w:rPr>
              <w:br w:type="textWrapping"/>
            </w:r>
            <w:r>
              <w:rPr>
                <w:rFonts w:hint="eastAsia" w:cs="仿宋_GB2312" w:asciiTheme="minorEastAsia" w:hAnsiTheme="minorEastAsia" w:eastAsiaTheme="minorEastAsia"/>
                <w:b/>
                <w:sz w:val="22"/>
                <w:szCs w:val="22"/>
                <w:highlight w:val="none"/>
                <w:lang w:bidi="ar"/>
              </w:rPr>
              <w:t>责任</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考核</w:t>
            </w: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1、摆渡员在停车服务过程，应按规范进行。</w:t>
            </w:r>
          </w:p>
        </w:tc>
        <w:tc>
          <w:tcPr>
            <w:tcW w:w="248" w:type="pct"/>
            <w:gridSpan w:val="2"/>
            <w:vMerge w:val="restart"/>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cs="仿宋_GB2312" w:asciiTheme="minorEastAsia" w:hAnsiTheme="minorEastAsia" w:eastAsiaTheme="minorEastAsia"/>
                <w:b/>
                <w:sz w:val="22"/>
                <w:szCs w:val="22"/>
                <w:highlight w:val="none"/>
                <w:lang w:bidi="ar"/>
              </w:rPr>
              <w:t>30</w:t>
            </w: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摆渡员在停车服务过程中出现事故的，扣</w:t>
            </w:r>
            <w:r>
              <w:rPr>
                <w:rFonts w:cs="仿宋_GB2312" w:asciiTheme="minorEastAsia" w:hAnsiTheme="minorEastAsia" w:eastAsiaTheme="minorEastAsia"/>
                <w:sz w:val="22"/>
                <w:szCs w:val="22"/>
                <w:highlight w:val="none"/>
                <w:lang w:bidi="ar"/>
              </w:rPr>
              <w:t>10分/宗；发生事故不报、迟报、瞒报的，扣20分；引致伤亡的另外追究责任。</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2、</w:t>
            </w:r>
            <w:r>
              <w:rPr>
                <w:rFonts w:hint="eastAsia" w:cs="仿宋_GB2312" w:asciiTheme="minorEastAsia" w:hAnsiTheme="minorEastAsia" w:eastAsiaTheme="minorEastAsia"/>
                <w:sz w:val="22"/>
                <w:szCs w:val="22"/>
                <w:highlight w:val="none"/>
                <w:lang w:bidi="ar"/>
              </w:rPr>
              <w:t>未经同意，私自使用服务单位场站充电设施对外充电。</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发现一次，扣</w:t>
            </w:r>
            <w:r>
              <w:rPr>
                <w:rFonts w:cs="仿宋_GB2312" w:asciiTheme="minorEastAsia" w:hAnsiTheme="minorEastAsia" w:eastAsiaTheme="minorEastAsia"/>
                <w:sz w:val="22"/>
                <w:szCs w:val="22"/>
                <w:highlight w:val="none"/>
                <w:lang w:bidi="ar"/>
              </w:rPr>
              <w:t>5分</w:t>
            </w:r>
            <w:r>
              <w:rPr>
                <w:rFonts w:hint="eastAsia" w:cs="仿宋_GB2312" w:asciiTheme="minorEastAsia" w:hAnsiTheme="minorEastAsia" w:eastAsiaTheme="minorEastAsia"/>
                <w:sz w:val="22"/>
                <w:szCs w:val="22"/>
                <w:highlight w:val="none"/>
                <w:lang w:bidi="ar"/>
              </w:rPr>
              <w:t>。</w:t>
            </w:r>
          </w:p>
        </w:tc>
        <w:tc>
          <w:tcPr>
            <w:tcW w:w="264" w:type="pct"/>
            <w:shd w:val="clear" w:color="auto" w:fill="auto"/>
            <w:tcMar>
              <w:top w:w="15" w:type="dxa"/>
              <w:left w:w="15" w:type="dxa"/>
              <w:right w:w="15" w:type="dxa"/>
            </w:tcMar>
            <w:vAlign w:val="center"/>
          </w:tcPr>
          <w:p>
            <w:pPr>
              <w:jc w:val="left"/>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left"/>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3、每月对充电</w:t>
            </w:r>
            <w:r>
              <w:rPr>
                <w:rFonts w:hint="eastAsia" w:cs="仿宋_GB2312" w:asciiTheme="minorEastAsia" w:hAnsiTheme="minorEastAsia" w:eastAsiaTheme="minorEastAsia"/>
                <w:sz w:val="22"/>
                <w:szCs w:val="22"/>
                <w:highlight w:val="none"/>
                <w:lang w:bidi="ar"/>
              </w:rPr>
              <w:t>桩进行一次全面安全检查与保养，并应根据季节特点和重大节日对充电桩进行专项检查。</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每月提供安全检查与保养记录表，无提供扣</w:t>
            </w:r>
            <w:r>
              <w:rPr>
                <w:rFonts w:cs="仿宋_GB2312" w:asciiTheme="minorEastAsia" w:hAnsiTheme="minorEastAsia" w:eastAsiaTheme="minorEastAsia"/>
                <w:sz w:val="22"/>
                <w:szCs w:val="22"/>
                <w:highlight w:val="none"/>
                <w:lang w:bidi="ar"/>
              </w:rPr>
              <w:t>5分。</w:t>
            </w:r>
          </w:p>
        </w:tc>
        <w:tc>
          <w:tcPr>
            <w:tcW w:w="264" w:type="pct"/>
            <w:shd w:val="clear" w:color="auto" w:fill="auto"/>
            <w:tcMar>
              <w:top w:w="15" w:type="dxa"/>
              <w:left w:w="15" w:type="dxa"/>
              <w:right w:w="15" w:type="dxa"/>
            </w:tcMar>
            <w:vAlign w:val="center"/>
          </w:tcPr>
          <w:p>
            <w:pPr>
              <w:jc w:val="left"/>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left"/>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4、充电设备应按规范设置安全危险及相关警示标识，例如安全警告标识、消防安全标志等。</w:t>
            </w:r>
          </w:p>
        </w:tc>
        <w:tc>
          <w:tcPr>
            <w:tcW w:w="248" w:type="pct"/>
            <w:gridSpan w:val="2"/>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widowControl/>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缺乏相关标识，扣</w:t>
            </w:r>
            <w:r>
              <w:rPr>
                <w:rFonts w:cs="仿宋_GB2312" w:asciiTheme="minorEastAsia" w:hAnsiTheme="minorEastAsia" w:eastAsiaTheme="minorEastAsia"/>
                <w:sz w:val="22"/>
                <w:szCs w:val="22"/>
                <w:highlight w:val="none"/>
                <w:lang w:bidi="ar"/>
              </w:rPr>
              <w:t>2分。</w:t>
            </w:r>
          </w:p>
        </w:tc>
        <w:tc>
          <w:tcPr>
            <w:tcW w:w="264" w:type="pct"/>
            <w:shd w:val="clear" w:color="auto" w:fill="auto"/>
            <w:tcMar>
              <w:top w:w="15" w:type="dxa"/>
              <w:left w:w="15" w:type="dxa"/>
              <w:right w:w="15" w:type="dxa"/>
            </w:tcMar>
            <w:vAlign w:val="center"/>
          </w:tcPr>
          <w:p>
            <w:pPr>
              <w:jc w:val="left"/>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jc w:val="left"/>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lang w:bidi="ar"/>
              </w:rPr>
            </w:pPr>
          </w:p>
        </w:tc>
        <w:tc>
          <w:tcPr>
            <w:tcW w:w="2078" w:type="pct"/>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lang w:bidi="ar"/>
              </w:rPr>
            </w:pPr>
            <w:r>
              <w:rPr>
                <w:rFonts w:cs="仿宋_GB2312" w:asciiTheme="minorEastAsia" w:hAnsiTheme="minorEastAsia" w:eastAsiaTheme="minorEastAsia"/>
                <w:b/>
                <w:sz w:val="22"/>
                <w:szCs w:val="22"/>
                <w:highlight w:val="none"/>
                <w:lang w:bidi="ar"/>
              </w:rPr>
              <w:t>5、</w:t>
            </w:r>
            <w:r>
              <w:rPr>
                <w:rFonts w:hint="eastAsia" w:cs="仿宋_GB2312" w:asciiTheme="minorEastAsia" w:hAnsiTheme="minorEastAsia" w:eastAsiaTheme="minorEastAsia"/>
                <w:sz w:val="22"/>
                <w:szCs w:val="22"/>
                <w:highlight w:val="none"/>
              </w:rPr>
              <w:t>充电站内发生有责事故扣分原则。</w:t>
            </w:r>
          </w:p>
        </w:tc>
        <w:tc>
          <w:tcPr>
            <w:tcW w:w="248" w:type="pct"/>
            <w:gridSpan w:val="2"/>
            <w:vMerge w:val="continue"/>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lang w:bidi="ar"/>
              </w:rPr>
            </w:pPr>
          </w:p>
        </w:tc>
        <w:tc>
          <w:tcPr>
            <w:tcW w:w="1854" w:type="pct"/>
            <w:shd w:val="clear" w:color="auto" w:fill="auto"/>
            <w:tcMar>
              <w:top w:w="15" w:type="dxa"/>
              <w:left w:w="15" w:type="dxa"/>
              <w:right w:w="15" w:type="dxa"/>
            </w:tcMar>
            <w:vAlign w:val="center"/>
          </w:tcPr>
          <w:p>
            <w:pPr>
              <w:pStyle w:val="189"/>
              <w:widowControl/>
              <w:ind w:firstLine="440"/>
              <w:jc w:val="center"/>
              <w:textAlignment w:val="center"/>
              <w:rPr>
                <w:rFonts w:cs="仿宋_GB2312" w:asciiTheme="minorEastAsia" w:hAnsiTheme="minorEastAsia" w:eastAsiaTheme="minorEastAsia"/>
                <w:b/>
                <w:sz w:val="22"/>
                <w:szCs w:val="22"/>
                <w:highlight w:val="none"/>
                <w:lang w:bidi="ar"/>
              </w:rPr>
            </w:pPr>
            <w:r>
              <w:rPr>
                <w:rFonts w:hint="eastAsia" w:cs="仿宋_GB2312" w:asciiTheme="minorEastAsia" w:hAnsiTheme="minorEastAsia" w:eastAsiaTheme="minorEastAsia"/>
                <w:sz w:val="22"/>
                <w:szCs w:val="22"/>
                <w:highlight w:val="none"/>
              </w:rPr>
              <w:t>充电站内发生有责亡人事故，每次扣</w:t>
            </w:r>
            <w:r>
              <w:rPr>
                <w:rFonts w:cs="仿宋_GB2312" w:asciiTheme="minorEastAsia" w:hAnsiTheme="minorEastAsia" w:eastAsiaTheme="minorEastAsia"/>
                <w:sz w:val="22"/>
                <w:szCs w:val="22"/>
                <w:highlight w:val="none"/>
              </w:rPr>
              <w:t>30分；充电站内发生有责伤人事故，每次扣20分；充电站内发生有责事故，责任车损</w:t>
            </w:r>
            <w:r>
              <w:rPr>
                <w:rFonts w:hint="eastAsia" w:cs="微软雅黑" w:asciiTheme="minorEastAsia" w:hAnsiTheme="minorEastAsia" w:eastAsiaTheme="minorEastAsia"/>
                <w:sz w:val="22"/>
                <w:szCs w:val="22"/>
                <w:highlight w:val="none"/>
              </w:rPr>
              <w:t>≥</w:t>
            </w:r>
            <w:r>
              <w:rPr>
                <w:rFonts w:cs="仿宋_GB2312" w:asciiTheme="minorEastAsia" w:hAnsiTheme="minorEastAsia" w:eastAsiaTheme="minorEastAsia"/>
                <w:sz w:val="22"/>
                <w:szCs w:val="22"/>
                <w:highlight w:val="none"/>
              </w:rPr>
              <w:t>5000元，每次扣10分；充电站内发生有责事故，1000元</w:t>
            </w:r>
            <w:r>
              <w:rPr>
                <w:rFonts w:hint="eastAsia" w:cs="微软雅黑" w:asciiTheme="minorEastAsia" w:hAnsiTheme="minorEastAsia" w:eastAsiaTheme="minorEastAsia"/>
                <w:sz w:val="22"/>
                <w:szCs w:val="22"/>
                <w:highlight w:val="none"/>
              </w:rPr>
              <w:t>≤</w:t>
            </w:r>
            <w:r>
              <w:rPr>
                <w:rFonts w:hint="eastAsia" w:cs="仿宋_GB2312" w:asciiTheme="minorEastAsia" w:hAnsiTheme="minorEastAsia" w:eastAsiaTheme="minorEastAsia"/>
                <w:sz w:val="22"/>
                <w:szCs w:val="22"/>
                <w:highlight w:val="none"/>
              </w:rPr>
              <w:t>责任车损</w:t>
            </w:r>
            <w:r>
              <w:rPr>
                <w:rFonts w:cs="仿宋_GB2312" w:asciiTheme="minorEastAsia" w:hAnsiTheme="minorEastAsia" w:eastAsiaTheme="minorEastAsia"/>
                <w:sz w:val="22"/>
                <w:szCs w:val="22"/>
                <w:highlight w:val="none"/>
              </w:rPr>
              <w:t>&lt;5000元，每次扣8分；充电站内发生有责事故，造成公交公司车辆需停班维修，每次扣5分。</w:t>
            </w:r>
          </w:p>
        </w:tc>
        <w:tc>
          <w:tcPr>
            <w:tcW w:w="264" w:type="pct"/>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350" w:type="pct"/>
            <w:gridSpan w:val="3"/>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合</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计</w:t>
            </w:r>
          </w:p>
        </w:tc>
        <w:tc>
          <w:tcPr>
            <w:tcW w:w="245" w:type="pct"/>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cs="仿宋_GB2312" w:asciiTheme="minorEastAsia" w:hAnsiTheme="minorEastAsia" w:eastAsiaTheme="minorEastAsia"/>
                <w:b/>
                <w:sz w:val="22"/>
                <w:szCs w:val="22"/>
                <w:highlight w:val="none"/>
                <w:lang w:bidi="ar"/>
              </w:rPr>
              <w:t>100</w:t>
            </w:r>
          </w:p>
        </w:tc>
        <w:tc>
          <w:tcPr>
            <w:tcW w:w="1854" w:type="pct"/>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w:t>
            </w:r>
          </w:p>
        </w:tc>
        <w:tc>
          <w:tcPr>
            <w:tcW w:w="268"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81" w:type="pct"/>
            <w:gridSpan w:val="2"/>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restart"/>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总体</w:t>
            </w:r>
            <w:r>
              <w:rPr>
                <w:rFonts w:cs="仿宋_GB2312" w:asciiTheme="minorEastAsia" w:hAnsiTheme="minorEastAsia" w:eastAsiaTheme="minorEastAsia"/>
                <w:b/>
                <w:sz w:val="22"/>
                <w:szCs w:val="22"/>
                <w:highlight w:val="none"/>
                <w:lang w:bidi="ar"/>
              </w:rPr>
              <w:br w:type="textWrapping"/>
            </w:r>
            <w:r>
              <w:rPr>
                <w:rFonts w:hint="eastAsia" w:cs="仿宋_GB2312" w:asciiTheme="minorEastAsia" w:hAnsiTheme="minorEastAsia" w:eastAsiaTheme="minorEastAsia"/>
                <w:b/>
                <w:sz w:val="22"/>
                <w:szCs w:val="22"/>
                <w:highlight w:val="none"/>
                <w:lang w:bidi="ar"/>
              </w:rPr>
              <w:t>评价</w:t>
            </w:r>
          </w:p>
        </w:tc>
        <w:tc>
          <w:tcPr>
            <w:tcW w:w="2078" w:type="pct"/>
            <w:vMerge w:val="restart"/>
            <w:shd w:val="clear" w:color="auto" w:fill="auto"/>
            <w:tcMar>
              <w:top w:w="15" w:type="dxa"/>
              <w:left w:w="15" w:type="dxa"/>
              <w:right w:w="15" w:type="dxa"/>
            </w:tcMar>
            <w:vAlign w:val="center"/>
          </w:tcPr>
          <w:p>
            <w:pPr>
              <w:jc w:val="left"/>
              <w:rPr>
                <w:rFonts w:cs="仿宋_GB2312" w:asciiTheme="minorEastAsia" w:hAnsiTheme="minorEastAsia" w:eastAsiaTheme="minorEastAsia"/>
                <w:sz w:val="22"/>
                <w:szCs w:val="22"/>
                <w:highlight w:val="none"/>
              </w:rPr>
            </w:pPr>
          </w:p>
        </w:tc>
        <w:tc>
          <w:tcPr>
            <w:tcW w:w="248" w:type="pct"/>
            <w:gridSpan w:val="2"/>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考评</w:t>
            </w:r>
          </w:p>
        </w:tc>
        <w:tc>
          <w:tcPr>
            <w:tcW w:w="1854" w:type="pct"/>
            <w:shd w:val="clear" w:color="auto" w:fill="auto"/>
            <w:noWrap/>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考</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核</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得</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分</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合</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计</w:t>
            </w:r>
          </w:p>
        </w:tc>
        <w:tc>
          <w:tcPr>
            <w:tcW w:w="545" w:type="pct"/>
            <w:gridSpan w:val="3"/>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trPr>
        <w:tc>
          <w:tcPr>
            <w:tcW w:w="269" w:type="pct"/>
            <w:vMerge w:val="continue"/>
            <w:shd w:val="clear" w:color="auto" w:fill="auto"/>
            <w:tcMar>
              <w:top w:w="15" w:type="dxa"/>
              <w:left w:w="15" w:type="dxa"/>
              <w:right w:w="15" w:type="dxa"/>
            </w:tcMar>
            <w:vAlign w:val="center"/>
          </w:tcPr>
          <w:p>
            <w:pPr>
              <w:jc w:val="center"/>
              <w:rPr>
                <w:rFonts w:cs="仿宋_GB2312" w:asciiTheme="minorEastAsia" w:hAnsiTheme="minorEastAsia" w:eastAsiaTheme="minorEastAsia"/>
                <w:b/>
                <w:sz w:val="22"/>
                <w:szCs w:val="22"/>
                <w:highlight w:val="none"/>
              </w:rPr>
            </w:pPr>
          </w:p>
        </w:tc>
        <w:tc>
          <w:tcPr>
            <w:tcW w:w="2078" w:type="pct"/>
            <w:vMerge w:val="continue"/>
            <w:shd w:val="clear" w:color="auto" w:fill="auto"/>
            <w:tcMar>
              <w:top w:w="15" w:type="dxa"/>
              <w:left w:w="15" w:type="dxa"/>
              <w:right w:w="15" w:type="dxa"/>
            </w:tcMar>
            <w:vAlign w:val="center"/>
          </w:tcPr>
          <w:p>
            <w:pPr>
              <w:jc w:val="left"/>
              <w:rPr>
                <w:rFonts w:cs="仿宋_GB2312" w:asciiTheme="minorEastAsia" w:hAnsiTheme="minorEastAsia" w:eastAsiaTheme="minorEastAsia"/>
                <w:sz w:val="22"/>
                <w:szCs w:val="22"/>
                <w:highlight w:val="none"/>
              </w:rPr>
            </w:pPr>
          </w:p>
        </w:tc>
        <w:tc>
          <w:tcPr>
            <w:tcW w:w="248" w:type="pct"/>
            <w:gridSpan w:val="2"/>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签名</w:t>
            </w:r>
          </w:p>
        </w:tc>
        <w:tc>
          <w:tcPr>
            <w:tcW w:w="2399" w:type="pct"/>
            <w:gridSpan w:val="4"/>
            <w:shd w:val="clear" w:color="auto" w:fill="auto"/>
            <w:tcMar>
              <w:top w:w="15" w:type="dxa"/>
              <w:left w:w="15" w:type="dxa"/>
              <w:right w:w="15" w:type="dxa"/>
            </w:tcMar>
            <w:vAlign w:val="center"/>
          </w:tcPr>
          <w:p>
            <w:pPr>
              <w:widowControl/>
              <w:jc w:val="left"/>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考评人：</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000" w:type="pct"/>
            <w:gridSpan w:val="9"/>
            <w:shd w:val="clear" w:color="auto" w:fill="auto"/>
            <w:tcMar>
              <w:top w:w="15" w:type="dxa"/>
              <w:left w:w="15" w:type="dxa"/>
              <w:right w:w="15" w:type="dxa"/>
            </w:tcMar>
            <w:vAlign w:val="center"/>
          </w:tcPr>
          <w:p>
            <w:pPr>
              <w:widowControl/>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注：</w:t>
            </w:r>
            <w:r>
              <w:rPr>
                <w:rFonts w:cs="仿宋_GB2312" w:asciiTheme="minorEastAsia" w:hAnsiTheme="minorEastAsia" w:eastAsiaTheme="minorEastAsia"/>
                <w:b/>
                <w:sz w:val="22"/>
                <w:szCs w:val="22"/>
                <w:highlight w:val="none"/>
                <w:lang w:bidi="ar"/>
              </w:rPr>
              <w:t>1、每考核项目的标准分扣完即止；</w:t>
            </w:r>
            <w:r>
              <w:rPr>
                <w:rFonts w:cs="仿宋_GB2312" w:asciiTheme="minorEastAsia" w:hAnsiTheme="minorEastAsia" w:eastAsiaTheme="minorEastAsia"/>
                <w:b/>
                <w:sz w:val="22"/>
                <w:szCs w:val="22"/>
                <w:highlight w:val="none"/>
                <w:lang w:bidi="ar"/>
              </w:rPr>
              <w:br w:type="textWrapping"/>
            </w:r>
            <w:r>
              <w:rPr>
                <w:rFonts w:cs="仿宋_GB2312" w:asciiTheme="minorEastAsia" w:hAnsiTheme="minorEastAsia" w:eastAsiaTheme="minorEastAsia"/>
                <w:b/>
                <w:sz w:val="22"/>
                <w:szCs w:val="22"/>
                <w:highlight w:val="none"/>
                <w:lang w:bidi="ar"/>
              </w:rPr>
              <w:t xml:space="preserve">    2、</w:t>
            </w:r>
            <w:r>
              <w:rPr>
                <w:rFonts w:hint="eastAsia" w:cs="仿宋_GB2312" w:asciiTheme="minorEastAsia" w:hAnsiTheme="minorEastAsia" w:eastAsiaTheme="minorEastAsia"/>
                <w:b/>
                <w:sz w:val="22"/>
                <w:szCs w:val="22"/>
                <w:highlight w:val="none"/>
                <w:lang w:bidi="ar"/>
              </w:rPr>
              <w:t>本考核表</w:t>
            </w:r>
            <w:r>
              <w:rPr>
                <w:rFonts w:cs="仿宋_GB2312" w:asciiTheme="minorEastAsia" w:hAnsiTheme="minorEastAsia" w:eastAsiaTheme="minorEastAsia"/>
                <w:b/>
                <w:sz w:val="22"/>
                <w:szCs w:val="22"/>
                <w:highlight w:val="none"/>
                <w:lang w:bidi="ar"/>
              </w:rPr>
              <w:t>95分以上为优秀，85-95分（不含）为良好，70-85分（不含）合格，70分以下不合格；</w:t>
            </w:r>
            <w:r>
              <w:rPr>
                <w:rFonts w:cs="仿宋_GB2312" w:asciiTheme="minorEastAsia" w:hAnsiTheme="minorEastAsia" w:eastAsiaTheme="minorEastAsia"/>
                <w:b/>
                <w:sz w:val="22"/>
                <w:szCs w:val="22"/>
                <w:highlight w:val="none"/>
                <w:lang w:bidi="ar"/>
              </w:rPr>
              <w:br w:type="textWrapping"/>
            </w:r>
            <w:r>
              <w:rPr>
                <w:rFonts w:cs="仿宋_GB2312" w:asciiTheme="minorEastAsia" w:hAnsiTheme="minorEastAsia" w:eastAsiaTheme="minorEastAsia"/>
                <w:b/>
                <w:sz w:val="22"/>
                <w:szCs w:val="22"/>
                <w:highlight w:val="none"/>
                <w:lang w:bidi="ar"/>
              </w:rPr>
              <w:t xml:space="preserve">    3、</w:t>
            </w:r>
            <w:r>
              <w:rPr>
                <w:rFonts w:hint="eastAsia" w:cs="仿宋_GB2312" w:asciiTheme="minorEastAsia" w:hAnsiTheme="minorEastAsia" w:eastAsiaTheme="minorEastAsia"/>
                <w:b/>
                <w:sz w:val="22"/>
                <w:szCs w:val="22"/>
                <w:highlight w:val="none"/>
                <w:lang w:bidi="ar"/>
              </w:rPr>
              <w:t>不合格项目需</w:t>
            </w:r>
            <w:r>
              <w:rPr>
                <w:rFonts w:cs="仿宋_GB2312" w:asciiTheme="minorEastAsia" w:hAnsiTheme="minorEastAsia" w:eastAsiaTheme="minorEastAsia"/>
                <w:b/>
                <w:sz w:val="22"/>
                <w:szCs w:val="22"/>
                <w:highlight w:val="none"/>
                <w:lang w:bidi="ar"/>
              </w:rPr>
              <w:t>1周内完成整改，并提交相关书面整改措施</w:t>
            </w:r>
            <w:r>
              <w:rPr>
                <w:rFonts w:hint="eastAsia" w:cs="仿宋_GB2312" w:asciiTheme="minorEastAsia" w:hAnsiTheme="minorEastAsia" w:eastAsiaTheme="minorEastAsia"/>
                <w:b/>
                <w:sz w:val="22"/>
                <w:szCs w:val="22"/>
                <w:highlight w:val="none"/>
                <w:lang w:bidi="ar"/>
              </w:rPr>
              <w:t>。</w:t>
            </w:r>
          </w:p>
        </w:tc>
      </w:tr>
    </w:tbl>
    <w:p>
      <w:pPr>
        <w:widowControl/>
        <w:spacing w:line="440" w:lineRule="exact"/>
        <w:jc w:val="left"/>
        <w:rPr>
          <w:rFonts w:ascii="宋体" w:hAnsi="宋体" w:cs="宋体"/>
          <w:sz w:val="22"/>
          <w:szCs w:val="22"/>
          <w:highlight w:val="none"/>
        </w:rPr>
        <w:sectPr>
          <w:pgSz w:w="16838" w:h="11906" w:orient="landscape"/>
          <w:pgMar w:top="1531" w:right="1531" w:bottom="1531" w:left="1531" w:header="935" w:footer="964" w:gutter="0"/>
          <w:paperSrc w:first="7" w:other="7"/>
          <w:pgNumType w:fmt="decimal"/>
          <w:cols w:space="0" w:num="1"/>
          <w:titlePg/>
          <w:docGrid w:linePitch="312" w:charSpace="0"/>
        </w:sectPr>
      </w:pPr>
    </w:p>
    <w:p>
      <w:pPr>
        <w:snapToGrid w:val="0"/>
        <w:spacing w:line="440" w:lineRule="exact"/>
        <w:jc w:val="left"/>
        <w:rPr>
          <w:rFonts w:ascii="宋体" w:hAnsi="宋体"/>
          <w:spacing w:val="20"/>
          <w:szCs w:val="44"/>
          <w:highlight w:val="none"/>
        </w:rPr>
      </w:pPr>
    </w:p>
    <w:p>
      <w:pPr>
        <w:pStyle w:val="2"/>
        <w:ind w:left="400" w:firstLine="963"/>
        <w:rPr>
          <w:rFonts w:ascii="宋体" w:hAnsi="宋体"/>
          <w:b/>
          <w:spacing w:val="20"/>
          <w:sz w:val="44"/>
          <w:szCs w:val="44"/>
          <w:highlight w:val="none"/>
        </w:rPr>
      </w:pPr>
    </w:p>
    <w:p>
      <w:pPr>
        <w:pStyle w:val="2"/>
        <w:ind w:left="400" w:firstLine="963"/>
        <w:rPr>
          <w:rFonts w:ascii="宋体" w:hAnsi="宋体"/>
          <w:b/>
          <w:spacing w:val="20"/>
          <w:sz w:val="44"/>
          <w:szCs w:val="44"/>
          <w:highlight w:val="none"/>
        </w:rPr>
      </w:pPr>
    </w:p>
    <w:p>
      <w:pPr>
        <w:pStyle w:val="2"/>
        <w:ind w:left="400" w:firstLine="963"/>
        <w:rPr>
          <w:rFonts w:ascii="宋体" w:hAnsi="宋体"/>
          <w:b/>
          <w:spacing w:val="20"/>
          <w:sz w:val="44"/>
          <w:szCs w:val="44"/>
          <w:highlight w:val="none"/>
        </w:rPr>
      </w:pPr>
    </w:p>
    <w:p>
      <w:pPr>
        <w:pStyle w:val="2"/>
        <w:ind w:left="400" w:firstLine="963"/>
        <w:rPr>
          <w:rFonts w:ascii="宋体" w:hAnsi="宋体"/>
          <w:b/>
          <w:spacing w:val="20"/>
          <w:sz w:val="44"/>
          <w:szCs w:val="44"/>
          <w:highlight w:val="none"/>
        </w:rPr>
      </w:pPr>
    </w:p>
    <w:p>
      <w:pPr>
        <w:pStyle w:val="2"/>
        <w:ind w:left="400" w:firstLine="963"/>
        <w:rPr>
          <w:rFonts w:ascii="宋体" w:hAnsi="宋体"/>
          <w:b/>
          <w:spacing w:val="20"/>
          <w:sz w:val="44"/>
          <w:szCs w:val="44"/>
          <w:highlight w:val="none"/>
        </w:rPr>
      </w:pPr>
    </w:p>
    <w:p>
      <w:pPr>
        <w:pStyle w:val="2"/>
        <w:ind w:left="400" w:firstLine="963"/>
        <w:rPr>
          <w:rFonts w:ascii="宋体" w:hAnsi="宋体"/>
          <w:b/>
          <w:spacing w:val="20"/>
          <w:sz w:val="44"/>
          <w:szCs w:val="44"/>
          <w:highlight w:val="none"/>
        </w:rPr>
      </w:pPr>
    </w:p>
    <w:p>
      <w:pPr>
        <w:pStyle w:val="2"/>
        <w:ind w:left="400" w:firstLine="963"/>
        <w:jc w:val="center"/>
        <w:rPr>
          <w:rFonts w:ascii="宋体" w:hAnsi="宋体"/>
          <w:b/>
          <w:spacing w:val="20"/>
          <w:sz w:val="44"/>
          <w:szCs w:val="44"/>
          <w:highlight w:val="none"/>
        </w:rPr>
      </w:pPr>
    </w:p>
    <w:p>
      <w:pPr>
        <w:pStyle w:val="2"/>
        <w:ind w:left="0" w:leftChars="0" w:firstLine="0" w:firstLineChars="0"/>
        <w:jc w:val="center"/>
        <w:rPr>
          <w:rFonts w:ascii="宋体" w:hAnsi="宋体"/>
          <w:b/>
          <w:spacing w:val="20"/>
          <w:sz w:val="44"/>
          <w:szCs w:val="44"/>
          <w:highlight w:val="none"/>
        </w:rPr>
      </w:pPr>
    </w:p>
    <w:p>
      <w:pPr>
        <w:pStyle w:val="2"/>
        <w:spacing w:after="0" w:line="360" w:lineRule="auto"/>
        <w:ind w:left="0" w:leftChars="0" w:firstLine="0" w:firstLineChars="0"/>
        <w:jc w:val="center"/>
        <w:outlineLvl w:val="1"/>
        <w:rPr>
          <w:rFonts w:ascii="宋体" w:hAnsi="宋体"/>
          <w:b/>
          <w:spacing w:val="20"/>
          <w:sz w:val="44"/>
          <w:szCs w:val="44"/>
          <w:highlight w:val="none"/>
        </w:rPr>
      </w:pPr>
      <w:r>
        <w:rPr>
          <w:rFonts w:hint="eastAsia" w:ascii="宋体" w:hAnsi="宋体"/>
          <w:b/>
          <w:spacing w:val="20"/>
          <w:sz w:val="44"/>
          <w:szCs w:val="44"/>
          <w:highlight w:val="none"/>
        </w:rPr>
        <w:t>第四部分</w:t>
      </w:r>
      <w:r>
        <w:rPr>
          <w:rFonts w:ascii="宋体" w:hAnsi="宋体"/>
          <w:b/>
          <w:spacing w:val="20"/>
          <w:sz w:val="44"/>
          <w:szCs w:val="44"/>
          <w:highlight w:val="none"/>
        </w:rPr>
        <w:t xml:space="preserve">  </w:t>
      </w:r>
      <w:r>
        <w:rPr>
          <w:rFonts w:hint="eastAsia" w:ascii="宋体" w:hAnsi="宋体"/>
          <w:b/>
          <w:spacing w:val="20"/>
          <w:sz w:val="44"/>
          <w:szCs w:val="44"/>
          <w:highlight w:val="none"/>
        </w:rPr>
        <w:t>框架协议范本</w:t>
      </w:r>
    </w:p>
    <w:p>
      <w:pPr>
        <w:widowControl/>
        <w:jc w:val="left"/>
        <w:rPr>
          <w:rFonts w:ascii="宋体" w:hAnsi="宋体"/>
          <w:b/>
          <w:spacing w:val="20"/>
          <w:kern w:val="2"/>
          <w:sz w:val="44"/>
          <w:szCs w:val="44"/>
          <w:highlight w:val="none"/>
        </w:rPr>
      </w:pPr>
      <w:r>
        <w:rPr>
          <w:rFonts w:ascii="宋体" w:hAnsi="宋体"/>
          <w:b/>
          <w:spacing w:val="20"/>
          <w:sz w:val="44"/>
          <w:szCs w:val="44"/>
          <w:highlight w:val="none"/>
        </w:rPr>
        <w:br w:type="page"/>
      </w:r>
    </w:p>
    <w:p>
      <w:pPr>
        <w:jc w:val="center"/>
        <w:rPr>
          <w:rFonts w:ascii="宋体"/>
          <w:b/>
          <w:bCs/>
          <w:sz w:val="40"/>
          <w:szCs w:val="48"/>
          <w:highlight w:val="none"/>
        </w:rPr>
      </w:pPr>
      <w:r>
        <w:rPr>
          <w:rFonts w:hint="eastAsia" w:ascii="宋体"/>
          <w:b/>
          <w:bCs/>
          <w:sz w:val="40"/>
          <w:szCs w:val="48"/>
          <w:highlight w:val="none"/>
        </w:rPr>
        <w:t>（框架协议范本）</w:t>
      </w:r>
    </w:p>
    <w:p>
      <w:pPr>
        <w:jc w:val="center"/>
        <w:rPr>
          <w:rFonts w:ascii="宋体"/>
          <w:b/>
          <w:bCs/>
          <w:sz w:val="40"/>
          <w:szCs w:val="48"/>
          <w:highlight w:val="none"/>
        </w:rPr>
      </w:pPr>
    </w:p>
    <w:p>
      <w:pPr>
        <w:jc w:val="center"/>
        <w:rPr>
          <w:rFonts w:hint="eastAsia" w:ascii="宋体" w:hAnsi="宋体" w:cs="方正小标宋简体"/>
          <w:b/>
          <w:bCs/>
          <w:sz w:val="60"/>
          <w:szCs w:val="60"/>
          <w:highlight w:val="none"/>
        </w:rPr>
      </w:pPr>
    </w:p>
    <w:p>
      <w:pPr>
        <w:jc w:val="center"/>
        <w:rPr>
          <w:rFonts w:ascii="宋体" w:hAnsi="宋体"/>
          <w:b/>
          <w:bCs/>
          <w:sz w:val="60"/>
          <w:szCs w:val="60"/>
          <w:highlight w:val="none"/>
        </w:rPr>
      </w:pPr>
      <w:r>
        <w:rPr>
          <w:rFonts w:hint="eastAsia" w:ascii="宋体" w:hAnsi="宋体" w:cs="方正小标宋简体"/>
          <w:b/>
          <w:bCs/>
          <w:sz w:val="60"/>
          <w:szCs w:val="60"/>
          <w:highlight w:val="none"/>
        </w:rPr>
        <w:t>东莞巴士有限公司充电服务商资格入库项目框架协议</w:t>
      </w:r>
    </w:p>
    <w:p>
      <w:pPr>
        <w:rPr>
          <w:highlight w:val="none"/>
        </w:rPr>
      </w:pPr>
    </w:p>
    <w:p>
      <w:pPr>
        <w:rPr>
          <w:highlight w:val="none"/>
        </w:rPr>
      </w:pPr>
    </w:p>
    <w:p>
      <w:pPr>
        <w:ind w:firstLine="640"/>
        <w:rPr>
          <w:rFonts w:ascii="黑体" w:hAnsi="宋体" w:eastAsia="黑体"/>
          <w:sz w:val="32"/>
          <w:szCs w:val="32"/>
          <w:highlight w:val="none"/>
        </w:rPr>
      </w:pPr>
    </w:p>
    <w:p>
      <w:pPr>
        <w:ind w:firstLine="640"/>
        <w:rPr>
          <w:rFonts w:ascii="黑体" w:hAnsi="宋体" w:eastAsia="黑体"/>
          <w:sz w:val="32"/>
          <w:szCs w:val="32"/>
          <w:highlight w:val="none"/>
        </w:rPr>
      </w:pPr>
    </w:p>
    <w:p>
      <w:pPr>
        <w:ind w:firstLine="640"/>
        <w:rPr>
          <w:rFonts w:ascii="黑体" w:hAnsi="宋体" w:eastAsia="黑体"/>
          <w:sz w:val="32"/>
          <w:szCs w:val="32"/>
          <w:highlight w:val="none"/>
        </w:rPr>
      </w:pPr>
    </w:p>
    <w:p>
      <w:pPr>
        <w:ind w:firstLine="640"/>
        <w:rPr>
          <w:rFonts w:ascii="黑体" w:hAnsi="宋体" w:eastAsia="黑体"/>
          <w:sz w:val="32"/>
          <w:szCs w:val="32"/>
          <w:highlight w:val="none"/>
        </w:rPr>
      </w:pPr>
    </w:p>
    <w:p>
      <w:pPr>
        <w:ind w:firstLine="640"/>
        <w:rPr>
          <w:rFonts w:ascii="黑体" w:hAnsi="宋体" w:eastAsia="黑体"/>
          <w:sz w:val="32"/>
          <w:szCs w:val="32"/>
          <w:highlight w:val="none"/>
        </w:rPr>
      </w:pPr>
    </w:p>
    <w:p>
      <w:pPr>
        <w:ind w:firstLine="1619" w:firstLineChars="506"/>
        <w:rPr>
          <w:rFonts w:ascii="宋体" w:hAnsi="宋体" w:cs="黑体"/>
          <w:sz w:val="32"/>
          <w:szCs w:val="32"/>
          <w:highlight w:val="none"/>
          <w:u w:val="single"/>
        </w:rPr>
      </w:pPr>
      <w:r>
        <w:rPr>
          <w:rFonts w:hint="eastAsia" w:ascii="宋体" w:hAnsi="宋体" w:cs="黑体"/>
          <w:sz w:val="32"/>
          <w:szCs w:val="32"/>
          <w:highlight w:val="none"/>
        </w:rPr>
        <w:t>甲方：</w:t>
      </w:r>
      <w:r>
        <w:rPr>
          <w:rFonts w:ascii="宋体" w:hAnsi="宋体" w:cs="黑体"/>
          <w:sz w:val="32"/>
          <w:szCs w:val="32"/>
          <w:highlight w:val="none"/>
          <w:u w:val="single"/>
        </w:rPr>
        <w:t xml:space="preserve">                        </w:t>
      </w:r>
    </w:p>
    <w:p>
      <w:pPr>
        <w:ind w:firstLine="1619" w:firstLineChars="506"/>
        <w:rPr>
          <w:rFonts w:ascii="宋体" w:hAnsi="宋体"/>
          <w:sz w:val="32"/>
          <w:szCs w:val="32"/>
          <w:highlight w:val="none"/>
        </w:rPr>
      </w:pPr>
    </w:p>
    <w:p>
      <w:pPr>
        <w:ind w:firstLine="1619" w:firstLineChars="506"/>
        <w:rPr>
          <w:rFonts w:ascii="宋体" w:hAnsi="宋体" w:cs="黑体"/>
          <w:sz w:val="32"/>
          <w:szCs w:val="32"/>
          <w:highlight w:val="none"/>
          <w:u w:val="single"/>
        </w:rPr>
      </w:pPr>
      <w:r>
        <w:rPr>
          <w:rFonts w:hint="eastAsia" w:ascii="宋体" w:hAnsi="宋体" w:cs="黑体"/>
          <w:sz w:val="32"/>
          <w:szCs w:val="32"/>
          <w:highlight w:val="none"/>
        </w:rPr>
        <w:t>乙方：</w:t>
      </w:r>
      <w:r>
        <w:rPr>
          <w:rFonts w:ascii="宋体" w:hAnsi="宋体" w:cs="黑体"/>
          <w:sz w:val="32"/>
          <w:szCs w:val="32"/>
          <w:highlight w:val="none"/>
          <w:u w:val="single"/>
        </w:rPr>
        <w:t xml:space="preserve">                         </w:t>
      </w:r>
    </w:p>
    <w:p>
      <w:pPr>
        <w:ind w:firstLine="640"/>
        <w:jc w:val="center"/>
        <w:rPr>
          <w:rFonts w:ascii="宋体" w:hAnsi="宋体" w:cs="黑体"/>
          <w:sz w:val="32"/>
          <w:szCs w:val="32"/>
          <w:highlight w:val="none"/>
        </w:rPr>
      </w:pPr>
    </w:p>
    <w:p>
      <w:pPr>
        <w:jc w:val="center"/>
        <w:rPr>
          <w:rFonts w:ascii="宋体" w:hAnsi="宋体" w:cs="黑体"/>
          <w:sz w:val="32"/>
          <w:szCs w:val="32"/>
          <w:highlight w:val="none"/>
        </w:rPr>
      </w:pPr>
    </w:p>
    <w:p>
      <w:pPr>
        <w:jc w:val="center"/>
        <w:rPr>
          <w:rFonts w:ascii="宋体" w:hAnsi="宋体" w:cs="黑体"/>
          <w:sz w:val="32"/>
          <w:szCs w:val="32"/>
          <w:highlight w:val="none"/>
        </w:rPr>
      </w:pPr>
    </w:p>
    <w:p>
      <w:pPr>
        <w:jc w:val="center"/>
        <w:rPr>
          <w:rFonts w:ascii="宋体" w:hAnsi="宋体" w:cs="黑体"/>
          <w:sz w:val="32"/>
          <w:szCs w:val="32"/>
          <w:highlight w:val="none"/>
        </w:rPr>
      </w:pPr>
    </w:p>
    <w:p>
      <w:pPr>
        <w:jc w:val="center"/>
        <w:rPr>
          <w:rFonts w:ascii="宋体" w:hAnsi="宋体" w:cs="黑体"/>
          <w:sz w:val="32"/>
          <w:szCs w:val="32"/>
          <w:highlight w:val="none"/>
        </w:rPr>
      </w:pPr>
      <w:r>
        <w:rPr>
          <w:rFonts w:ascii="宋体" w:hAnsi="宋体" w:cs="黑体"/>
          <w:sz w:val="32"/>
          <w:szCs w:val="32"/>
          <w:highlight w:val="none"/>
        </w:rPr>
        <w:t>2020</w:t>
      </w:r>
      <w:r>
        <w:rPr>
          <w:rFonts w:hint="eastAsia" w:ascii="宋体" w:hAnsi="宋体" w:cs="黑体"/>
          <w:sz w:val="32"/>
          <w:szCs w:val="32"/>
          <w:highlight w:val="none"/>
        </w:rPr>
        <w:t>年</w:t>
      </w:r>
      <w:r>
        <w:rPr>
          <w:rFonts w:ascii="宋体" w:hAnsi="宋体" w:cs="黑体"/>
          <w:sz w:val="32"/>
          <w:szCs w:val="32"/>
          <w:highlight w:val="none"/>
        </w:rPr>
        <w:t xml:space="preserve">  </w:t>
      </w:r>
      <w:r>
        <w:rPr>
          <w:rFonts w:hint="eastAsia" w:ascii="宋体" w:hAnsi="宋体" w:cs="黑体"/>
          <w:sz w:val="32"/>
          <w:szCs w:val="32"/>
          <w:highlight w:val="none"/>
        </w:rPr>
        <w:t>月于东莞市</w:t>
      </w:r>
    </w:p>
    <w:p>
      <w:pPr>
        <w:widowControl/>
        <w:jc w:val="left"/>
        <w:rPr>
          <w:rFonts w:ascii="宋体" w:hAnsi="宋体" w:cs="黑体"/>
          <w:sz w:val="32"/>
          <w:szCs w:val="32"/>
          <w:highlight w:val="none"/>
        </w:rPr>
      </w:pPr>
      <w:r>
        <w:rPr>
          <w:rFonts w:ascii="宋体" w:hAnsi="宋体" w:cs="黑体"/>
          <w:sz w:val="32"/>
          <w:szCs w:val="32"/>
          <w:highlight w:val="none"/>
        </w:rPr>
        <w:br w:type="page"/>
      </w:r>
    </w:p>
    <w:p>
      <w:pPr>
        <w:spacing w:line="360" w:lineRule="auto"/>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甲方：东莞</w:t>
      </w:r>
      <w:r>
        <w:rPr>
          <w:rFonts w:asciiTheme="minorEastAsia" w:hAnsiTheme="minorEastAsia" w:eastAsiaTheme="minorEastAsia"/>
          <w:sz w:val="22"/>
          <w:szCs w:val="22"/>
          <w:highlight w:val="none"/>
        </w:rPr>
        <w:t>巴士有限</w:t>
      </w:r>
      <w:r>
        <w:rPr>
          <w:rFonts w:hint="eastAsia" w:asciiTheme="minorEastAsia" w:hAnsiTheme="minorEastAsia" w:eastAsiaTheme="minorEastAsia"/>
          <w:sz w:val="22"/>
          <w:szCs w:val="22"/>
          <w:highlight w:val="none"/>
        </w:rPr>
        <w:t>公司</w:t>
      </w:r>
    </w:p>
    <w:p>
      <w:pPr>
        <w:spacing w:line="360" w:lineRule="auto"/>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乙方：（中标人）</w:t>
      </w:r>
    </w:p>
    <w:p>
      <w:pPr>
        <w:spacing w:line="360" w:lineRule="auto"/>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 xml:space="preserve"> </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根据《中华人民共和国合同法》及其它有关法律、法规的规定，在平等、自愿、协商一致的基础上，甲、乙双方根据</w:t>
      </w:r>
      <w:r>
        <w:rPr>
          <w:rFonts w:hint="eastAsia" w:asciiTheme="minorEastAsia" w:hAnsiTheme="minorEastAsia" w:eastAsiaTheme="minorEastAsia"/>
          <w:b/>
          <w:bCs/>
          <w:sz w:val="22"/>
          <w:szCs w:val="22"/>
          <w:highlight w:val="none"/>
          <w:u w:val="single"/>
        </w:rPr>
        <w:t>东莞巴士有限公司充电服务商资格入库项目</w:t>
      </w:r>
      <w:r>
        <w:rPr>
          <w:rFonts w:hint="eastAsia" w:asciiTheme="minorEastAsia" w:hAnsiTheme="minorEastAsia" w:eastAsiaTheme="minorEastAsia"/>
          <w:sz w:val="22"/>
          <w:szCs w:val="22"/>
          <w:highlight w:val="none"/>
          <w:u w:val="single"/>
        </w:rPr>
        <w:t>（采购编号：</w:t>
      </w:r>
      <w:r>
        <w:rPr>
          <w:rFonts w:asciiTheme="minorEastAsia" w:hAnsiTheme="minorEastAsia" w:eastAsiaTheme="minorEastAsia"/>
          <w:sz w:val="22"/>
          <w:szCs w:val="22"/>
          <w:highlight w:val="none"/>
          <w:u w:val="single"/>
        </w:rPr>
        <w:t>BS-CG2020045</w:t>
      </w:r>
      <w:r>
        <w:rPr>
          <w:rFonts w:hint="eastAsia" w:asciiTheme="minorEastAsia" w:hAnsiTheme="minorEastAsia" w:eastAsiaTheme="minorEastAsia"/>
          <w:sz w:val="22"/>
          <w:szCs w:val="22"/>
          <w:highlight w:val="none"/>
          <w:u w:val="single"/>
        </w:rPr>
        <w:t>）的招标结果，</w:t>
      </w:r>
      <w:r>
        <w:rPr>
          <w:rFonts w:hint="eastAsia" w:asciiTheme="minorEastAsia" w:hAnsiTheme="minorEastAsia" w:eastAsiaTheme="minorEastAsia"/>
          <w:sz w:val="22"/>
          <w:szCs w:val="22"/>
          <w:highlight w:val="none"/>
        </w:rPr>
        <w:t>以及招标文件、招标文件补充或澄清文件，乙方的投标文件及各种书面承诺，并经双方协调一致，签订本合同：</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第一条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协议内容</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（一）乙方作为</w:t>
      </w:r>
      <w:r>
        <w:rPr>
          <w:rFonts w:hint="eastAsia" w:asciiTheme="minorEastAsia" w:hAnsiTheme="minorEastAsia" w:eastAsiaTheme="minorEastAsia"/>
          <w:bCs/>
          <w:sz w:val="22"/>
          <w:szCs w:val="22"/>
          <w:highlight w:val="none"/>
        </w:rPr>
        <w:t>东莞巴士有限公司</w:t>
      </w:r>
      <w:r>
        <w:rPr>
          <w:rFonts w:asciiTheme="minorEastAsia" w:hAnsiTheme="minorEastAsia" w:eastAsiaTheme="minorEastAsia"/>
          <w:sz w:val="22"/>
          <w:szCs w:val="22"/>
          <w:highlight w:val="none"/>
        </w:rPr>
        <w:t>2020年-2024年纯电动公交车辆充电服务</w:t>
      </w:r>
      <w:r>
        <w:rPr>
          <w:rFonts w:hint="eastAsia" w:asciiTheme="minorEastAsia" w:hAnsiTheme="minorEastAsia" w:eastAsiaTheme="minorEastAsia"/>
          <w:sz w:val="22"/>
          <w:szCs w:val="22"/>
          <w:highlight w:val="none"/>
        </w:rPr>
        <w:t>项目的</w:t>
      </w:r>
      <w:r>
        <w:rPr>
          <w:rFonts w:asciiTheme="minorEastAsia" w:hAnsiTheme="minorEastAsia" w:eastAsiaTheme="minorEastAsia"/>
          <w:sz w:val="22"/>
          <w:szCs w:val="22"/>
          <w:highlight w:val="none"/>
        </w:rPr>
        <w:t>中标人</w:t>
      </w:r>
      <w:r>
        <w:rPr>
          <w:rFonts w:hint="eastAsia" w:asciiTheme="minorEastAsia" w:hAnsiTheme="minorEastAsia" w:eastAsiaTheme="minorEastAsia"/>
          <w:sz w:val="22"/>
          <w:szCs w:val="22"/>
          <w:highlight w:val="none"/>
        </w:rPr>
        <w:t>，在</w:t>
      </w:r>
      <w:r>
        <w:rPr>
          <w:rFonts w:asciiTheme="minorEastAsia" w:hAnsiTheme="minorEastAsia" w:eastAsiaTheme="minorEastAsia"/>
          <w:sz w:val="22"/>
          <w:szCs w:val="22"/>
          <w:highlight w:val="none"/>
        </w:rPr>
        <w:t>本框架协议</w:t>
      </w:r>
      <w:r>
        <w:rPr>
          <w:rFonts w:hint="eastAsia" w:asciiTheme="minorEastAsia" w:hAnsiTheme="minorEastAsia" w:eastAsiaTheme="minorEastAsia"/>
          <w:sz w:val="22"/>
          <w:szCs w:val="22"/>
          <w:highlight w:val="none"/>
        </w:rPr>
        <w:t>生效</w:t>
      </w:r>
      <w:r>
        <w:rPr>
          <w:rFonts w:asciiTheme="minorEastAsia" w:hAnsiTheme="minorEastAsia" w:eastAsiaTheme="minorEastAsia"/>
          <w:sz w:val="22"/>
          <w:szCs w:val="22"/>
          <w:highlight w:val="none"/>
        </w:rPr>
        <w:t>后，</w:t>
      </w:r>
      <w:r>
        <w:rPr>
          <w:rFonts w:hint="eastAsia" w:asciiTheme="minorEastAsia" w:hAnsiTheme="minorEastAsia" w:eastAsiaTheme="minorEastAsia"/>
          <w:sz w:val="22"/>
          <w:szCs w:val="22"/>
          <w:highlight w:val="none"/>
        </w:rPr>
        <w:t>即</w:t>
      </w:r>
      <w:r>
        <w:rPr>
          <w:rFonts w:asciiTheme="minorEastAsia" w:hAnsiTheme="minorEastAsia" w:eastAsiaTheme="minorEastAsia"/>
          <w:sz w:val="22"/>
          <w:szCs w:val="22"/>
          <w:highlight w:val="none"/>
        </w:rPr>
        <w:t>自动</w:t>
      </w:r>
      <w:r>
        <w:rPr>
          <w:rFonts w:hint="eastAsia" w:asciiTheme="minorEastAsia" w:hAnsiTheme="minorEastAsia" w:eastAsiaTheme="minorEastAsia"/>
          <w:sz w:val="22"/>
          <w:szCs w:val="22"/>
          <w:highlight w:val="none"/>
        </w:rPr>
        <w:t>进入东莞巴士有限公司</w:t>
      </w:r>
      <w:r>
        <w:rPr>
          <w:rFonts w:asciiTheme="minorEastAsia" w:hAnsiTheme="minorEastAsia" w:eastAsiaTheme="minorEastAsia"/>
          <w:sz w:val="22"/>
          <w:szCs w:val="22"/>
          <w:highlight w:val="none"/>
        </w:rPr>
        <w:t>2020年-2024年纯电动公交车辆充电服务</w:t>
      </w:r>
      <w:r>
        <w:rPr>
          <w:rFonts w:hint="eastAsia" w:asciiTheme="minorEastAsia" w:hAnsiTheme="minorEastAsia" w:eastAsiaTheme="minorEastAsia"/>
          <w:sz w:val="22"/>
          <w:szCs w:val="22"/>
          <w:highlight w:val="none"/>
        </w:rPr>
        <w:t>商库</w:t>
      </w:r>
      <w:r>
        <w:rPr>
          <w:rFonts w:asciiTheme="minorEastAsia" w:hAnsiTheme="minorEastAsia" w:eastAsiaTheme="minorEastAsia"/>
          <w:sz w:val="22"/>
          <w:szCs w:val="22"/>
          <w:highlight w:val="none"/>
        </w:rPr>
        <w:t>，</w:t>
      </w:r>
      <w:r>
        <w:rPr>
          <w:rFonts w:hint="eastAsia" w:asciiTheme="minorEastAsia" w:hAnsiTheme="minorEastAsia" w:eastAsiaTheme="minorEastAsia"/>
          <w:sz w:val="22"/>
          <w:szCs w:val="22"/>
          <w:highlight w:val="none"/>
        </w:rPr>
        <w:t>在本合同服务期限内，根据实际需求为甲方及其下属子分公司</w:t>
      </w:r>
      <w:r>
        <w:rPr>
          <w:rFonts w:hint="eastAsia" w:asciiTheme="minorEastAsia" w:hAnsiTheme="minorEastAsia" w:eastAsiaTheme="minorEastAsia"/>
          <w:bCs/>
          <w:sz w:val="22"/>
          <w:szCs w:val="22"/>
          <w:highlight w:val="none"/>
        </w:rPr>
        <w:t>（东莞市城巴运输有限公司、东莞市滨海湾公共交通有限公司、东莞市松山湖公共交通有限公司、东莞市小巴运输有限公司、东莞巴士有限公司东部分公司）</w:t>
      </w:r>
      <w:r>
        <w:rPr>
          <w:rFonts w:hint="eastAsia" w:asciiTheme="minorEastAsia" w:hAnsiTheme="minorEastAsia" w:eastAsiaTheme="minorEastAsia"/>
          <w:sz w:val="22"/>
          <w:szCs w:val="22"/>
          <w:highlight w:val="none"/>
        </w:rPr>
        <w:t>的纯电动公交车辆提供</w:t>
      </w:r>
      <w:r>
        <w:rPr>
          <w:rFonts w:asciiTheme="minorEastAsia" w:hAnsiTheme="minorEastAsia" w:eastAsiaTheme="minorEastAsia"/>
          <w:sz w:val="22"/>
          <w:szCs w:val="22"/>
          <w:highlight w:val="none"/>
        </w:rPr>
        <w:t>充电服务</w:t>
      </w:r>
      <w:r>
        <w:rPr>
          <w:rFonts w:hint="eastAsia" w:asciiTheme="minorEastAsia" w:hAnsiTheme="minorEastAsia" w:eastAsiaTheme="minorEastAsia"/>
          <w:sz w:val="22"/>
          <w:szCs w:val="22"/>
          <w:highlight w:val="none"/>
        </w:rPr>
        <w:t>。</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（二）乙方必须清楚理解入库资格的取得并不意味着服务机会的获得，甲方无法预计、也无法保证乙方所能获得的服务项目数量与金额；对此乙方必须承诺不得向甲方追讨任何费用。</w:t>
      </w:r>
    </w:p>
    <w:p>
      <w:pPr>
        <w:spacing w:line="360" w:lineRule="auto"/>
        <w:ind w:firstLine="442" w:firstLineChars="200"/>
        <w:rPr>
          <w:rFonts w:asciiTheme="minorEastAsia" w:hAnsiTheme="minorEastAsia" w:eastAsiaTheme="minorEastAsia"/>
          <w:sz w:val="22"/>
          <w:szCs w:val="22"/>
          <w:highlight w:val="none"/>
        </w:rPr>
      </w:pPr>
      <w:r>
        <w:rPr>
          <w:rFonts w:hint="eastAsia" w:asciiTheme="minorEastAsia" w:hAnsiTheme="minorEastAsia" w:eastAsiaTheme="minorEastAsia"/>
          <w:b/>
          <w:bCs/>
          <w:sz w:val="22"/>
          <w:szCs w:val="22"/>
          <w:highlight w:val="none"/>
        </w:rPr>
        <w:t>第二条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协议期限</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本项目的服务期限为</w:t>
      </w:r>
      <w:r>
        <w:rPr>
          <w:rFonts w:asciiTheme="minorEastAsia" w:hAnsiTheme="minorEastAsia" w:eastAsiaTheme="minorEastAsia"/>
          <w:sz w:val="22"/>
          <w:szCs w:val="22"/>
          <w:highlight w:val="none"/>
        </w:rPr>
        <w:t>3</w:t>
      </w:r>
      <w:r>
        <w:rPr>
          <w:rFonts w:hint="eastAsia" w:asciiTheme="minorEastAsia" w:hAnsiTheme="minorEastAsia" w:eastAsiaTheme="minorEastAsia"/>
          <w:sz w:val="22"/>
          <w:szCs w:val="22"/>
          <w:highlight w:val="none"/>
        </w:rPr>
        <w:t>年，自</w:t>
      </w:r>
      <w:r>
        <w:rPr>
          <w:rFonts w:asciiTheme="minorEastAsia" w:hAnsiTheme="minorEastAsia" w:eastAsiaTheme="minorEastAsia"/>
          <w:sz w:val="22"/>
          <w:szCs w:val="22"/>
          <w:highlight w:val="none"/>
        </w:rPr>
        <w:t xml:space="preserve">  年  月  日  至  年  月  </w:t>
      </w:r>
      <w:r>
        <w:rPr>
          <w:rFonts w:hint="eastAsia" w:asciiTheme="minorEastAsia" w:hAnsiTheme="minorEastAsia" w:eastAsiaTheme="minorEastAsia"/>
          <w:sz w:val="22"/>
          <w:szCs w:val="22"/>
          <w:highlight w:val="none"/>
        </w:rPr>
        <w:t>日。</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第三条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权利和义务</w:t>
      </w:r>
    </w:p>
    <w:p>
      <w:pPr>
        <w:spacing w:line="360" w:lineRule="auto"/>
        <w:ind w:firstLine="442" w:firstLineChars="200"/>
        <w:rPr>
          <w:rFonts w:asciiTheme="minorEastAsia" w:hAnsiTheme="minorEastAsia" w:eastAsiaTheme="minorEastAsia"/>
          <w:b/>
          <w:sz w:val="22"/>
          <w:szCs w:val="22"/>
          <w:highlight w:val="none"/>
        </w:rPr>
      </w:pPr>
      <w:r>
        <w:rPr>
          <w:rFonts w:hint="eastAsia" w:asciiTheme="minorEastAsia" w:hAnsiTheme="minorEastAsia" w:eastAsiaTheme="minorEastAsia"/>
          <w:b/>
          <w:sz w:val="22"/>
          <w:szCs w:val="22"/>
          <w:highlight w:val="none"/>
        </w:rPr>
        <w:t>（一）甲方的权利与义务</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1.甲方及</w:t>
      </w:r>
      <w:r>
        <w:rPr>
          <w:rFonts w:hint="eastAsia" w:asciiTheme="minorEastAsia" w:hAnsiTheme="minorEastAsia" w:eastAsiaTheme="minorEastAsia"/>
          <w:sz w:val="22"/>
          <w:szCs w:val="22"/>
          <w:highlight w:val="none"/>
        </w:rPr>
        <w:t>其</w:t>
      </w:r>
      <w:r>
        <w:rPr>
          <w:rFonts w:asciiTheme="minorEastAsia" w:hAnsiTheme="minorEastAsia" w:eastAsiaTheme="minorEastAsia"/>
          <w:sz w:val="22"/>
          <w:szCs w:val="22"/>
          <w:highlight w:val="none"/>
        </w:rPr>
        <w:t>下属子分公司，作为需求单位，有权</w:t>
      </w:r>
      <w:r>
        <w:rPr>
          <w:rFonts w:hint="eastAsia" w:asciiTheme="minorEastAsia" w:hAnsiTheme="minorEastAsia" w:eastAsiaTheme="minorEastAsia"/>
          <w:sz w:val="22"/>
          <w:szCs w:val="22"/>
          <w:highlight w:val="none"/>
        </w:rPr>
        <w:t>在</w:t>
      </w:r>
      <w:r>
        <w:rPr>
          <w:rFonts w:asciiTheme="minorEastAsia" w:hAnsiTheme="minorEastAsia" w:eastAsiaTheme="minorEastAsia"/>
          <w:sz w:val="22"/>
          <w:szCs w:val="22"/>
          <w:highlight w:val="none"/>
        </w:rPr>
        <w:t>库内依据第四条的选派方式，选取合适的</w:t>
      </w:r>
      <w:r>
        <w:rPr>
          <w:rFonts w:hint="eastAsia" w:asciiTheme="minorEastAsia" w:hAnsiTheme="minorEastAsia" w:eastAsiaTheme="minorEastAsia"/>
          <w:sz w:val="22"/>
          <w:szCs w:val="22"/>
          <w:highlight w:val="none"/>
        </w:rPr>
        <w:t>充电</w:t>
      </w:r>
      <w:r>
        <w:rPr>
          <w:rFonts w:asciiTheme="minorEastAsia" w:hAnsiTheme="minorEastAsia" w:eastAsiaTheme="minorEastAsia"/>
          <w:sz w:val="22"/>
          <w:szCs w:val="22"/>
          <w:highlight w:val="none"/>
        </w:rPr>
        <w:t>服务供应商，并与其签订</w:t>
      </w:r>
      <w:r>
        <w:rPr>
          <w:rFonts w:hint="eastAsia" w:asciiTheme="minorEastAsia" w:hAnsiTheme="minorEastAsia" w:eastAsiaTheme="minorEastAsia"/>
          <w:sz w:val="22"/>
          <w:szCs w:val="22"/>
          <w:highlight w:val="none"/>
        </w:rPr>
        <w:t>具体</w:t>
      </w:r>
      <w:r>
        <w:rPr>
          <w:rFonts w:asciiTheme="minorEastAsia" w:hAnsiTheme="minorEastAsia" w:eastAsiaTheme="minorEastAsia"/>
          <w:sz w:val="22"/>
          <w:szCs w:val="22"/>
          <w:highlight w:val="none"/>
        </w:rPr>
        <w:t>的充电服务协议。</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w:t>
      </w:r>
      <w:r>
        <w:rPr>
          <w:rFonts w:hint="eastAsia" w:asciiTheme="minorEastAsia" w:hAnsiTheme="minorEastAsia" w:eastAsiaTheme="minorEastAsia"/>
          <w:sz w:val="22"/>
          <w:szCs w:val="22"/>
          <w:highlight w:val="none"/>
        </w:rPr>
        <w:t>甲方或其</w:t>
      </w:r>
      <w:r>
        <w:rPr>
          <w:rFonts w:asciiTheme="minorEastAsia" w:hAnsiTheme="minorEastAsia" w:eastAsiaTheme="minorEastAsia"/>
          <w:sz w:val="22"/>
          <w:szCs w:val="22"/>
          <w:highlight w:val="none"/>
        </w:rPr>
        <w:t>下属子分公司</w:t>
      </w: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在</w:t>
      </w:r>
      <w:r>
        <w:rPr>
          <w:rFonts w:hint="eastAsia" w:asciiTheme="minorEastAsia" w:hAnsiTheme="minorEastAsia" w:eastAsiaTheme="minorEastAsia"/>
          <w:sz w:val="22"/>
          <w:szCs w:val="22"/>
          <w:highlight w:val="none"/>
        </w:rPr>
        <w:t>乙方为其提供充电服务过程中，有权依据具体签订的充电服务合同中的约定，作为乙方</w:t>
      </w:r>
      <w:r>
        <w:rPr>
          <w:rFonts w:asciiTheme="minorEastAsia" w:hAnsiTheme="minorEastAsia" w:eastAsiaTheme="minorEastAsia"/>
          <w:sz w:val="22"/>
          <w:szCs w:val="22"/>
          <w:highlight w:val="none"/>
        </w:rPr>
        <w:t>服务考核的标准</w:t>
      </w:r>
      <w:r>
        <w:rPr>
          <w:rFonts w:hint="eastAsia" w:asciiTheme="minorEastAsia" w:hAnsiTheme="minorEastAsia" w:eastAsiaTheme="minorEastAsia"/>
          <w:sz w:val="22"/>
          <w:szCs w:val="22"/>
          <w:highlight w:val="none"/>
        </w:rPr>
        <w:t>和依据。</w:t>
      </w:r>
    </w:p>
    <w:p>
      <w:pPr>
        <w:spacing w:line="360" w:lineRule="auto"/>
        <w:ind w:firstLine="442" w:firstLineChars="200"/>
        <w:rPr>
          <w:rFonts w:asciiTheme="minorEastAsia" w:hAnsiTheme="minorEastAsia" w:eastAsiaTheme="minorEastAsia"/>
          <w:b/>
          <w:sz w:val="22"/>
          <w:szCs w:val="22"/>
          <w:highlight w:val="none"/>
        </w:rPr>
      </w:pPr>
      <w:r>
        <w:rPr>
          <w:rFonts w:hint="eastAsia" w:asciiTheme="minorEastAsia" w:hAnsiTheme="minorEastAsia" w:eastAsiaTheme="minorEastAsia"/>
          <w:b/>
          <w:sz w:val="22"/>
          <w:szCs w:val="22"/>
          <w:highlight w:val="none"/>
        </w:rPr>
        <w:t>（二）乙方的权利与义务</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1.乙方投标即默认同意招标文件所有条款，并同意按投标文书中的承诺履行相应的义务。</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w:t>
      </w:r>
      <w:r>
        <w:rPr>
          <w:rFonts w:hint="eastAsia" w:asciiTheme="minorEastAsia" w:hAnsiTheme="minorEastAsia" w:eastAsiaTheme="minorEastAsia"/>
          <w:sz w:val="22"/>
          <w:szCs w:val="22"/>
          <w:highlight w:val="none"/>
        </w:rPr>
        <w:t>乙方</w:t>
      </w:r>
      <w:r>
        <w:rPr>
          <w:rFonts w:asciiTheme="minorEastAsia" w:hAnsiTheme="minorEastAsia" w:eastAsiaTheme="minorEastAsia"/>
          <w:sz w:val="22"/>
          <w:szCs w:val="22"/>
          <w:highlight w:val="none"/>
        </w:rPr>
        <w:t>有权对</w:t>
      </w:r>
      <w:r>
        <w:rPr>
          <w:rFonts w:hint="eastAsia" w:asciiTheme="minorEastAsia" w:hAnsiTheme="minorEastAsia" w:eastAsiaTheme="minorEastAsia"/>
          <w:sz w:val="22"/>
          <w:szCs w:val="22"/>
          <w:highlight w:val="none"/>
        </w:rPr>
        <w:t>服务</w:t>
      </w:r>
      <w:r>
        <w:rPr>
          <w:rFonts w:asciiTheme="minorEastAsia" w:hAnsiTheme="minorEastAsia" w:eastAsiaTheme="minorEastAsia"/>
          <w:sz w:val="22"/>
          <w:szCs w:val="22"/>
          <w:highlight w:val="none"/>
        </w:rPr>
        <w:t>考核提出异议，并</w:t>
      </w:r>
      <w:r>
        <w:rPr>
          <w:rFonts w:hint="eastAsia" w:asciiTheme="minorEastAsia" w:hAnsiTheme="minorEastAsia" w:eastAsiaTheme="minorEastAsia"/>
          <w:sz w:val="22"/>
          <w:szCs w:val="22"/>
          <w:highlight w:val="none"/>
        </w:rPr>
        <w:t>应</w:t>
      </w:r>
      <w:r>
        <w:rPr>
          <w:rFonts w:asciiTheme="minorEastAsia" w:hAnsiTheme="minorEastAsia" w:eastAsiaTheme="minorEastAsia"/>
          <w:sz w:val="22"/>
          <w:szCs w:val="22"/>
          <w:highlight w:val="none"/>
        </w:rPr>
        <w:t>提交相关证明材料供甲方及下属</w:t>
      </w:r>
      <w:r>
        <w:rPr>
          <w:rFonts w:hint="eastAsia" w:asciiTheme="minorEastAsia" w:hAnsiTheme="minorEastAsia" w:eastAsiaTheme="minorEastAsia"/>
          <w:sz w:val="22"/>
          <w:szCs w:val="22"/>
          <w:highlight w:val="none"/>
        </w:rPr>
        <w:t>子分</w:t>
      </w:r>
      <w:r>
        <w:rPr>
          <w:rFonts w:asciiTheme="minorEastAsia" w:hAnsiTheme="minorEastAsia" w:eastAsiaTheme="minorEastAsia"/>
          <w:sz w:val="22"/>
          <w:szCs w:val="22"/>
          <w:highlight w:val="none"/>
        </w:rPr>
        <w:t>公司核查</w:t>
      </w:r>
      <w:r>
        <w:rPr>
          <w:rFonts w:hint="eastAsia" w:asciiTheme="minorEastAsia" w:hAnsiTheme="minorEastAsia" w:eastAsiaTheme="minorEastAsia"/>
          <w:sz w:val="22"/>
          <w:szCs w:val="22"/>
          <w:highlight w:val="none"/>
        </w:rPr>
        <w:t>。</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第四条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库内选派</w:t>
      </w:r>
      <w:r>
        <w:rPr>
          <w:rFonts w:asciiTheme="minorEastAsia" w:hAnsiTheme="minorEastAsia" w:eastAsiaTheme="minorEastAsia"/>
          <w:b/>
          <w:bCs/>
          <w:sz w:val="22"/>
          <w:szCs w:val="22"/>
          <w:highlight w:val="none"/>
        </w:rPr>
        <w:t xml:space="preserve">方式 </w:t>
      </w:r>
    </w:p>
    <w:p>
      <w:pPr>
        <w:spacing w:line="360" w:lineRule="auto"/>
        <w:ind w:firstLine="440" w:firstLineChars="200"/>
        <w:rPr>
          <w:rFonts w:asciiTheme="minorEastAsia" w:hAnsiTheme="minorEastAsia" w:eastAsiaTheme="minorEastAsia"/>
          <w:bCs/>
          <w:sz w:val="22"/>
          <w:szCs w:val="22"/>
          <w:highlight w:val="none"/>
        </w:rPr>
      </w:pPr>
      <w:r>
        <w:rPr>
          <w:rFonts w:hint="eastAsia" w:asciiTheme="minorEastAsia" w:hAnsiTheme="minorEastAsia" w:eastAsiaTheme="minorEastAsia"/>
          <w:bCs/>
          <w:sz w:val="22"/>
          <w:szCs w:val="22"/>
          <w:highlight w:val="none"/>
        </w:rPr>
        <w:t>甲方</w:t>
      </w:r>
      <w:r>
        <w:rPr>
          <w:rFonts w:asciiTheme="minorEastAsia" w:hAnsiTheme="minorEastAsia" w:eastAsiaTheme="minorEastAsia"/>
          <w:bCs/>
          <w:sz w:val="22"/>
          <w:szCs w:val="22"/>
          <w:highlight w:val="none"/>
        </w:rPr>
        <w:t>及各下属</w:t>
      </w:r>
      <w:r>
        <w:rPr>
          <w:rFonts w:hint="eastAsia" w:asciiTheme="minorEastAsia" w:hAnsiTheme="minorEastAsia" w:eastAsiaTheme="minorEastAsia"/>
          <w:bCs/>
          <w:sz w:val="22"/>
          <w:szCs w:val="22"/>
          <w:highlight w:val="none"/>
        </w:rPr>
        <w:t>子分公司作为</w:t>
      </w:r>
      <w:r>
        <w:rPr>
          <w:rFonts w:asciiTheme="minorEastAsia" w:hAnsiTheme="minorEastAsia" w:eastAsiaTheme="minorEastAsia"/>
          <w:bCs/>
          <w:sz w:val="22"/>
          <w:szCs w:val="22"/>
          <w:highlight w:val="none"/>
        </w:rPr>
        <w:t>需求单位，将通过下</w:t>
      </w:r>
      <w:r>
        <w:rPr>
          <w:rFonts w:hint="eastAsia" w:asciiTheme="minorEastAsia" w:hAnsiTheme="minorEastAsia" w:eastAsiaTheme="minorEastAsia"/>
          <w:bCs/>
          <w:sz w:val="22"/>
          <w:szCs w:val="22"/>
          <w:highlight w:val="none"/>
        </w:rPr>
        <w:t>列</w:t>
      </w:r>
      <w:r>
        <w:rPr>
          <w:rFonts w:asciiTheme="minorEastAsia" w:hAnsiTheme="minorEastAsia" w:eastAsiaTheme="minorEastAsia"/>
          <w:bCs/>
          <w:sz w:val="22"/>
          <w:szCs w:val="22"/>
          <w:highlight w:val="none"/>
        </w:rPr>
        <w:t>方式确定最终</w:t>
      </w:r>
      <w:r>
        <w:rPr>
          <w:rFonts w:hint="eastAsia" w:asciiTheme="minorEastAsia" w:hAnsiTheme="minorEastAsia" w:eastAsiaTheme="minorEastAsia"/>
          <w:bCs/>
          <w:sz w:val="22"/>
          <w:szCs w:val="22"/>
          <w:highlight w:val="none"/>
        </w:rPr>
        <w:t>充电</w:t>
      </w:r>
      <w:r>
        <w:rPr>
          <w:rFonts w:asciiTheme="minorEastAsia" w:hAnsiTheme="minorEastAsia" w:eastAsiaTheme="minorEastAsia"/>
          <w:bCs/>
          <w:sz w:val="22"/>
          <w:szCs w:val="22"/>
          <w:highlight w:val="none"/>
        </w:rPr>
        <w:t>服务单位，</w:t>
      </w:r>
      <w:r>
        <w:rPr>
          <w:rFonts w:hint="eastAsia" w:asciiTheme="minorEastAsia" w:hAnsiTheme="minorEastAsia" w:eastAsiaTheme="minorEastAsia"/>
          <w:bCs/>
          <w:sz w:val="22"/>
          <w:szCs w:val="22"/>
          <w:highlight w:val="none"/>
        </w:rPr>
        <w:t>并与其签订具体的充电服务协议，具体充电</w:t>
      </w:r>
      <w:r>
        <w:rPr>
          <w:rFonts w:asciiTheme="minorEastAsia" w:hAnsiTheme="minorEastAsia" w:eastAsiaTheme="minorEastAsia"/>
          <w:bCs/>
          <w:sz w:val="22"/>
          <w:szCs w:val="22"/>
          <w:highlight w:val="none"/>
        </w:rPr>
        <w:t>服务</w:t>
      </w:r>
      <w:r>
        <w:rPr>
          <w:rFonts w:hint="eastAsia" w:asciiTheme="minorEastAsia" w:hAnsiTheme="minorEastAsia" w:eastAsiaTheme="minorEastAsia"/>
          <w:bCs/>
          <w:sz w:val="22"/>
          <w:szCs w:val="22"/>
          <w:highlight w:val="none"/>
        </w:rPr>
        <w:t>期限不得超过本协议期限：</w:t>
      </w:r>
    </w:p>
    <w:p>
      <w:pPr>
        <w:spacing w:line="360" w:lineRule="auto"/>
        <w:ind w:firstLine="440" w:firstLineChars="200"/>
        <w:rPr>
          <w:rFonts w:asciiTheme="minorEastAsia" w:hAnsiTheme="minorEastAsia" w:eastAsiaTheme="minorEastAsia"/>
          <w:bCs/>
          <w:sz w:val="22"/>
          <w:szCs w:val="22"/>
          <w:highlight w:val="none"/>
        </w:rPr>
      </w:pPr>
      <w:r>
        <w:rPr>
          <w:rFonts w:hint="eastAsia" w:asciiTheme="minorEastAsia" w:hAnsiTheme="minorEastAsia" w:eastAsiaTheme="minorEastAsia"/>
          <w:bCs/>
          <w:sz w:val="22"/>
          <w:szCs w:val="22"/>
          <w:highlight w:val="none"/>
        </w:rPr>
        <w:t>（一）对于已经</w:t>
      </w:r>
      <w:r>
        <w:rPr>
          <w:rFonts w:asciiTheme="minorEastAsia" w:hAnsiTheme="minorEastAsia" w:eastAsiaTheme="minorEastAsia"/>
          <w:bCs/>
          <w:sz w:val="22"/>
          <w:szCs w:val="22"/>
          <w:highlight w:val="none"/>
        </w:rPr>
        <w:t>入库</w:t>
      </w:r>
      <w:r>
        <w:rPr>
          <w:rFonts w:hint="eastAsia" w:asciiTheme="minorEastAsia" w:hAnsiTheme="minorEastAsia" w:eastAsiaTheme="minorEastAsia"/>
          <w:bCs/>
          <w:sz w:val="22"/>
          <w:szCs w:val="22"/>
          <w:highlight w:val="none"/>
        </w:rPr>
        <w:t>并且</w:t>
      </w:r>
      <w:r>
        <w:rPr>
          <w:rFonts w:asciiTheme="minorEastAsia" w:hAnsiTheme="minorEastAsia" w:eastAsiaTheme="minorEastAsia"/>
          <w:bCs/>
          <w:sz w:val="22"/>
          <w:szCs w:val="22"/>
          <w:highlight w:val="none"/>
        </w:rPr>
        <w:t>已经建设有充电</w:t>
      </w:r>
      <w:r>
        <w:rPr>
          <w:rFonts w:hint="eastAsia" w:asciiTheme="minorEastAsia" w:hAnsiTheme="minorEastAsia" w:eastAsiaTheme="minorEastAsia"/>
          <w:bCs/>
          <w:sz w:val="22"/>
          <w:szCs w:val="22"/>
          <w:highlight w:val="none"/>
        </w:rPr>
        <w:t>设施</w:t>
      </w:r>
      <w:r>
        <w:rPr>
          <w:rFonts w:asciiTheme="minorEastAsia" w:hAnsiTheme="minorEastAsia" w:eastAsiaTheme="minorEastAsia"/>
          <w:bCs/>
          <w:sz w:val="22"/>
          <w:szCs w:val="22"/>
          <w:highlight w:val="none"/>
        </w:rPr>
        <w:t>的供应商，</w:t>
      </w:r>
      <w:r>
        <w:rPr>
          <w:rFonts w:hint="eastAsia" w:asciiTheme="minorEastAsia" w:hAnsiTheme="minorEastAsia" w:eastAsiaTheme="minorEastAsia"/>
          <w:bCs/>
          <w:sz w:val="22"/>
          <w:szCs w:val="22"/>
          <w:highlight w:val="none"/>
        </w:rPr>
        <w:t>包括但</w:t>
      </w:r>
      <w:r>
        <w:rPr>
          <w:rFonts w:asciiTheme="minorEastAsia" w:hAnsiTheme="minorEastAsia" w:eastAsiaTheme="minorEastAsia"/>
          <w:bCs/>
          <w:sz w:val="22"/>
          <w:szCs w:val="22"/>
          <w:highlight w:val="none"/>
        </w:rPr>
        <w:t>不仅限于</w:t>
      </w:r>
      <w:r>
        <w:rPr>
          <w:rFonts w:hint="eastAsia" w:asciiTheme="minorEastAsia" w:hAnsiTheme="minorEastAsia" w:eastAsiaTheme="minorEastAsia"/>
          <w:bCs/>
          <w:sz w:val="22"/>
          <w:szCs w:val="22"/>
          <w:highlight w:val="none"/>
        </w:rPr>
        <w:t>入库</w:t>
      </w:r>
      <w:r>
        <w:rPr>
          <w:rFonts w:asciiTheme="minorEastAsia" w:hAnsiTheme="minorEastAsia" w:eastAsiaTheme="minorEastAsia"/>
          <w:bCs/>
          <w:sz w:val="22"/>
          <w:szCs w:val="22"/>
          <w:highlight w:val="none"/>
        </w:rPr>
        <w:t>之后根据供应商自身经营决策建设的充电</w:t>
      </w:r>
      <w:r>
        <w:rPr>
          <w:rFonts w:hint="eastAsia" w:asciiTheme="minorEastAsia" w:hAnsiTheme="minorEastAsia" w:eastAsiaTheme="minorEastAsia"/>
          <w:bCs/>
          <w:sz w:val="22"/>
          <w:szCs w:val="22"/>
          <w:highlight w:val="none"/>
        </w:rPr>
        <w:t>设施</w:t>
      </w:r>
      <w:r>
        <w:rPr>
          <w:rFonts w:asciiTheme="minorEastAsia" w:hAnsiTheme="minorEastAsia" w:eastAsiaTheme="minorEastAsia"/>
          <w:bCs/>
          <w:sz w:val="22"/>
          <w:szCs w:val="22"/>
          <w:highlight w:val="none"/>
        </w:rPr>
        <w:t>，</w:t>
      </w:r>
      <w:r>
        <w:rPr>
          <w:rFonts w:hint="eastAsia" w:asciiTheme="minorEastAsia" w:hAnsiTheme="minorEastAsia" w:eastAsiaTheme="minorEastAsia"/>
          <w:bCs/>
          <w:sz w:val="22"/>
          <w:szCs w:val="22"/>
          <w:highlight w:val="none"/>
        </w:rPr>
        <w:t>需求单位</w:t>
      </w:r>
      <w:r>
        <w:rPr>
          <w:rFonts w:asciiTheme="minorEastAsia" w:hAnsiTheme="minorEastAsia" w:eastAsiaTheme="minorEastAsia"/>
          <w:bCs/>
          <w:sz w:val="22"/>
          <w:szCs w:val="22"/>
          <w:highlight w:val="none"/>
        </w:rPr>
        <w:t>可</w:t>
      </w:r>
      <w:r>
        <w:rPr>
          <w:rFonts w:hint="eastAsia" w:asciiTheme="minorEastAsia" w:hAnsiTheme="minorEastAsia" w:eastAsiaTheme="minorEastAsia"/>
          <w:bCs/>
          <w:sz w:val="22"/>
          <w:szCs w:val="22"/>
          <w:highlight w:val="none"/>
        </w:rPr>
        <w:t>结合地理位置、预算单价等因素从供应商库中选取合适的充电服务供应商并与其签订具体的充电服务协议，</w:t>
      </w:r>
      <w:r>
        <w:rPr>
          <w:rFonts w:asciiTheme="minorEastAsia" w:hAnsiTheme="minorEastAsia" w:eastAsiaTheme="minorEastAsia"/>
          <w:bCs/>
          <w:sz w:val="22"/>
          <w:szCs w:val="22"/>
          <w:highlight w:val="none"/>
        </w:rPr>
        <w:t>其结算单价以入库时的</w:t>
      </w:r>
      <w:r>
        <w:rPr>
          <w:rFonts w:hint="eastAsia" w:asciiTheme="minorEastAsia" w:hAnsiTheme="minorEastAsia" w:eastAsiaTheme="minorEastAsia"/>
          <w:bCs/>
          <w:sz w:val="22"/>
          <w:szCs w:val="22"/>
          <w:highlight w:val="none"/>
        </w:rPr>
        <w:t>报</w:t>
      </w:r>
      <w:r>
        <w:rPr>
          <w:rFonts w:asciiTheme="minorEastAsia" w:hAnsiTheme="minorEastAsia" w:eastAsiaTheme="minorEastAsia"/>
          <w:bCs/>
          <w:sz w:val="22"/>
          <w:szCs w:val="22"/>
          <w:highlight w:val="none"/>
        </w:rPr>
        <w:t>价为准</w:t>
      </w:r>
      <w:r>
        <w:rPr>
          <w:rFonts w:hint="eastAsia" w:asciiTheme="minorEastAsia" w:hAnsiTheme="minorEastAsia" w:eastAsiaTheme="minorEastAsia"/>
          <w:bCs/>
          <w:sz w:val="22"/>
          <w:szCs w:val="22"/>
          <w:highlight w:val="none"/>
        </w:rPr>
        <w:t>。</w:t>
      </w:r>
    </w:p>
    <w:p>
      <w:pPr>
        <w:spacing w:line="360" w:lineRule="auto"/>
        <w:ind w:firstLine="440" w:firstLineChars="200"/>
        <w:rPr>
          <w:rFonts w:asciiTheme="minorEastAsia" w:hAnsiTheme="minorEastAsia" w:eastAsiaTheme="minorEastAsia"/>
          <w:bCs/>
          <w:sz w:val="22"/>
          <w:szCs w:val="22"/>
          <w:highlight w:val="none"/>
        </w:rPr>
      </w:pPr>
      <w:r>
        <w:rPr>
          <w:rFonts w:hint="eastAsia" w:asciiTheme="minorEastAsia" w:hAnsiTheme="minorEastAsia" w:eastAsiaTheme="minorEastAsia"/>
          <w:bCs/>
          <w:sz w:val="22"/>
          <w:szCs w:val="22"/>
          <w:highlight w:val="none"/>
        </w:rPr>
        <w:t>（二）对于未建</w:t>
      </w:r>
      <w:r>
        <w:rPr>
          <w:rFonts w:asciiTheme="minorEastAsia" w:hAnsiTheme="minorEastAsia" w:eastAsiaTheme="minorEastAsia"/>
          <w:bCs/>
          <w:sz w:val="22"/>
          <w:szCs w:val="22"/>
          <w:highlight w:val="none"/>
        </w:rPr>
        <w:t>有可满足需求的充电</w:t>
      </w:r>
      <w:r>
        <w:rPr>
          <w:rFonts w:hint="eastAsia" w:asciiTheme="minorEastAsia" w:hAnsiTheme="minorEastAsia" w:eastAsiaTheme="minorEastAsia"/>
          <w:bCs/>
          <w:sz w:val="22"/>
          <w:szCs w:val="22"/>
          <w:highlight w:val="none"/>
        </w:rPr>
        <w:t>设施的</w:t>
      </w:r>
      <w:r>
        <w:rPr>
          <w:rFonts w:asciiTheme="minorEastAsia" w:hAnsiTheme="minorEastAsia" w:eastAsiaTheme="minorEastAsia"/>
          <w:bCs/>
          <w:sz w:val="22"/>
          <w:szCs w:val="22"/>
          <w:highlight w:val="none"/>
        </w:rPr>
        <w:t>场地，</w:t>
      </w:r>
      <w:r>
        <w:rPr>
          <w:rFonts w:hint="eastAsia" w:asciiTheme="minorEastAsia" w:hAnsiTheme="minorEastAsia" w:eastAsiaTheme="minorEastAsia"/>
          <w:bCs/>
          <w:sz w:val="22"/>
          <w:szCs w:val="22"/>
          <w:highlight w:val="none"/>
        </w:rPr>
        <w:t>甲方及其</w:t>
      </w:r>
      <w:r>
        <w:rPr>
          <w:rFonts w:asciiTheme="minorEastAsia" w:hAnsiTheme="minorEastAsia" w:eastAsiaTheme="minorEastAsia"/>
          <w:bCs/>
          <w:sz w:val="22"/>
          <w:szCs w:val="22"/>
          <w:highlight w:val="none"/>
        </w:rPr>
        <w:t>下属</w:t>
      </w:r>
      <w:r>
        <w:rPr>
          <w:rFonts w:hint="eastAsia" w:asciiTheme="minorEastAsia" w:hAnsiTheme="minorEastAsia" w:eastAsiaTheme="minorEastAsia"/>
          <w:bCs/>
          <w:sz w:val="22"/>
          <w:szCs w:val="22"/>
          <w:highlight w:val="none"/>
        </w:rPr>
        <w:t>子分</w:t>
      </w:r>
      <w:r>
        <w:rPr>
          <w:rFonts w:asciiTheme="minorEastAsia" w:hAnsiTheme="minorEastAsia" w:eastAsiaTheme="minorEastAsia"/>
          <w:bCs/>
          <w:sz w:val="22"/>
          <w:szCs w:val="22"/>
          <w:highlight w:val="none"/>
        </w:rPr>
        <w:t>公司可根据</w:t>
      </w:r>
      <w:r>
        <w:rPr>
          <w:rFonts w:hint="eastAsia" w:asciiTheme="minorEastAsia" w:hAnsiTheme="minorEastAsia" w:eastAsiaTheme="minorEastAsia"/>
          <w:bCs/>
          <w:sz w:val="22"/>
          <w:szCs w:val="22"/>
          <w:highlight w:val="none"/>
        </w:rPr>
        <w:t>项目</w:t>
      </w:r>
      <w:r>
        <w:rPr>
          <w:rFonts w:asciiTheme="minorEastAsia" w:hAnsiTheme="minorEastAsia" w:eastAsiaTheme="minorEastAsia"/>
          <w:bCs/>
          <w:sz w:val="22"/>
          <w:szCs w:val="22"/>
          <w:highlight w:val="none"/>
        </w:rPr>
        <w:t>需求，在供应商库中选取</w:t>
      </w:r>
      <w:r>
        <w:rPr>
          <w:rFonts w:hint="eastAsia" w:asciiTheme="minorEastAsia" w:hAnsiTheme="minorEastAsia" w:eastAsiaTheme="minorEastAsia"/>
          <w:bCs/>
          <w:sz w:val="22"/>
          <w:szCs w:val="22"/>
          <w:highlight w:val="none"/>
        </w:rPr>
        <w:t>不少于</w:t>
      </w:r>
      <w:r>
        <w:rPr>
          <w:rFonts w:asciiTheme="minorEastAsia" w:hAnsiTheme="minorEastAsia" w:eastAsiaTheme="minorEastAsia"/>
          <w:bCs/>
          <w:sz w:val="22"/>
          <w:szCs w:val="22"/>
          <w:highlight w:val="none"/>
        </w:rPr>
        <w:t>3家供应商，</w:t>
      </w:r>
      <w:r>
        <w:rPr>
          <w:rFonts w:hint="eastAsia" w:asciiTheme="minorEastAsia" w:hAnsiTheme="minorEastAsia" w:eastAsiaTheme="minorEastAsia"/>
          <w:bCs/>
          <w:sz w:val="22"/>
          <w:szCs w:val="22"/>
          <w:highlight w:val="none"/>
        </w:rPr>
        <w:t>以</w:t>
      </w:r>
      <w:r>
        <w:rPr>
          <w:rFonts w:asciiTheme="minorEastAsia" w:hAnsiTheme="minorEastAsia" w:eastAsiaTheme="minorEastAsia"/>
          <w:bCs/>
          <w:sz w:val="22"/>
          <w:szCs w:val="22"/>
          <w:highlight w:val="none"/>
        </w:rPr>
        <w:t>充电服务招标的预算单价作为</w:t>
      </w:r>
      <w:r>
        <w:rPr>
          <w:rFonts w:hint="eastAsia" w:asciiTheme="minorEastAsia" w:hAnsiTheme="minorEastAsia" w:eastAsiaTheme="minorEastAsia"/>
          <w:bCs/>
          <w:sz w:val="22"/>
          <w:szCs w:val="22"/>
          <w:highlight w:val="none"/>
        </w:rPr>
        <w:t>该</w:t>
      </w:r>
      <w:r>
        <w:rPr>
          <w:rFonts w:asciiTheme="minorEastAsia" w:hAnsiTheme="minorEastAsia" w:eastAsiaTheme="minorEastAsia"/>
          <w:bCs/>
          <w:sz w:val="22"/>
          <w:szCs w:val="22"/>
          <w:highlight w:val="none"/>
        </w:rPr>
        <w:t>场地充电服务费预算</w:t>
      </w:r>
      <w:r>
        <w:rPr>
          <w:rFonts w:hint="eastAsia" w:asciiTheme="minorEastAsia" w:hAnsiTheme="minorEastAsia" w:eastAsiaTheme="minorEastAsia"/>
          <w:bCs/>
          <w:sz w:val="22"/>
          <w:szCs w:val="22"/>
          <w:highlight w:val="none"/>
        </w:rPr>
        <w:t>单价</w:t>
      </w:r>
      <w:r>
        <w:rPr>
          <w:rFonts w:asciiTheme="minorEastAsia" w:hAnsiTheme="minorEastAsia" w:eastAsiaTheme="minorEastAsia"/>
          <w:bCs/>
          <w:sz w:val="22"/>
          <w:szCs w:val="22"/>
          <w:highlight w:val="none"/>
        </w:rPr>
        <w:t>上限，通过竞价的</w:t>
      </w:r>
      <w:r>
        <w:rPr>
          <w:rFonts w:hint="eastAsia" w:asciiTheme="minorEastAsia" w:hAnsiTheme="minorEastAsia" w:eastAsiaTheme="minorEastAsia"/>
          <w:bCs/>
          <w:sz w:val="22"/>
          <w:szCs w:val="22"/>
          <w:highlight w:val="none"/>
        </w:rPr>
        <w:t>方式</w:t>
      </w:r>
      <w:r>
        <w:rPr>
          <w:rFonts w:asciiTheme="minorEastAsia" w:hAnsiTheme="minorEastAsia" w:eastAsiaTheme="minorEastAsia"/>
          <w:bCs/>
          <w:sz w:val="22"/>
          <w:szCs w:val="22"/>
          <w:highlight w:val="none"/>
        </w:rPr>
        <w:t>，确定最低报价的供应商按照</w:t>
      </w:r>
      <w:r>
        <w:rPr>
          <w:rFonts w:hint="eastAsia" w:asciiTheme="minorEastAsia" w:hAnsiTheme="minorEastAsia" w:eastAsiaTheme="minorEastAsia"/>
          <w:bCs/>
          <w:sz w:val="22"/>
          <w:szCs w:val="22"/>
          <w:highlight w:val="none"/>
        </w:rPr>
        <w:t>其</w:t>
      </w:r>
      <w:r>
        <w:rPr>
          <w:rFonts w:asciiTheme="minorEastAsia" w:hAnsiTheme="minorEastAsia" w:eastAsiaTheme="minorEastAsia"/>
          <w:bCs/>
          <w:sz w:val="22"/>
          <w:szCs w:val="22"/>
          <w:highlight w:val="none"/>
        </w:rPr>
        <w:t>需求建设充电设施并提供充电服务</w:t>
      </w:r>
      <w:r>
        <w:rPr>
          <w:rFonts w:hint="eastAsia" w:asciiTheme="minorEastAsia" w:hAnsiTheme="minorEastAsia" w:eastAsiaTheme="minorEastAsia"/>
          <w:bCs/>
          <w:sz w:val="22"/>
          <w:szCs w:val="22"/>
          <w:highlight w:val="none"/>
        </w:rPr>
        <w:t>，该</w:t>
      </w:r>
      <w:r>
        <w:rPr>
          <w:rFonts w:asciiTheme="minorEastAsia" w:hAnsiTheme="minorEastAsia" w:eastAsiaTheme="minorEastAsia"/>
          <w:bCs/>
          <w:sz w:val="22"/>
          <w:szCs w:val="22"/>
          <w:highlight w:val="none"/>
        </w:rPr>
        <w:t>场站充电服务结算单价以</w:t>
      </w:r>
      <w:r>
        <w:rPr>
          <w:rFonts w:hint="eastAsia" w:asciiTheme="minorEastAsia" w:hAnsiTheme="minorEastAsia" w:eastAsiaTheme="minorEastAsia"/>
          <w:bCs/>
          <w:sz w:val="22"/>
          <w:szCs w:val="22"/>
          <w:highlight w:val="none"/>
        </w:rPr>
        <w:t>竞价</w:t>
      </w:r>
      <w:r>
        <w:rPr>
          <w:rFonts w:asciiTheme="minorEastAsia" w:hAnsiTheme="minorEastAsia" w:eastAsiaTheme="minorEastAsia"/>
          <w:bCs/>
          <w:sz w:val="22"/>
          <w:szCs w:val="22"/>
          <w:highlight w:val="none"/>
        </w:rPr>
        <w:t>的最终报价为准</w:t>
      </w:r>
      <w:r>
        <w:rPr>
          <w:rFonts w:hint="eastAsia" w:asciiTheme="minorEastAsia" w:hAnsiTheme="minorEastAsia" w:eastAsiaTheme="minorEastAsia"/>
          <w:bCs/>
          <w:sz w:val="22"/>
          <w:szCs w:val="22"/>
          <w:highlight w:val="none"/>
        </w:rPr>
        <w:t>。</w:t>
      </w:r>
    </w:p>
    <w:p>
      <w:pPr>
        <w:spacing w:line="360" w:lineRule="auto"/>
        <w:ind w:firstLine="440" w:firstLineChars="200"/>
        <w:rPr>
          <w:rFonts w:asciiTheme="minorEastAsia" w:hAnsiTheme="minorEastAsia" w:eastAsiaTheme="minorEastAsia"/>
          <w:bCs/>
          <w:sz w:val="22"/>
          <w:szCs w:val="22"/>
          <w:highlight w:val="none"/>
        </w:rPr>
      </w:pPr>
      <w:r>
        <w:rPr>
          <w:rFonts w:hint="eastAsia" w:asciiTheme="minorEastAsia" w:hAnsiTheme="minorEastAsia" w:eastAsiaTheme="minorEastAsia"/>
          <w:bCs/>
          <w:sz w:val="22"/>
          <w:szCs w:val="22"/>
          <w:highlight w:val="none"/>
        </w:rPr>
        <w:t>（三）对于甲方及其</w:t>
      </w:r>
      <w:r>
        <w:rPr>
          <w:rFonts w:asciiTheme="minorEastAsia" w:hAnsiTheme="minorEastAsia" w:eastAsiaTheme="minorEastAsia"/>
          <w:bCs/>
          <w:sz w:val="22"/>
          <w:szCs w:val="22"/>
          <w:highlight w:val="none"/>
        </w:rPr>
        <w:t>下属子分公司</w:t>
      </w:r>
      <w:r>
        <w:rPr>
          <w:rFonts w:hint="eastAsia" w:asciiTheme="minorEastAsia" w:hAnsiTheme="minorEastAsia" w:eastAsiaTheme="minorEastAsia"/>
          <w:bCs/>
          <w:sz w:val="22"/>
          <w:szCs w:val="22"/>
          <w:highlight w:val="none"/>
        </w:rPr>
        <w:t>特定</w:t>
      </w:r>
      <w:r>
        <w:rPr>
          <w:rFonts w:asciiTheme="minorEastAsia" w:hAnsiTheme="minorEastAsia" w:eastAsiaTheme="minorEastAsia"/>
          <w:bCs/>
          <w:sz w:val="22"/>
          <w:szCs w:val="22"/>
          <w:highlight w:val="none"/>
        </w:rPr>
        <w:t>区域范围以内的充电服务需求，</w:t>
      </w:r>
      <w:r>
        <w:rPr>
          <w:rFonts w:hint="eastAsia" w:asciiTheme="minorEastAsia" w:hAnsiTheme="minorEastAsia" w:eastAsiaTheme="minorEastAsia"/>
          <w:bCs/>
          <w:sz w:val="22"/>
          <w:szCs w:val="22"/>
          <w:highlight w:val="none"/>
        </w:rPr>
        <w:t>在甲方及其</w:t>
      </w:r>
      <w:r>
        <w:rPr>
          <w:rFonts w:asciiTheme="minorEastAsia" w:hAnsiTheme="minorEastAsia" w:eastAsiaTheme="minorEastAsia"/>
          <w:bCs/>
          <w:sz w:val="22"/>
          <w:szCs w:val="22"/>
          <w:highlight w:val="none"/>
        </w:rPr>
        <w:t>下属子分公司</w:t>
      </w:r>
      <w:r>
        <w:rPr>
          <w:rFonts w:hint="eastAsia" w:asciiTheme="minorEastAsia" w:hAnsiTheme="minorEastAsia" w:eastAsiaTheme="minorEastAsia"/>
          <w:bCs/>
          <w:sz w:val="22"/>
          <w:szCs w:val="22"/>
          <w:highlight w:val="none"/>
        </w:rPr>
        <w:t>以</w:t>
      </w:r>
      <w:r>
        <w:rPr>
          <w:rFonts w:asciiTheme="minorEastAsia" w:hAnsiTheme="minorEastAsia" w:eastAsiaTheme="minorEastAsia"/>
          <w:bCs/>
          <w:sz w:val="22"/>
          <w:szCs w:val="22"/>
          <w:highlight w:val="none"/>
        </w:rPr>
        <w:t>及</w:t>
      </w:r>
      <w:r>
        <w:rPr>
          <w:rFonts w:hint="eastAsia" w:asciiTheme="minorEastAsia" w:hAnsiTheme="minorEastAsia" w:eastAsiaTheme="minorEastAsia"/>
          <w:bCs/>
          <w:sz w:val="22"/>
          <w:szCs w:val="22"/>
          <w:highlight w:val="none"/>
        </w:rPr>
        <w:t>充电</w:t>
      </w:r>
      <w:r>
        <w:rPr>
          <w:rFonts w:asciiTheme="minorEastAsia" w:hAnsiTheme="minorEastAsia" w:eastAsiaTheme="minorEastAsia"/>
          <w:bCs/>
          <w:sz w:val="22"/>
          <w:szCs w:val="22"/>
          <w:highlight w:val="none"/>
        </w:rPr>
        <w:t>服务供应商库中的</w:t>
      </w:r>
      <w:r>
        <w:rPr>
          <w:rFonts w:hint="eastAsia" w:asciiTheme="minorEastAsia" w:hAnsiTheme="minorEastAsia" w:eastAsiaTheme="minorEastAsia"/>
          <w:bCs/>
          <w:sz w:val="22"/>
          <w:szCs w:val="22"/>
          <w:highlight w:val="none"/>
        </w:rPr>
        <w:t>供应商</w:t>
      </w:r>
      <w:r>
        <w:rPr>
          <w:rFonts w:asciiTheme="minorEastAsia" w:hAnsiTheme="minorEastAsia" w:eastAsiaTheme="minorEastAsia"/>
          <w:bCs/>
          <w:sz w:val="22"/>
          <w:szCs w:val="22"/>
          <w:highlight w:val="none"/>
        </w:rPr>
        <w:t>都无法</w:t>
      </w:r>
      <w:r>
        <w:rPr>
          <w:rFonts w:hint="eastAsia" w:asciiTheme="minorEastAsia" w:hAnsiTheme="minorEastAsia" w:eastAsiaTheme="minorEastAsia"/>
          <w:bCs/>
          <w:sz w:val="22"/>
          <w:szCs w:val="22"/>
          <w:highlight w:val="none"/>
        </w:rPr>
        <w:t>提供用于</w:t>
      </w:r>
      <w:r>
        <w:rPr>
          <w:rFonts w:asciiTheme="minorEastAsia" w:hAnsiTheme="minorEastAsia" w:eastAsiaTheme="minorEastAsia"/>
          <w:bCs/>
          <w:sz w:val="22"/>
          <w:szCs w:val="22"/>
          <w:highlight w:val="none"/>
        </w:rPr>
        <w:t>建设充电设施的场地</w:t>
      </w:r>
      <w:r>
        <w:rPr>
          <w:rFonts w:hint="eastAsia" w:asciiTheme="minorEastAsia" w:hAnsiTheme="minorEastAsia" w:eastAsiaTheme="minorEastAsia"/>
          <w:bCs/>
          <w:sz w:val="22"/>
          <w:szCs w:val="22"/>
          <w:highlight w:val="none"/>
        </w:rPr>
        <w:t>，</w:t>
      </w:r>
      <w:r>
        <w:rPr>
          <w:rFonts w:asciiTheme="minorEastAsia" w:hAnsiTheme="minorEastAsia" w:eastAsiaTheme="minorEastAsia"/>
          <w:bCs/>
          <w:sz w:val="22"/>
          <w:szCs w:val="22"/>
          <w:highlight w:val="none"/>
        </w:rPr>
        <w:t>以满足充电</w:t>
      </w:r>
      <w:r>
        <w:rPr>
          <w:rFonts w:hint="eastAsia" w:asciiTheme="minorEastAsia" w:hAnsiTheme="minorEastAsia" w:eastAsiaTheme="minorEastAsia"/>
          <w:bCs/>
          <w:sz w:val="22"/>
          <w:szCs w:val="22"/>
          <w:highlight w:val="none"/>
        </w:rPr>
        <w:t>设施建设</w:t>
      </w:r>
      <w:r>
        <w:rPr>
          <w:rFonts w:asciiTheme="minorEastAsia" w:hAnsiTheme="minorEastAsia" w:eastAsiaTheme="minorEastAsia"/>
          <w:bCs/>
          <w:sz w:val="22"/>
          <w:szCs w:val="22"/>
          <w:highlight w:val="none"/>
        </w:rPr>
        <w:t>需求时，</w:t>
      </w:r>
      <w:r>
        <w:rPr>
          <w:rFonts w:hint="eastAsia" w:asciiTheme="minorEastAsia" w:hAnsiTheme="minorEastAsia" w:eastAsiaTheme="minorEastAsia"/>
          <w:bCs/>
          <w:sz w:val="22"/>
          <w:szCs w:val="22"/>
          <w:highlight w:val="none"/>
        </w:rPr>
        <w:t>甲方及其</w:t>
      </w:r>
      <w:r>
        <w:rPr>
          <w:rFonts w:asciiTheme="minorEastAsia" w:hAnsiTheme="minorEastAsia" w:eastAsiaTheme="minorEastAsia"/>
          <w:bCs/>
          <w:sz w:val="22"/>
          <w:szCs w:val="22"/>
          <w:highlight w:val="none"/>
        </w:rPr>
        <w:t>下属子分公司可以</w:t>
      </w:r>
      <w:r>
        <w:rPr>
          <w:rFonts w:hint="eastAsia" w:asciiTheme="minorEastAsia" w:hAnsiTheme="minorEastAsia" w:eastAsiaTheme="minorEastAsia"/>
          <w:bCs/>
          <w:sz w:val="22"/>
          <w:szCs w:val="22"/>
          <w:highlight w:val="none"/>
        </w:rPr>
        <w:t>在</w:t>
      </w:r>
      <w:r>
        <w:rPr>
          <w:rFonts w:asciiTheme="minorEastAsia" w:hAnsiTheme="minorEastAsia" w:eastAsiaTheme="minorEastAsia"/>
          <w:bCs/>
          <w:sz w:val="22"/>
          <w:szCs w:val="22"/>
          <w:highlight w:val="none"/>
        </w:rPr>
        <w:t>库内选择附近的供应商提供充电服务，或根据实际需求通过公开招标</w:t>
      </w:r>
      <w:r>
        <w:rPr>
          <w:rFonts w:hint="eastAsia" w:asciiTheme="minorEastAsia" w:hAnsiTheme="minorEastAsia" w:eastAsiaTheme="minorEastAsia"/>
          <w:bCs/>
          <w:sz w:val="22"/>
          <w:szCs w:val="22"/>
          <w:highlight w:val="none"/>
        </w:rPr>
        <w:t>等</w:t>
      </w:r>
      <w:r>
        <w:rPr>
          <w:rFonts w:asciiTheme="minorEastAsia" w:hAnsiTheme="minorEastAsia" w:eastAsiaTheme="minorEastAsia"/>
          <w:bCs/>
          <w:sz w:val="22"/>
          <w:szCs w:val="22"/>
          <w:highlight w:val="none"/>
        </w:rPr>
        <w:t>方式</w:t>
      </w:r>
      <w:r>
        <w:rPr>
          <w:rFonts w:hint="eastAsia" w:asciiTheme="minorEastAsia" w:hAnsiTheme="minorEastAsia" w:eastAsiaTheme="minorEastAsia"/>
          <w:bCs/>
          <w:sz w:val="22"/>
          <w:szCs w:val="22"/>
          <w:highlight w:val="none"/>
        </w:rPr>
        <w:t>另行</w:t>
      </w:r>
      <w:r>
        <w:rPr>
          <w:rFonts w:asciiTheme="minorEastAsia" w:hAnsiTheme="minorEastAsia" w:eastAsiaTheme="minorEastAsia"/>
          <w:bCs/>
          <w:sz w:val="22"/>
          <w:szCs w:val="22"/>
          <w:highlight w:val="none"/>
        </w:rPr>
        <w:t>确定服务单位。</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第五条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充电费用</w:t>
      </w:r>
      <w:r>
        <w:rPr>
          <w:rFonts w:asciiTheme="minorEastAsia" w:hAnsiTheme="minorEastAsia" w:eastAsiaTheme="minorEastAsia"/>
          <w:b/>
          <w:bCs/>
          <w:sz w:val="22"/>
          <w:szCs w:val="22"/>
          <w:highlight w:val="none"/>
        </w:rPr>
        <w:t>的结算</w:t>
      </w:r>
    </w:p>
    <w:p>
      <w:pPr>
        <w:spacing w:line="360" w:lineRule="auto"/>
        <w:ind w:firstLine="440" w:firstLineChars="200"/>
        <w:rPr>
          <w:rFonts w:asciiTheme="minorEastAsia" w:hAnsiTheme="minorEastAsia" w:eastAsiaTheme="minorEastAsia"/>
          <w:bCs/>
          <w:sz w:val="22"/>
          <w:szCs w:val="22"/>
          <w:highlight w:val="none"/>
        </w:rPr>
      </w:pPr>
      <w:r>
        <w:rPr>
          <w:rFonts w:hint="eastAsia" w:asciiTheme="minorEastAsia" w:hAnsiTheme="minorEastAsia" w:eastAsiaTheme="minorEastAsia"/>
          <w:bCs/>
          <w:sz w:val="22"/>
          <w:szCs w:val="22"/>
          <w:highlight w:val="none"/>
        </w:rPr>
        <w:t>（一）本项目</w:t>
      </w:r>
      <w:r>
        <w:rPr>
          <w:rFonts w:asciiTheme="minorEastAsia" w:hAnsiTheme="minorEastAsia" w:eastAsiaTheme="minorEastAsia"/>
          <w:bCs/>
          <w:sz w:val="22"/>
          <w:szCs w:val="22"/>
          <w:highlight w:val="none"/>
        </w:rPr>
        <w:t>按照两种</w:t>
      </w:r>
      <w:r>
        <w:rPr>
          <w:rFonts w:hint="eastAsia" w:asciiTheme="minorEastAsia" w:hAnsiTheme="minorEastAsia" w:eastAsiaTheme="minorEastAsia"/>
          <w:bCs/>
          <w:sz w:val="22"/>
          <w:szCs w:val="22"/>
          <w:highlight w:val="none"/>
        </w:rPr>
        <w:t>模式</w:t>
      </w:r>
      <w:r>
        <w:rPr>
          <w:rFonts w:asciiTheme="minorEastAsia" w:hAnsiTheme="minorEastAsia" w:eastAsiaTheme="minorEastAsia"/>
          <w:bCs/>
          <w:sz w:val="22"/>
          <w:szCs w:val="22"/>
          <w:highlight w:val="none"/>
        </w:rPr>
        <w:t>确定</w:t>
      </w:r>
      <w:r>
        <w:rPr>
          <w:rFonts w:hint="eastAsia" w:asciiTheme="minorEastAsia" w:hAnsiTheme="minorEastAsia" w:eastAsiaTheme="minorEastAsia"/>
          <w:bCs/>
          <w:sz w:val="22"/>
          <w:szCs w:val="22"/>
          <w:highlight w:val="none"/>
        </w:rPr>
        <w:t>充电服务费基准价，</w:t>
      </w:r>
      <w:r>
        <w:rPr>
          <w:rFonts w:asciiTheme="minorEastAsia" w:hAnsiTheme="minorEastAsia" w:eastAsiaTheme="minorEastAsia"/>
          <w:bCs/>
          <w:sz w:val="22"/>
          <w:szCs w:val="22"/>
          <w:highlight w:val="none"/>
        </w:rPr>
        <w:t>具体</w:t>
      </w:r>
      <w:r>
        <w:rPr>
          <w:rFonts w:hint="eastAsia" w:asciiTheme="minorEastAsia" w:hAnsiTheme="minorEastAsia" w:eastAsiaTheme="minorEastAsia"/>
          <w:bCs/>
          <w:sz w:val="22"/>
          <w:szCs w:val="22"/>
          <w:highlight w:val="none"/>
        </w:rPr>
        <w:t>确定方式</w:t>
      </w:r>
      <w:r>
        <w:rPr>
          <w:rFonts w:asciiTheme="minorEastAsia" w:hAnsiTheme="minorEastAsia" w:eastAsiaTheme="minorEastAsia"/>
          <w:bCs/>
          <w:sz w:val="22"/>
          <w:szCs w:val="22"/>
          <w:highlight w:val="none"/>
        </w:rPr>
        <w:t>如下：</w:t>
      </w:r>
    </w:p>
    <w:p>
      <w:pPr>
        <w:spacing w:line="360" w:lineRule="auto"/>
        <w:ind w:firstLine="440" w:firstLineChars="200"/>
        <w:rPr>
          <w:rFonts w:asciiTheme="minorEastAsia" w:hAnsiTheme="minorEastAsia" w:eastAsiaTheme="minorEastAsia"/>
          <w:bCs/>
          <w:sz w:val="22"/>
          <w:szCs w:val="22"/>
          <w:highlight w:val="none"/>
        </w:rPr>
      </w:pPr>
      <w:r>
        <w:rPr>
          <w:rFonts w:asciiTheme="minorEastAsia" w:hAnsiTheme="minorEastAsia" w:eastAsiaTheme="minorEastAsia"/>
          <w:bCs/>
          <w:sz w:val="22"/>
          <w:szCs w:val="22"/>
          <w:highlight w:val="none"/>
        </w:rPr>
        <w:t>1.</w:t>
      </w:r>
      <w:r>
        <w:rPr>
          <w:rFonts w:hint="eastAsia" w:asciiTheme="minorEastAsia" w:hAnsiTheme="minorEastAsia" w:eastAsiaTheme="minorEastAsia"/>
          <w:bCs/>
          <w:sz w:val="22"/>
          <w:szCs w:val="22"/>
          <w:highlight w:val="none"/>
        </w:rPr>
        <w:t>若乙方仅提供充电服务的，充电服务费基准价为</w:t>
      </w:r>
      <w:r>
        <w:rPr>
          <w:rFonts w:asciiTheme="minorEastAsia" w:hAnsiTheme="minorEastAsia" w:eastAsiaTheme="minorEastAsia"/>
          <w:bCs/>
          <w:sz w:val="22"/>
          <w:szCs w:val="22"/>
          <w:highlight w:val="none"/>
          <w:u w:val="single"/>
        </w:rPr>
        <w:t xml:space="preserve">  </w:t>
      </w:r>
      <w:r>
        <w:rPr>
          <w:rFonts w:asciiTheme="minorEastAsia" w:hAnsiTheme="minorEastAsia" w:eastAsiaTheme="minorEastAsia"/>
          <w:bCs/>
          <w:sz w:val="22"/>
          <w:szCs w:val="22"/>
          <w:highlight w:val="none"/>
        </w:rPr>
        <w:t>元/kwh</w:t>
      </w:r>
      <w:r>
        <w:rPr>
          <w:rFonts w:hint="eastAsia" w:asciiTheme="minorEastAsia" w:hAnsiTheme="minorEastAsia" w:eastAsiaTheme="minorEastAsia"/>
          <w:bCs/>
          <w:sz w:val="22"/>
          <w:szCs w:val="22"/>
          <w:highlight w:val="none"/>
        </w:rPr>
        <w:t>，用电谷峰时段充电总量的充电服务费根据基准价的</w:t>
      </w:r>
      <w:r>
        <w:rPr>
          <w:rFonts w:asciiTheme="minorEastAsia" w:hAnsiTheme="minorEastAsia" w:eastAsiaTheme="minorEastAsia"/>
          <w:bCs/>
          <w:sz w:val="22"/>
          <w:szCs w:val="22"/>
          <w:highlight w:val="none"/>
        </w:rPr>
        <w:t>100%计算，即</w:t>
      </w:r>
      <w:r>
        <w:rPr>
          <w:rFonts w:asciiTheme="minorEastAsia" w:hAnsiTheme="minorEastAsia" w:eastAsiaTheme="minorEastAsia"/>
          <w:bCs/>
          <w:sz w:val="22"/>
          <w:szCs w:val="22"/>
          <w:highlight w:val="none"/>
          <w:u w:val="single"/>
        </w:rPr>
        <w:t xml:space="preserve">   </w:t>
      </w:r>
      <w:r>
        <w:rPr>
          <w:rFonts w:asciiTheme="minorEastAsia" w:hAnsiTheme="minorEastAsia" w:eastAsiaTheme="minorEastAsia"/>
          <w:bCs/>
          <w:sz w:val="22"/>
          <w:szCs w:val="22"/>
          <w:highlight w:val="none"/>
        </w:rPr>
        <w:t>元/千瓦时；用电平峰时段充电总量的充电服务费根据基准价的90%计算，即</w:t>
      </w:r>
      <w:r>
        <w:rPr>
          <w:rFonts w:asciiTheme="minorEastAsia" w:hAnsiTheme="minorEastAsia" w:eastAsiaTheme="minorEastAsia"/>
          <w:bCs/>
          <w:sz w:val="22"/>
          <w:szCs w:val="22"/>
          <w:highlight w:val="none"/>
          <w:u w:val="single"/>
        </w:rPr>
        <w:t xml:space="preserve">   </w:t>
      </w:r>
      <w:r>
        <w:rPr>
          <w:rFonts w:asciiTheme="minorEastAsia" w:hAnsiTheme="minorEastAsia" w:eastAsiaTheme="minorEastAsia"/>
          <w:bCs/>
          <w:sz w:val="22"/>
          <w:szCs w:val="22"/>
          <w:highlight w:val="none"/>
        </w:rPr>
        <w:t>元/千瓦时；用电尖峰时段充电总量的充电服务费根据基准价的80%计算，即   元/千瓦时；</w:t>
      </w:r>
    </w:p>
    <w:p>
      <w:pPr>
        <w:spacing w:line="360" w:lineRule="auto"/>
        <w:ind w:firstLine="440" w:firstLineChars="200"/>
        <w:rPr>
          <w:rFonts w:asciiTheme="minorEastAsia" w:hAnsiTheme="minorEastAsia" w:eastAsiaTheme="minorEastAsia"/>
          <w:bCs/>
          <w:sz w:val="22"/>
          <w:szCs w:val="22"/>
          <w:highlight w:val="none"/>
        </w:rPr>
      </w:pPr>
      <w:r>
        <w:rPr>
          <w:rFonts w:asciiTheme="minorEastAsia" w:hAnsiTheme="minorEastAsia" w:eastAsiaTheme="minorEastAsia"/>
          <w:bCs/>
          <w:sz w:val="22"/>
          <w:szCs w:val="22"/>
          <w:highlight w:val="none"/>
        </w:rPr>
        <w:t>2.</w:t>
      </w:r>
      <w:r>
        <w:rPr>
          <w:rFonts w:hint="eastAsia" w:asciiTheme="minorEastAsia" w:hAnsiTheme="minorEastAsia" w:eastAsiaTheme="minorEastAsia"/>
          <w:bCs/>
          <w:sz w:val="22"/>
          <w:szCs w:val="22"/>
          <w:highlight w:val="none"/>
        </w:rPr>
        <w:t>若乙方同时提供充电服务和夜间停放场地的，充电服务费基准价定为</w:t>
      </w:r>
      <w:r>
        <w:rPr>
          <w:rFonts w:asciiTheme="minorEastAsia" w:hAnsiTheme="minorEastAsia" w:eastAsiaTheme="minorEastAsia"/>
          <w:bCs/>
          <w:sz w:val="22"/>
          <w:szCs w:val="22"/>
          <w:highlight w:val="none"/>
          <w:u w:val="single"/>
        </w:rPr>
        <w:t xml:space="preserve">  </w:t>
      </w:r>
      <w:r>
        <w:rPr>
          <w:rFonts w:asciiTheme="minorEastAsia" w:hAnsiTheme="minorEastAsia" w:eastAsiaTheme="minorEastAsia"/>
          <w:bCs/>
          <w:sz w:val="22"/>
          <w:szCs w:val="22"/>
          <w:highlight w:val="none"/>
        </w:rPr>
        <w:t>元/kwh，</w:t>
      </w:r>
      <w:r>
        <w:rPr>
          <w:rFonts w:hint="eastAsia" w:asciiTheme="minorEastAsia" w:hAnsiTheme="minorEastAsia" w:eastAsiaTheme="minorEastAsia"/>
          <w:bCs/>
          <w:sz w:val="22"/>
          <w:szCs w:val="22"/>
          <w:highlight w:val="none"/>
        </w:rPr>
        <w:t>用电谷峰时段充电总量的充电服务费根据基准价的</w:t>
      </w:r>
      <w:r>
        <w:rPr>
          <w:rFonts w:asciiTheme="minorEastAsia" w:hAnsiTheme="minorEastAsia" w:eastAsiaTheme="minorEastAsia"/>
          <w:bCs/>
          <w:sz w:val="22"/>
          <w:szCs w:val="22"/>
          <w:highlight w:val="none"/>
        </w:rPr>
        <w:t>100%计算，即</w:t>
      </w:r>
      <w:r>
        <w:rPr>
          <w:rFonts w:asciiTheme="minorEastAsia" w:hAnsiTheme="minorEastAsia" w:eastAsiaTheme="minorEastAsia"/>
          <w:bCs/>
          <w:sz w:val="22"/>
          <w:szCs w:val="22"/>
          <w:highlight w:val="none"/>
          <w:u w:val="single"/>
        </w:rPr>
        <w:t xml:space="preserve">   </w:t>
      </w:r>
      <w:r>
        <w:rPr>
          <w:rFonts w:asciiTheme="minorEastAsia" w:hAnsiTheme="minorEastAsia" w:eastAsiaTheme="minorEastAsia"/>
          <w:bCs/>
          <w:sz w:val="22"/>
          <w:szCs w:val="22"/>
          <w:highlight w:val="none"/>
        </w:rPr>
        <w:t>元/千瓦时；用电平峰时段充电总量的充电服务费根据基准价的90%计算，即</w:t>
      </w:r>
      <w:r>
        <w:rPr>
          <w:rFonts w:asciiTheme="minorEastAsia" w:hAnsiTheme="minorEastAsia" w:eastAsiaTheme="minorEastAsia"/>
          <w:bCs/>
          <w:sz w:val="22"/>
          <w:szCs w:val="22"/>
          <w:highlight w:val="none"/>
          <w:u w:val="single"/>
        </w:rPr>
        <w:t xml:space="preserve">   </w:t>
      </w:r>
      <w:r>
        <w:rPr>
          <w:rFonts w:asciiTheme="minorEastAsia" w:hAnsiTheme="minorEastAsia" w:eastAsiaTheme="minorEastAsia"/>
          <w:bCs/>
          <w:sz w:val="22"/>
          <w:szCs w:val="22"/>
          <w:highlight w:val="none"/>
        </w:rPr>
        <w:t>元/千瓦时；用电尖峰时段充电总量的充电服务费根据基准价的80%计算，即</w:t>
      </w:r>
      <w:r>
        <w:rPr>
          <w:rFonts w:asciiTheme="minorEastAsia" w:hAnsiTheme="minorEastAsia" w:eastAsiaTheme="minorEastAsia"/>
          <w:bCs/>
          <w:sz w:val="22"/>
          <w:szCs w:val="22"/>
          <w:highlight w:val="none"/>
          <w:u w:val="single"/>
        </w:rPr>
        <w:t xml:space="preserve">   </w:t>
      </w:r>
      <w:r>
        <w:rPr>
          <w:rFonts w:asciiTheme="minorEastAsia" w:hAnsiTheme="minorEastAsia" w:eastAsiaTheme="minorEastAsia"/>
          <w:bCs/>
          <w:sz w:val="22"/>
          <w:szCs w:val="22"/>
          <w:highlight w:val="none"/>
        </w:rPr>
        <w:t>元/千瓦时</w:t>
      </w:r>
      <w:r>
        <w:rPr>
          <w:rFonts w:hint="eastAsia" w:asciiTheme="minorEastAsia" w:hAnsiTheme="minorEastAsia" w:eastAsiaTheme="minorEastAsia"/>
          <w:bCs/>
          <w:sz w:val="22"/>
          <w:szCs w:val="22"/>
          <w:highlight w:val="none"/>
        </w:rPr>
        <w:t>。</w:t>
      </w:r>
      <w:r>
        <w:rPr>
          <w:rFonts w:asciiTheme="minorEastAsia" w:hAnsiTheme="minorEastAsia" w:eastAsiaTheme="minorEastAsia"/>
          <w:bCs/>
          <w:sz w:val="22"/>
          <w:szCs w:val="22"/>
          <w:highlight w:val="none"/>
        </w:rPr>
        <w:t>停车费300元/辆/月。</w:t>
      </w:r>
    </w:p>
    <w:p>
      <w:pPr>
        <w:spacing w:line="360" w:lineRule="auto"/>
        <w:ind w:firstLine="440" w:firstLineChars="200"/>
        <w:rPr>
          <w:rFonts w:asciiTheme="minorEastAsia" w:hAnsiTheme="minorEastAsia" w:eastAsiaTheme="minorEastAsia"/>
          <w:bCs/>
          <w:sz w:val="22"/>
          <w:szCs w:val="22"/>
          <w:highlight w:val="none"/>
        </w:rPr>
      </w:pPr>
      <w:r>
        <w:rPr>
          <w:rFonts w:hint="eastAsia" w:asciiTheme="minorEastAsia" w:hAnsiTheme="minorEastAsia" w:eastAsiaTheme="minorEastAsia"/>
          <w:bCs/>
          <w:sz w:val="22"/>
          <w:szCs w:val="22"/>
          <w:highlight w:val="none"/>
        </w:rPr>
        <w:t>（二）具体</w:t>
      </w:r>
      <w:r>
        <w:rPr>
          <w:rFonts w:asciiTheme="minorEastAsia" w:hAnsiTheme="minorEastAsia" w:eastAsiaTheme="minorEastAsia"/>
          <w:bCs/>
          <w:sz w:val="22"/>
          <w:szCs w:val="22"/>
          <w:highlight w:val="none"/>
        </w:rPr>
        <w:t>结算</w:t>
      </w:r>
      <w:r>
        <w:rPr>
          <w:rFonts w:hint="eastAsia" w:asciiTheme="minorEastAsia" w:hAnsiTheme="minorEastAsia" w:eastAsiaTheme="minorEastAsia"/>
          <w:bCs/>
          <w:sz w:val="22"/>
          <w:szCs w:val="22"/>
          <w:highlight w:val="none"/>
        </w:rPr>
        <w:t>、</w:t>
      </w:r>
      <w:r>
        <w:rPr>
          <w:rFonts w:asciiTheme="minorEastAsia" w:hAnsiTheme="minorEastAsia" w:eastAsiaTheme="minorEastAsia"/>
          <w:bCs/>
          <w:sz w:val="22"/>
          <w:szCs w:val="22"/>
          <w:highlight w:val="none"/>
        </w:rPr>
        <w:t>支付</w:t>
      </w:r>
      <w:r>
        <w:rPr>
          <w:rFonts w:hint="eastAsia" w:asciiTheme="minorEastAsia" w:hAnsiTheme="minorEastAsia" w:eastAsiaTheme="minorEastAsia"/>
          <w:bCs/>
          <w:sz w:val="22"/>
          <w:szCs w:val="22"/>
          <w:highlight w:val="none"/>
        </w:rPr>
        <w:t>方式，</w:t>
      </w:r>
      <w:r>
        <w:rPr>
          <w:rFonts w:asciiTheme="minorEastAsia" w:hAnsiTheme="minorEastAsia" w:eastAsiaTheme="minorEastAsia"/>
          <w:bCs/>
          <w:sz w:val="22"/>
          <w:szCs w:val="22"/>
          <w:highlight w:val="none"/>
        </w:rPr>
        <w:t>由</w:t>
      </w:r>
      <w:r>
        <w:rPr>
          <w:rFonts w:hint="eastAsia" w:asciiTheme="minorEastAsia" w:hAnsiTheme="minorEastAsia" w:eastAsiaTheme="minorEastAsia"/>
          <w:bCs/>
          <w:sz w:val="22"/>
          <w:szCs w:val="22"/>
          <w:highlight w:val="none"/>
        </w:rPr>
        <w:t>乙方与甲方及其</w:t>
      </w:r>
      <w:r>
        <w:rPr>
          <w:rFonts w:asciiTheme="minorEastAsia" w:hAnsiTheme="minorEastAsia" w:eastAsiaTheme="minorEastAsia"/>
          <w:bCs/>
          <w:sz w:val="22"/>
          <w:szCs w:val="22"/>
          <w:highlight w:val="none"/>
        </w:rPr>
        <w:t>下属子分公司</w:t>
      </w:r>
      <w:r>
        <w:rPr>
          <w:rFonts w:hint="eastAsia" w:asciiTheme="minorEastAsia" w:hAnsiTheme="minorEastAsia" w:eastAsiaTheme="minorEastAsia"/>
          <w:bCs/>
          <w:sz w:val="22"/>
          <w:szCs w:val="22"/>
          <w:highlight w:val="none"/>
        </w:rPr>
        <w:t>另行</w:t>
      </w:r>
      <w:r>
        <w:rPr>
          <w:rFonts w:asciiTheme="minorEastAsia" w:hAnsiTheme="minorEastAsia" w:eastAsiaTheme="minorEastAsia"/>
          <w:bCs/>
          <w:sz w:val="22"/>
          <w:szCs w:val="22"/>
          <w:highlight w:val="none"/>
        </w:rPr>
        <w:t>约定，</w:t>
      </w:r>
      <w:r>
        <w:rPr>
          <w:rFonts w:hint="eastAsia" w:asciiTheme="minorEastAsia" w:hAnsiTheme="minorEastAsia" w:eastAsiaTheme="minorEastAsia"/>
          <w:bCs/>
          <w:sz w:val="22"/>
          <w:szCs w:val="22"/>
          <w:highlight w:val="none"/>
        </w:rPr>
        <w:t>由甲方及其</w:t>
      </w:r>
      <w:r>
        <w:rPr>
          <w:rFonts w:asciiTheme="minorEastAsia" w:hAnsiTheme="minorEastAsia" w:eastAsiaTheme="minorEastAsia"/>
          <w:bCs/>
          <w:sz w:val="22"/>
          <w:szCs w:val="22"/>
          <w:highlight w:val="none"/>
        </w:rPr>
        <w:t>下属子分公司</w:t>
      </w:r>
      <w:r>
        <w:rPr>
          <w:rFonts w:hint="eastAsia" w:asciiTheme="minorEastAsia" w:hAnsiTheme="minorEastAsia" w:eastAsiaTheme="minorEastAsia"/>
          <w:bCs/>
          <w:sz w:val="22"/>
          <w:szCs w:val="22"/>
          <w:highlight w:val="none"/>
        </w:rPr>
        <w:t>进行</w:t>
      </w:r>
      <w:r>
        <w:rPr>
          <w:rFonts w:asciiTheme="minorEastAsia" w:hAnsiTheme="minorEastAsia" w:eastAsiaTheme="minorEastAsia"/>
          <w:bCs/>
          <w:sz w:val="22"/>
          <w:szCs w:val="22"/>
          <w:highlight w:val="none"/>
        </w:rPr>
        <w:t>支付。</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（三）价格调整</w:t>
      </w:r>
    </w:p>
    <w:p>
      <w:pPr>
        <w:spacing w:line="360" w:lineRule="auto"/>
        <w:ind w:firstLine="440" w:firstLineChars="200"/>
        <w:rPr>
          <w:rFonts w:asciiTheme="minorEastAsia" w:hAnsiTheme="minorEastAsia" w:eastAsiaTheme="minorEastAsia"/>
          <w:bCs/>
          <w:sz w:val="22"/>
          <w:szCs w:val="22"/>
          <w:highlight w:val="none"/>
        </w:rPr>
      </w:pPr>
      <w:r>
        <w:rPr>
          <w:rFonts w:asciiTheme="minorEastAsia" w:hAnsiTheme="minorEastAsia" w:eastAsiaTheme="minorEastAsia"/>
          <w:bCs/>
          <w:sz w:val="22"/>
          <w:szCs w:val="22"/>
          <w:highlight w:val="none"/>
        </w:rPr>
        <w:t>1.</w:t>
      </w:r>
      <w:r>
        <w:rPr>
          <w:rFonts w:hint="eastAsia" w:asciiTheme="minorEastAsia" w:hAnsiTheme="minorEastAsia" w:eastAsiaTheme="minorEastAsia"/>
          <w:bCs/>
          <w:sz w:val="22"/>
          <w:szCs w:val="22"/>
          <w:highlight w:val="none"/>
        </w:rPr>
        <w:t>充电</w:t>
      </w:r>
      <w:r>
        <w:rPr>
          <w:rFonts w:asciiTheme="minorEastAsia" w:hAnsiTheme="minorEastAsia" w:eastAsiaTheme="minorEastAsia"/>
          <w:bCs/>
          <w:sz w:val="22"/>
          <w:szCs w:val="22"/>
          <w:highlight w:val="none"/>
        </w:rPr>
        <w:t>服务费</w:t>
      </w:r>
      <w:r>
        <w:rPr>
          <w:rFonts w:hint="eastAsia" w:asciiTheme="minorEastAsia" w:hAnsiTheme="minorEastAsia" w:eastAsiaTheme="minorEastAsia"/>
          <w:bCs/>
          <w:sz w:val="22"/>
          <w:szCs w:val="22"/>
          <w:highlight w:val="none"/>
        </w:rPr>
        <w:t>最高限价根据《关于调整电动汽车充电服务费标准的通知》（东发改〔</w:t>
      </w:r>
      <w:r>
        <w:rPr>
          <w:rFonts w:asciiTheme="minorEastAsia" w:hAnsiTheme="minorEastAsia" w:eastAsiaTheme="minorEastAsia"/>
          <w:bCs/>
          <w:sz w:val="22"/>
          <w:szCs w:val="22"/>
          <w:highlight w:val="none"/>
        </w:rPr>
        <w:t>2017〕285号）进行制定，如服务期内因国家或地区关于充电服务费的政策发生变动，甲方有权对合同结算单价进行调整，具体价格另行确定</w:t>
      </w:r>
      <w:r>
        <w:rPr>
          <w:rFonts w:hint="eastAsia" w:asciiTheme="minorEastAsia" w:hAnsiTheme="minorEastAsia" w:eastAsiaTheme="minorEastAsia"/>
          <w:bCs/>
          <w:sz w:val="22"/>
          <w:szCs w:val="22"/>
          <w:highlight w:val="none"/>
        </w:rPr>
        <w:t>，</w:t>
      </w:r>
      <w:r>
        <w:rPr>
          <w:rFonts w:asciiTheme="minorEastAsia" w:hAnsiTheme="minorEastAsia" w:eastAsiaTheme="minorEastAsia"/>
          <w:bCs/>
          <w:sz w:val="22"/>
          <w:szCs w:val="22"/>
          <w:highlight w:val="none"/>
        </w:rPr>
        <w:t>但最终结算基准价不超过</w:t>
      </w:r>
      <w:r>
        <w:rPr>
          <w:rFonts w:hint="eastAsia" w:asciiTheme="minorEastAsia" w:hAnsiTheme="minorEastAsia" w:eastAsiaTheme="minorEastAsia"/>
          <w:bCs/>
          <w:sz w:val="22"/>
          <w:szCs w:val="22"/>
          <w:highlight w:val="none"/>
        </w:rPr>
        <w:t>相关政策的限价及中标人的投标报价。</w:t>
      </w:r>
    </w:p>
    <w:p>
      <w:pPr>
        <w:pStyle w:val="2"/>
        <w:spacing w:line="360" w:lineRule="auto"/>
        <w:ind w:left="0" w:leftChars="0"/>
        <w:rPr>
          <w:sz w:val="22"/>
          <w:szCs w:val="22"/>
          <w:highlight w:val="none"/>
        </w:rPr>
      </w:pPr>
      <w:r>
        <w:rPr>
          <w:sz w:val="22"/>
          <w:szCs w:val="22"/>
          <w:highlight w:val="none"/>
        </w:rPr>
        <w:t>2.</w:t>
      </w:r>
      <w:r>
        <w:rPr>
          <w:rFonts w:asciiTheme="minorEastAsia" w:hAnsiTheme="minorEastAsia" w:eastAsiaTheme="minorEastAsia"/>
          <w:bCs/>
          <w:sz w:val="22"/>
          <w:szCs w:val="22"/>
          <w:highlight w:val="none"/>
        </w:rPr>
        <w:t xml:space="preserve"> 电费单价</w:t>
      </w:r>
      <w:r>
        <w:rPr>
          <w:rFonts w:hint="eastAsia" w:asciiTheme="minorEastAsia" w:hAnsiTheme="minorEastAsia" w:eastAsiaTheme="minorEastAsia"/>
          <w:bCs/>
          <w:sz w:val="22"/>
          <w:szCs w:val="22"/>
          <w:highlight w:val="none"/>
        </w:rPr>
        <w:t>以</w:t>
      </w:r>
      <w:r>
        <w:rPr>
          <w:rFonts w:asciiTheme="minorEastAsia" w:hAnsiTheme="minorEastAsia" w:eastAsiaTheme="minorEastAsia"/>
          <w:bCs/>
          <w:sz w:val="22"/>
          <w:szCs w:val="22"/>
          <w:highlight w:val="none"/>
        </w:rPr>
        <w:t>中国南方电网有限责任公司档期公布的电费单价</w:t>
      </w:r>
      <w:r>
        <w:rPr>
          <w:rFonts w:hint="eastAsia" w:asciiTheme="minorEastAsia" w:hAnsiTheme="minorEastAsia" w:eastAsiaTheme="minorEastAsia"/>
          <w:bCs/>
          <w:sz w:val="22"/>
          <w:szCs w:val="22"/>
          <w:highlight w:val="none"/>
        </w:rPr>
        <w:t>为准</w:t>
      </w:r>
      <w:r>
        <w:rPr>
          <w:rFonts w:asciiTheme="minorEastAsia" w:hAnsiTheme="minorEastAsia" w:eastAsiaTheme="minorEastAsia"/>
          <w:bCs/>
          <w:sz w:val="22"/>
          <w:szCs w:val="22"/>
          <w:highlight w:val="none"/>
        </w:rPr>
        <w:t>，如果服务期内因国家或地区</w:t>
      </w:r>
      <w:r>
        <w:rPr>
          <w:rFonts w:hint="eastAsia"/>
          <w:sz w:val="22"/>
          <w:szCs w:val="22"/>
          <w:highlight w:val="none"/>
        </w:rPr>
        <w:t>颁布关于电费优惠政策的，甲方及其下属子分公司有权按相关优惠政策支付电费。</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第六条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履约</w:t>
      </w:r>
      <w:r>
        <w:rPr>
          <w:rFonts w:asciiTheme="minorEastAsia" w:hAnsiTheme="minorEastAsia" w:eastAsiaTheme="minorEastAsia"/>
          <w:b/>
          <w:bCs/>
          <w:sz w:val="22"/>
          <w:szCs w:val="22"/>
          <w:highlight w:val="none"/>
        </w:rPr>
        <w:t>保证金</w:t>
      </w:r>
    </w:p>
    <w:p>
      <w:pPr>
        <w:spacing w:line="360" w:lineRule="auto"/>
        <w:ind w:firstLine="440" w:firstLineChars="200"/>
        <w:rPr>
          <w:rFonts w:asciiTheme="minorEastAsia" w:hAnsiTheme="minorEastAsia" w:eastAsiaTheme="minorEastAsia"/>
          <w:bCs/>
          <w:sz w:val="22"/>
          <w:szCs w:val="22"/>
          <w:highlight w:val="none"/>
        </w:rPr>
      </w:pPr>
      <w:r>
        <w:rPr>
          <w:rFonts w:hint="eastAsia" w:asciiTheme="minorEastAsia" w:hAnsiTheme="minorEastAsia" w:eastAsiaTheme="minorEastAsia"/>
          <w:bCs/>
          <w:sz w:val="22"/>
          <w:szCs w:val="22"/>
          <w:highlight w:val="none"/>
        </w:rPr>
        <w:t>（一）乙方在本合同签署前须提交履约担保，担保金额为人民币</w:t>
      </w:r>
      <w:r>
        <w:rPr>
          <w:rFonts w:asciiTheme="minorEastAsia" w:hAnsiTheme="minorEastAsia" w:eastAsiaTheme="minorEastAsia"/>
          <w:bCs/>
          <w:sz w:val="22"/>
          <w:szCs w:val="22"/>
          <w:highlight w:val="none"/>
          <w:u w:val="single"/>
        </w:rPr>
        <w:t xml:space="preserve"> </w:t>
      </w:r>
      <w:r>
        <w:rPr>
          <w:rFonts w:hint="eastAsia" w:asciiTheme="minorEastAsia" w:hAnsiTheme="minorEastAsia" w:eastAsiaTheme="minorEastAsia"/>
          <w:bCs/>
          <w:sz w:val="22"/>
          <w:szCs w:val="22"/>
          <w:highlight w:val="none"/>
          <w:u w:val="single"/>
        </w:rPr>
        <w:t>贰拾万</w:t>
      </w:r>
      <w:r>
        <w:rPr>
          <w:rFonts w:asciiTheme="minorEastAsia" w:hAnsiTheme="minorEastAsia" w:eastAsiaTheme="minorEastAsia"/>
          <w:bCs/>
          <w:sz w:val="22"/>
          <w:szCs w:val="22"/>
          <w:highlight w:val="none"/>
          <w:u w:val="single"/>
        </w:rPr>
        <w:t xml:space="preserve"> </w:t>
      </w:r>
      <w:r>
        <w:rPr>
          <w:rFonts w:hint="eastAsia" w:asciiTheme="minorEastAsia" w:hAnsiTheme="minorEastAsia" w:eastAsiaTheme="minorEastAsia"/>
          <w:bCs/>
          <w:sz w:val="22"/>
          <w:szCs w:val="22"/>
          <w:highlight w:val="none"/>
        </w:rPr>
        <w:t>元整</w:t>
      </w:r>
      <w:r>
        <w:rPr>
          <w:rFonts w:asciiTheme="minorEastAsia" w:hAnsiTheme="minorEastAsia" w:eastAsiaTheme="minorEastAsia"/>
          <w:bCs/>
          <w:sz w:val="22"/>
          <w:szCs w:val="22"/>
          <w:highlight w:val="none"/>
        </w:rPr>
        <w:t>(¥200,000</w:t>
      </w:r>
      <w:r>
        <w:rPr>
          <w:rFonts w:hint="eastAsia" w:asciiTheme="minorEastAsia" w:hAnsiTheme="minorEastAsia" w:eastAsiaTheme="minorEastAsia"/>
          <w:bCs/>
          <w:sz w:val="22"/>
          <w:szCs w:val="22"/>
          <w:highlight w:val="none"/>
        </w:rPr>
        <w:t>元</w:t>
      </w:r>
      <w:r>
        <w:rPr>
          <w:rFonts w:asciiTheme="minorEastAsia" w:hAnsiTheme="minorEastAsia" w:eastAsiaTheme="minorEastAsia"/>
          <w:bCs/>
          <w:sz w:val="22"/>
          <w:szCs w:val="22"/>
          <w:highlight w:val="none"/>
        </w:rPr>
        <w:t>)</w:t>
      </w:r>
      <w:r>
        <w:rPr>
          <w:rFonts w:hint="eastAsia" w:asciiTheme="minorEastAsia" w:hAnsiTheme="minorEastAsia" w:eastAsiaTheme="minorEastAsia"/>
          <w:bCs/>
          <w:sz w:val="22"/>
          <w:szCs w:val="22"/>
          <w:highlight w:val="none"/>
        </w:rPr>
        <w:t>，保证金在本协议终止一个月后，扣除乙方相应违约金后（如有），由乙方申请办理无息退回。</w:t>
      </w:r>
    </w:p>
    <w:p>
      <w:pPr>
        <w:spacing w:line="360" w:lineRule="auto"/>
        <w:ind w:firstLine="440" w:firstLineChars="200"/>
        <w:rPr>
          <w:rFonts w:asciiTheme="minorEastAsia" w:hAnsiTheme="minorEastAsia" w:eastAsiaTheme="minorEastAsia"/>
          <w:bCs/>
          <w:sz w:val="22"/>
          <w:szCs w:val="22"/>
          <w:highlight w:val="none"/>
        </w:rPr>
      </w:pPr>
      <w:r>
        <w:rPr>
          <w:rFonts w:hint="eastAsia" w:asciiTheme="minorEastAsia" w:hAnsiTheme="minorEastAsia" w:eastAsiaTheme="minorEastAsia"/>
          <w:bCs/>
          <w:sz w:val="22"/>
          <w:szCs w:val="22"/>
          <w:highlight w:val="none"/>
        </w:rPr>
        <w:t>（二）乙方作为东莞巴士有限公司充电服务商资格入库项目（采购编号：</w:t>
      </w:r>
      <w:r>
        <w:rPr>
          <w:rFonts w:asciiTheme="minorEastAsia" w:hAnsiTheme="minorEastAsia" w:eastAsiaTheme="minorEastAsia"/>
          <w:bCs/>
          <w:sz w:val="22"/>
          <w:szCs w:val="22"/>
          <w:highlight w:val="none"/>
        </w:rPr>
        <w:t>BS-CG2020045</w:t>
      </w:r>
      <w:r>
        <w:rPr>
          <w:rFonts w:hint="eastAsia" w:asciiTheme="minorEastAsia" w:hAnsiTheme="minorEastAsia" w:eastAsiaTheme="minorEastAsia"/>
          <w:bCs/>
          <w:sz w:val="22"/>
          <w:szCs w:val="22"/>
          <w:highlight w:val="none"/>
        </w:rPr>
        <w:t>）的中标人，在本协议有效期内，乙方在履行本协议及实际履行充电服务合同的工程中，甲方或者甲方各下属子分公司（东莞市城巴运输有限公司、东莞市滨海湾公共交通有限公司、东莞市松山湖公共交通有限公司、东莞市小巴运输有限公司、东莞巴士有限公司东部分公司）如果发现乙方有违约行为需要扣除履约担保金的，均可由甲方在履约担保金中予以扣除。</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第七条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违约条款</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（一）乙方</w:t>
      </w:r>
      <w:r>
        <w:rPr>
          <w:rFonts w:asciiTheme="minorEastAsia" w:hAnsiTheme="minorEastAsia" w:eastAsiaTheme="minorEastAsia"/>
          <w:sz w:val="22"/>
          <w:szCs w:val="22"/>
          <w:highlight w:val="none"/>
        </w:rPr>
        <w:t>在</w:t>
      </w:r>
      <w:r>
        <w:rPr>
          <w:rFonts w:hint="eastAsia" w:asciiTheme="minorEastAsia" w:hAnsiTheme="minorEastAsia" w:eastAsiaTheme="minorEastAsia"/>
          <w:sz w:val="22"/>
          <w:szCs w:val="22"/>
          <w:highlight w:val="none"/>
        </w:rPr>
        <w:t>框架协议</w:t>
      </w:r>
      <w:r>
        <w:rPr>
          <w:rFonts w:asciiTheme="minorEastAsia" w:hAnsiTheme="minorEastAsia" w:eastAsiaTheme="minorEastAsia"/>
          <w:sz w:val="22"/>
          <w:szCs w:val="22"/>
          <w:highlight w:val="none"/>
        </w:rPr>
        <w:t>有效期内</w:t>
      </w:r>
      <w:r>
        <w:rPr>
          <w:rFonts w:hint="eastAsia" w:asciiTheme="minorEastAsia" w:hAnsiTheme="minorEastAsia" w:eastAsiaTheme="minorEastAsia"/>
          <w:sz w:val="22"/>
          <w:szCs w:val="22"/>
          <w:highlight w:val="none"/>
        </w:rPr>
        <w:t>，连续</w:t>
      </w:r>
      <w:r>
        <w:rPr>
          <w:rFonts w:asciiTheme="minorEastAsia" w:hAnsiTheme="minorEastAsia" w:eastAsiaTheme="minorEastAsia"/>
          <w:sz w:val="22"/>
          <w:szCs w:val="22"/>
          <w:highlight w:val="none"/>
        </w:rPr>
        <w:t>3次或累计5次拒绝参与项目竞价的，</w:t>
      </w:r>
      <w:r>
        <w:rPr>
          <w:rFonts w:hint="eastAsia" w:asciiTheme="minorEastAsia" w:hAnsiTheme="minorEastAsia" w:eastAsiaTheme="minorEastAsia"/>
          <w:sz w:val="22"/>
          <w:szCs w:val="22"/>
          <w:highlight w:val="none"/>
        </w:rPr>
        <w:t>甲方</w:t>
      </w:r>
      <w:r>
        <w:rPr>
          <w:rFonts w:asciiTheme="minorEastAsia" w:hAnsiTheme="minorEastAsia" w:eastAsiaTheme="minorEastAsia"/>
          <w:sz w:val="22"/>
          <w:szCs w:val="22"/>
          <w:highlight w:val="none"/>
        </w:rPr>
        <w:t>有权终止协议</w:t>
      </w:r>
      <w:r>
        <w:rPr>
          <w:rFonts w:hint="eastAsia" w:asciiTheme="minorEastAsia" w:hAnsiTheme="minorEastAsia" w:eastAsiaTheme="minorEastAsia"/>
          <w:sz w:val="22"/>
          <w:szCs w:val="22"/>
          <w:highlight w:val="none"/>
        </w:rPr>
        <w:t>并没收其</w:t>
      </w:r>
      <w:r>
        <w:rPr>
          <w:rFonts w:asciiTheme="minorEastAsia" w:hAnsiTheme="minorEastAsia" w:eastAsiaTheme="minorEastAsia"/>
          <w:sz w:val="22"/>
          <w:szCs w:val="22"/>
          <w:highlight w:val="none"/>
        </w:rPr>
        <w:t>履约</w:t>
      </w:r>
      <w:r>
        <w:rPr>
          <w:rFonts w:hint="eastAsia" w:asciiTheme="minorEastAsia" w:hAnsiTheme="minorEastAsia" w:eastAsiaTheme="minorEastAsia"/>
          <w:sz w:val="22"/>
          <w:szCs w:val="22"/>
          <w:highlight w:val="none"/>
        </w:rPr>
        <w:t>担保</w:t>
      </w:r>
      <w:r>
        <w:rPr>
          <w:rFonts w:asciiTheme="minorEastAsia" w:hAnsiTheme="minorEastAsia" w:eastAsiaTheme="minorEastAsia"/>
          <w:sz w:val="22"/>
          <w:szCs w:val="22"/>
          <w:highlight w:val="none"/>
        </w:rPr>
        <w:t>金。</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（二）乙方</w:t>
      </w:r>
      <w:r>
        <w:rPr>
          <w:rFonts w:asciiTheme="minorEastAsia" w:hAnsiTheme="minorEastAsia" w:eastAsiaTheme="minorEastAsia"/>
          <w:sz w:val="22"/>
          <w:szCs w:val="22"/>
          <w:highlight w:val="none"/>
        </w:rPr>
        <w:t>在签署独立充电服</w:t>
      </w:r>
      <w:r>
        <w:rPr>
          <w:rFonts w:hint="eastAsia" w:asciiTheme="minorEastAsia" w:hAnsiTheme="minorEastAsia" w:eastAsiaTheme="minorEastAsia"/>
          <w:sz w:val="22"/>
          <w:szCs w:val="22"/>
          <w:highlight w:val="none"/>
        </w:rPr>
        <w:t>合同</w:t>
      </w:r>
      <w:r>
        <w:rPr>
          <w:rFonts w:asciiTheme="minorEastAsia" w:hAnsiTheme="minorEastAsia" w:eastAsiaTheme="minorEastAsia"/>
          <w:sz w:val="22"/>
          <w:szCs w:val="22"/>
          <w:highlight w:val="none"/>
        </w:rPr>
        <w:t>后，无故</w:t>
      </w:r>
      <w:r>
        <w:rPr>
          <w:rFonts w:hint="eastAsia" w:asciiTheme="minorEastAsia" w:hAnsiTheme="minorEastAsia" w:eastAsiaTheme="minorEastAsia"/>
          <w:sz w:val="22"/>
          <w:szCs w:val="22"/>
          <w:highlight w:val="none"/>
        </w:rPr>
        <w:t>拒绝</w:t>
      </w:r>
      <w:r>
        <w:rPr>
          <w:rFonts w:asciiTheme="minorEastAsia" w:hAnsiTheme="minorEastAsia" w:eastAsiaTheme="minorEastAsia"/>
          <w:sz w:val="22"/>
          <w:szCs w:val="22"/>
          <w:highlight w:val="none"/>
        </w:rPr>
        <w:t>履行</w:t>
      </w:r>
      <w:r>
        <w:rPr>
          <w:rFonts w:hint="eastAsia" w:asciiTheme="minorEastAsia" w:hAnsiTheme="minorEastAsia" w:eastAsiaTheme="minorEastAsia"/>
          <w:sz w:val="22"/>
          <w:szCs w:val="22"/>
          <w:highlight w:val="none"/>
        </w:rPr>
        <w:t>合同</w:t>
      </w:r>
      <w:r>
        <w:rPr>
          <w:rFonts w:asciiTheme="minorEastAsia" w:hAnsiTheme="minorEastAsia" w:eastAsiaTheme="minorEastAsia"/>
          <w:sz w:val="22"/>
          <w:szCs w:val="22"/>
          <w:highlight w:val="none"/>
        </w:rPr>
        <w:t>约定</w:t>
      </w:r>
      <w:r>
        <w:rPr>
          <w:rFonts w:hint="eastAsia" w:asciiTheme="minorEastAsia" w:hAnsiTheme="minorEastAsia" w:eastAsiaTheme="minorEastAsia"/>
          <w:sz w:val="22"/>
          <w:szCs w:val="22"/>
          <w:highlight w:val="none"/>
        </w:rPr>
        <w:t>且</w:t>
      </w:r>
      <w:r>
        <w:rPr>
          <w:rFonts w:asciiTheme="minorEastAsia" w:hAnsiTheme="minorEastAsia" w:eastAsiaTheme="minorEastAsia"/>
          <w:sz w:val="22"/>
          <w:szCs w:val="22"/>
          <w:highlight w:val="none"/>
        </w:rPr>
        <w:t>累计次数达到2次的，</w:t>
      </w:r>
      <w:r>
        <w:rPr>
          <w:rFonts w:hint="eastAsia" w:asciiTheme="minorEastAsia" w:hAnsiTheme="minorEastAsia" w:eastAsiaTheme="minorEastAsia"/>
          <w:sz w:val="22"/>
          <w:szCs w:val="22"/>
          <w:highlight w:val="none"/>
        </w:rPr>
        <w:t>甲方</w:t>
      </w:r>
      <w:r>
        <w:rPr>
          <w:rFonts w:asciiTheme="minorEastAsia" w:hAnsiTheme="minorEastAsia" w:eastAsiaTheme="minorEastAsia"/>
          <w:sz w:val="22"/>
          <w:szCs w:val="22"/>
          <w:highlight w:val="none"/>
        </w:rPr>
        <w:t>有权</w:t>
      </w:r>
      <w:r>
        <w:rPr>
          <w:rFonts w:hint="eastAsia" w:asciiTheme="minorEastAsia" w:hAnsiTheme="minorEastAsia" w:eastAsiaTheme="minorEastAsia"/>
          <w:sz w:val="22"/>
          <w:szCs w:val="22"/>
          <w:highlight w:val="none"/>
        </w:rPr>
        <w:t>解除</w:t>
      </w:r>
      <w:r>
        <w:rPr>
          <w:rFonts w:asciiTheme="minorEastAsia" w:hAnsiTheme="minorEastAsia" w:eastAsiaTheme="minorEastAsia"/>
          <w:sz w:val="22"/>
          <w:szCs w:val="22"/>
          <w:highlight w:val="none"/>
        </w:rPr>
        <w:t>充电服务合同，同时终止</w:t>
      </w:r>
      <w:r>
        <w:rPr>
          <w:rFonts w:hint="eastAsia" w:asciiTheme="minorEastAsia" w:hAnsiTheme="minorEastAsia" w:eastAsiaTheme="minorEastAsia"/>
          <w:sz w:val="22"/>
          <w:szCs w:val="22"/>
          <w:highlight w:val="none"/>
        </w:rPr>
        <w:t>框架</w:t>
      </w:r>
      <w:r>
        <w:rPr>
          <w:rFonts w:asciiTheme="minorEastAsia" w:hAnsiTheme="minorEastAsia" w:eastAsiaTheme="minorEastAsia"/>
          <w:sz w:val="22"/>
          <w:szCs w:val="22"/>
          <w:highlight w:val="none"/>
        </w:rPr>
        <w:t>协议</w:t>
      </w:r>
      <w:r>
        <w:rPr>
          <w:rFonts w:hint="eastAsia" w:asciiTheme="minorEastAsia" w:hAnsiTheme="minorEastAsia" w:eastAsiaTheme="minorEastAsia"/>
          <w:sz w:val="22"/>
          <w:szCs w:val="22"/>
          <w:highlight w:val="none"/>
        </w:rPr>
        <w:t>并没收其</w:t>
      </w:r>
      <w:r>
        <w:rPr>
          <w:rFonts w:asciiTheme="minorEastAsia" w:hAnsiTheme="minorEastAsia" w:eastAsiaTheme="minorEastAsia"/>
          <w:sz w:val="22"/>
          <w:szCs w:val="22"/>
          <w:highlight w:val="none"/>
        </w:rPr>
        <w:t>履约</w:t>
      </w:r>
      <w:r>
        <w:rPr>
          <w:rFonts w:hint="eastAsia" w:asciiTheme="minorEastAsia" w:hAnsiTheme="minorEastAsia" w:eastAsiaTheme="minorEastAsia"/>
          <w:sz w:val="22"/>
          <w:szCs w:val="22"/>
          <w:highlight w:val="none"/>
        </w:rPr>
        <w:t>担保</w:t>
      </w:r>
      <w:r>
        <w:rPr>
          <w:rFonts w:asciiTheme="minorEastAsia" w:hAnsiTheme="minorEastAsia" w:eastAsiaTheme="minorEastAsia"/>
          <w:sz w:val="22"/>
          <w:szCs w:val="22"/>
          <w:highlight w:val="none"/>
        </w:rPr>
        <w:t>金。</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（三）乙方作为中标人，必须以投标文件或优于投标文件的承诺进行服务。若乙方违反此约定，将被列入东莞巴士有限公司黑名单。</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（四）</w:t>
      </w:r>
      <w:r>
        <w:rPr>
          <w:rFonts w:asciiTheme="minorEastAsia" w:hAnsiTheme="minorEastAsia" w:eastAsiaTheme="minorEastAsia"/>
          <w:sz w:val="22"/>
          <w:szCs w:val="22"/>
          <w:highlight w:val="none"/>
        </w:rPr>
        <w:t>如</w:t>
      </w:r>
      <w:r>
        <w:rPr>
          <w:rFonts w:hint="eastAsia" w:asciiTheme="minorEastAsia" w:hAnsiTheme="minorEastAsia" w:eastAsiaTheme="minorEastAsia"/>
          <w:sz w:val="22"/>
          <w:szCs w:val="22"/>
          <w:highlight w:val="none"/>
        </w:rPr>
        <w:t>乙方</w:t>
      </w:r>
      <w:r>
        <w:rPr>
          <w:rFonts w:asciiTheme="minorEastAsia" w:hAnsiTheme="minorEastAsia" w:eastAsiaTheme="minorEastAsia"/>
          <w:sz w:val="22"/>
          <w:szCs w:val="22"/>
          <w:highlight w:val="none"/>
        </w:rPr>
        <w:t>在合同期间</w:t>
      </w: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无正当理由申请退库或因</w:t>
      </w:r>
      <w:r>
        <w:rPr>
          <w:rFonts w:hint="eastAsia" w:asciiTheme="minorEastAsia" w:hAnsiTheme="minorEastAsia" w:eastAsiaTheme="minorEastAsia"/>
          <w:sz w:val="22"/>
          <w:szCs w:val="22"/>
          <w:highlight w:val="none"/>
        </w:rPr>
        <w:t>违反</w:t>
      </w:r>
      <w:r>
        <w:rPr>
          <w:rFonts w:asciiTheme="minorEastAsia" w:hAnsiTheme="minorEastAsia" w:eastAsiaTheme="minorEastAsia"/>
          <w:sz w:val="22"/>
          <w:szCs w:val="22"/>
          <w:highlight w:val="none"/>
        </w:rPr>
        <w:t>法律法规</w:t>
      </w:r>
      <w:r>
        <w:rPr>
          <w:rFonts w:hint="eastAsia" w:asciiTheme="minorEastAsia" w:hAnsiTheme="minorEastAsia" w:eastAsiaTheme="minorEastAsia"/>
          <w:sz w:val="22"/>
          <w:szCs w:val="22"/>
          <w:highlight w:val="none"/>
        </w:rPr>
        <w:t>受到</w:t>
      </w:r>
      <w:r>
        <w:rPr>
          <w:rFonts w:asciiTheme="minorEastAsia" w:hAnsiTheme="minorEastAsia" w:eastAsiaTheme="minorEastAsia"/>
          <w:sz w:val="22"/>
          <w:szCs w:val="22"/>
          <w:highlight w:val="none"/>
        </w:rPr>
        <w:t>处罚而被</w:t>
      </w:r>
      <w:r>
        <w:rPr>
          <w:rFonts w:hint="eastAsia" w:asciiTheme="minorEastAsia" w:hAnsiTheme="minorEastAsia" w:eastAsiaTheme="minorEastAsia"/>
          <w:sz w:val="22"/>
          <w:szCs w:val="22"/>
          <w:highlight w:val="none"/>
        </w:rPr>
        <w:t>甲方</w:t>
      </w:r>
      <w:r>
        <w:rPr>
          <w:rFonts w:asciiTheme="minorEastAsia" w:hAnsiTheme="minorEastAsia" w:eastAsiaTheme="minorEastAsia"/>
          <w:sz w:val="22"/>
          <w:szCs w:val="22"/>
          <w:highlight w:val="none"/>
        </w:rPr>
        <w:t>强制退库，</w:t>
      </w:r>
      <w:r>
        <w:rPr>
          <w:rFonts w:hint="eastAsia" w:asciiTheme="minorEastAsia" w:hAnsiTheme="minorEastAsia" w:eastAsiaTheme="minorEastAsia"/>
          <w:sz w:val="22"/>
          <w:szCs w:val="22"/>
          <w:highlight w:val="none"/>
        </w:rPr>
        <w:t>甲方</w:t>
      </w:r>
      <w:r>
        <w:rPr>
          <w:rFonts w:asciiTheme="minorEastAsia" w:hAnsiTheme="minorEastAsia" w:eastAsiaTheme="minorEastAsia"/>
          <w:sz w:val="22"/>
          <w:szCs w:val="22"/>
          <w:highlight w:val="none"/>
        </w:rPr>
        <w:t>有权</w:t>
      </w:r>
      <w:r>
        <w:rPr>
          <w:rFonts w:hint="eastAsia" w:asciiTheme="minorEastAsia" w:hAnsiTheme="minorEastAsia" w:eastAsiaTheme="minorEastAsia"/>
          <w:sz w:val="22"/>
          <w:szCs w:val="22"/>
          <w:highlight w:val="none"/>
        </w:rPr>
        <w:t>将其列入东莞巴士有限公司黑名单同时</w:t>
      </w:r>
      <w:r>
        <w:rPr>
          <w:rFonts w:asciiTheme="minorEastAsia" w:hAnsiTheme="minorEastAsia" w:eastAsiaTheme="minorEastAsia"/>
          <w:sz w:val="22"/>
          <w:szCs w:val="22"/>
          <w:highlight w:val="none"/>
        </w:rPr>
        <w:t>没收其履约担保金</w:t>
      </w: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并拒绝其参与</w:t>
      </w:r>
      <w:r>
        <w:rPr>
          <w:rFonts w:hint="eastAsia" w:asciiTheme="minorEastAsia" w:hAnsiTheme="minorEastAsia" w:eastAsiaTheme="minorEastAsia"/>
          <w:sz w:val="22"/>
          <w:szCs w:val="22"/>
          <w:highlight w:val="none"/>
        </w:rPr>
        <w:t>甲方</w:t>
      </w:r>
      <w:r>
        <w:rPr>
          <w:rFonts w:hint="eastAsia" w:asciiTheme="minorEastAsia" w:hAnsiTheme="minorEastAsia" w:eastAsiaTheme="minorEastAsia"/>
          <w:bCs/>
          <w:sz w:val="22"/>
          <w:szCs w:val="22"/>
          <w:highlight w:val="none"/>
        </w:rPr>
        <w:t>充电服务资格供应商采购项目</w:t>
      </w:r>
      <w:r>
        <w:rPr>
          <w:rFonts w:asciiTheme="minorEastAsia" w:hAnsiTheme="minorEastAsia" w:eastAsiaTheme="minorEastAsia"/>
          <w:sz w:val="22"/>
          <w:szCs w:val="22"/>
          <w:highlight w:val="none"/>
        </w:rPr>
        <w:t>投标。</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（五）合同执行期间</w:t>
      </w:r>
      <w:r>
        <w:rPr>
          <w:rFonts w:asciiTheme="minorEastAsia" w:hAnsiTheme="minorEastAsia" w:eastAsiaTheme="minorEastAsia"/>
          <w:sz w:val="22"/>
          <w:szCs w:val="22"/>
          <w:highlight w:val="none"/>
        </w:rPr>
        <w:t>,</w:t>
      </w:r>
      <w:r>
        <w:rPr>
          <w:rFonts w:hint="eastAsia" w:asciiTheme="minorEastAsia" w:hAnsiTheme="minorEastAsia" w:eastAsiaTheme="minorEastAsia"/>
          <w:sz w:val="22"/>
          <w:szCs w:val="22"/>
          <w:highlight w:val="none"/>
        </w:rPr>
        <w:t>如发现乙方有以下违约行为之一</w:t>
      </w:r>
      <w:r>
        <w:rPr>
          <w:rFonts w:asciiTheme="minorEastAsia" w:hAnsiTheme="minorEastAsia" w:eastAsiaTheme="minorEastAsia"/>
          <w:sz w:val="22"/>
          <w:szCs w:val="22"/>
          <w:highlight w:val="none"/>
        </w:rPr>
        <w:t>,</w:t>
      </w:r>
      <w:r>
        <w:rPr>
          <w:rFonts w:hint="eastAsia" w:asciiTheme="minorEastAsia" w:hAnsiTheme="minorEastAsia" w:eastAsiaTheme="minorEastAsia"/>
          <w:sz w:val="22"/>
          <w:szCs w:val="22"/>
          <w:highlight w:val="none"/>
        </w:rPr>
        <w:t>甲方有权终止本协议，将履约担保金作违约金处理并按有关法律追究其相应责任</w:t>
      </w:r>
      <w:r>
        <w:rPr>
          <w:rFonts w:asciiTheme="minorEastAsia" w:hAnsiTheme="minorEastAsia" w:eastAsiaTheme="minorEastAsia"/>
          <w:sz w:val="22"/>
          <w:szCs w:val="22"/>
          <w:highlight w:val="none"/>
        </w:rPr>
        <w:t>:</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w:t>
      </w:r>
      <w:r>
        <w:rPr>
          <w:rFonts w:hint="eastAsia" w:asciiTheme="minorEastAsia" w:hAnsiTheme="minorEastAsia" w:eastAsiaTheme="minorEastAsia"/>
          <w:sz w:val="22"/>
          <w:szCs w:val="22"/>
          <w:highlight w:val="none"/>
        </w:rPr>
        <w:t>提供虚假信息（如过于偏袒投标单位或提供虚假投标资料等）、误导或欺骗采购人，以谋取非法利益；</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w:t>
      </w:r>
      <w:r>
        <w:rPr>
          <w:rFonts w:hint="eastAsia" w:asciiTheme="minorEastAsia" w:hAnsiTheme="minorEastAsia" w:eastAsiaTheme="minorEastAsia"/>
          <w:sz w:val="22"/>
          <w:szCs w:val="22"/>
          <w:highlight w:val="none"/>
        </w:rPr>
        <w:t>违反了诚实信用和投标承诺，没有严格执行相关质量、服务和收费标准，损害甲方或相关用户单位的利益；</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3.</w:t>
      </w:r>
      <w:r>
        <w:rPr>
          <w:rFonts w:hint="eastAsia" w:asciiTheme="minorEastAsia" w:hAnsiTheme="minorEastAsia" w:eastAsiaTheme="minorEastAsia"/>
          <w:sz w:val="22"/>
          <w:szCs w:val="22"/>
          <w:highlight w:val="none"/>
        </w:rPr>
        <w:t>拒绝接受甲方及相关部门监督、检查的；</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4.</w:t>
      </w:r>
      <w:r>
        <w:rPr>
          <w:rFonts w:hint="eastAsia" w:asciiTheme="minorEastAsia" w:hAnsiTheme="minorEastAsia" w:eastAsiaTheme="minorEastAsia"/>
          <w:sz w:val="22"/>
          <w:szCs w:val="22"/>
          <w:highlight w:val="none"/>
        </w:rPr>
        <w:t>由于乙方原因出现信用危机、财务危机甚至破产、倒闭，无法继续履行合同；</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5.</w:t>
      </w:r>
      <w:r>
        <w:rPr>
          <w:rFonts w:hint="eastAsia" w:asciiTheme="minorEastAsia" w:hAnsiTheme="minorEastAsia" w:eastAsiaTheme="minorEastAsia"/>
          <w:sz w:val="22"/>
          <w:szCs w:val="22"/>
          <w:highlight w:val="none"/>
        </w:rPr>
        <w:t>采用非法手段进行不正当竞争的，构成恶劣影响；</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6.</w:t>
      </w:r>
      <w:r>
        <w:rPr>
          <w:rFonts w:hint="eastAsia" w:asciiTheme="minorEastAsia" w:hAnsiTheme="minorEastAsia" w:eastAsiaTheme="minorEastAsia"/>
          <w:sz w:val="22"/>
          <w:szCs w:val="22"/>
          <w:highlight w:val="none"/>
        </w:rPr>
        <w:t>资质被降级或吊销的。</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7.</w:t>
      </w:r>
      <w:r>
        <w:rPr>
          <w:rFonts w:hint="eastAsia" w:asciiTheme="minorEastAsia" w:hAnsiTheme="minorEastAsia" w:eastAsiaTheme="minorEastAsia"/>
          <w:sz w:val="22"/>
          <w:szCs w:val="22"/>
          <w:highlight w:val="none"/>
        </w:rPr>
        <w:t>因乙方在充电服务业务中违反国家有关法律法规、被行业主管部门处罚的。</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第八条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协议</w:t>
      </w:r>
      <w:r>
        <w:rPr>
          <w:rFonts w:asciiTheme="minorEastAsia" w:hAnsiTheme="minorEastAsia" w:eastAsiaTheme="minorEastAsia"/>
          <w:b/>
          <w:bCs/>
          <w:sz w:val="22"/>
          <w:szCs w:val="22"/>
          <w:highlight w:val="none"/>
        </w:rPr>
        <w:t>争议</w:t>
      </w:r>
    </w:p>
    <w:p>
      <w:pPr>
        <w:spacing w:line="360" w:lineRule="auto"/>
        <w:ind w:firstLine="440" w:firstLineChars="200"/>
        <w:rPr>
          <w:rFonts w:asciiTheme="minorEastAsia" w:hAnsiTheme="minorEastAsia" w:eastAsiaTheme="minorEastAsia"/>
          <w:bCs/>
          <w:sz w:val="22"/>
          <w:szCs w:val="22"/>
          <w:highlight w:val="none"/>
        </w:rPr>
      </w:pPr>
      <w:r>
        <w:rPr>
          <w:rFonts w:hint="eastAsia" w:asciiTheme="minorEastAsia" w:hAnsiTheme="minorEastAsia" w:eastAsiaTheme="minorEastAsia"/>
          <w:bCs/>
          <w:sz w:val="22"/>
          <w:szCs w:val="22"/>
          <w:highlight w:val="none"/>
        </w:rPr>
        <w:t>甲乙双方因履行协议发生争议时，应通过友好协商解决。协商不能达成协议的，可向行业主管部门请求调解；若调解不成，可向东莞市第一人民法院起诉。</w:t>
      </w:r>
    </w:p>
    <w:p>
      <w:pPr>
        <w:spacing w:line="360" w:lineRule="auto"/>
        <w:ind w:firstLine="440" w:firstLineChars="200"/>
        <w:rPr>
          <w:rFonts w:asciiTheme="minorEastAsia" w:hAnsiTheme="minorEastAsia" w:eastAsiaTheme="minorEastAsia"/>
          <w:bCs/>
          <w:sz w:val="22"/>
          <w:szCs w:val="22"/>
          <w:highlight w:val="none"/>
        </w:rPr>
      </w:pPr>
      <w:r>
        <w:rPr>
          <w:rFonts w:hint="eastAsia" w:asciiTheme="minorEastAsia" w:hAnsiTheme="minorEastAsia" w:eastAsiaTheme="minorEastAsia"/>
          <w:bCs/>
          <w:sz w:val="22"/>
          <w:szCs w:val="22"/>
          <w:highlight w:val="none"/>
        </w:rPr>
        <w:t>在法院审理期间，除与争议有关的部分外，双方应继续履行协议规定的其他各自义务。</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第九条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协议的解除与终止</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w:t>
      </w:r>
      <w:r>
        <w:rPr>
          <w:rFonts w:asciiTheme="minorEastAsia" w:hAnsiTheme="minorEastAsia" w:eastAsiaTheme="minorEastAsia"/>
          <w:sz w:val="22"/>
          <w:szCs w:val="22"/>
          <w:highlight w:val="none"/>
        </w:rPr>
        <w:t>甲方与乙方协商一致，可以解除协议。</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w:t>
      </w:r>
      <w:r>
        <w:rPr>
          <w:rFonts w:asciiTheme="minorEastAsia" w:hAnsiTheme="minorEastAsia" w:eastAsiaTheme="minorEastAsia"/>
          <w:sz w:val="22"/>
          <w:szCs w:val="22"/>
          <w:highlight w:val="none"/>
        </w:rPr>
        <w:t>当事人一方要求变更或解除协议时，应在一个月前以书面形式通知对方。对变更或解除协议有争议的，按本协议第</w:t>
      </w:r>
      <w:r>
        <w:rPr>
          <w:rFonts w:hint="eastAsia" w:asciiTheme="minorEastAsia" w:hAnsiTheme="minorEastAsia" w:eastAsiaTheme="minorEastAsia"/>
          <w:sz w:val="22"/>
          <w:szCs w:val="22"/>
          <w:highlight w:val="none"/>
        </w:rPr>
        <w:t>八</w:t>
      </w:r>
      <w:r>
        <w:rPr>
          <w:rFonts w:asciiTheme="minorEastAsia" w:hAnsiTheme="minorEastAsia" w:eastAsiaTheme="minorEastAsia"/>
          <w:sz w:val="22"/>
          <w:szCs w:val="22"/>
          <w:highlight w:val="none"/>
        </w:rPr>
        <w:t>条关于争议的约定处理。</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（三）</w:t>
      </w:r>
      <w:r>
        <w:rPr>
          <w:rFonts w:asciiTheme="minorEastAsia" w:hAnsiTheme="minorEastAsia" w:eastAsiaTheme="minorEastAsia"/>
          <w:sz w:val="22"/>
          <w:szCs w:val="22"/>
          <w:highlight w:val="none"/>
        </w:rPr>
        <w:t>由于不可抗力因素致使协议无法履行时，双方应及时协商解决。</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（四）</w:t>
      </w:r>
      <w:r>
        <w:rPr>
          <w:rFonts w:asciiTheme="minorEastAsia" w:hAnsiTheme="minorEastAsia" w:eastAsiaTheme="minorEastAsia"/>
          <w:sz w:val="22"/>
          <w:szCs w:val="22"/>
          <w:highlight w:val="none"/>
        </w:rPr>
        <w:t>在协议实施期间如果由于国家、广东省或东莞市的相关</w:t>
      </w:r>
      <w:r>
        <w:rPr>
          <w:rFonts w:hint="eastAsia" w:asciiTheme="minorEastAsia" w:hAnsiTheme="minorEastAsia" w:eastAsiaTheme="minorEastAsia"/>
          <w:sz w:val="22"/>
          <w:szCs w:val="22"/>
          <w:highlight w:val="none"/>
        </w:rPr>
        <w:t>公交车充电</w:t>
      </w:r>
      <w:r>
        <w:rPr>
          <w:rFonts w:asciiTheme="minorEastAsia" w:hAnsiTheme="minorEastAsia" w:eastAsiaTheme="minorEastAsia"/>
          <w:sz w:val="22"/>
          <w:szCs w:val="22"/>
          <w:highlight w:val="none"/>
        </w:rPr>
        <w:t>法律法规、政策规定发生改变而导致协议不能继续履行，甲方有权提前终止协议，并且无需对乙方作出任何赔偿。</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第十条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协议生效</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（一）本协议由甲乙双方法定代表人或授权代表人签字，并加盖公司公章生效。本协议壹式肆份，签字各方各执贰份，具同等效力。</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（二）本协议项下附件及补充协议为本协议不可或缺的部分，与本协议具有同等法律效力。如补充协议与本协议规定的条款相冲突的，以补充协议的规定为准。</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（三）对本协议和协议项下附件所做的任何修订，都须由甲乙双方另行签署补充协议。</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（四）本协议生效期间若与国家、省及市政府现行、新颁法律、政策法规不一致的，甲、乙双方参照政策法规调整本协议相关内容。</w:t>
      </w:r>
    </w:p>
    <w:p>
      <w:pPr>
        <w:spacing w:line="360" w:lineRule="auto"/>
        <w:ind w:firstLine="440" w:firstLineChars="200"/>
        <w:rPr>
          <w:rFonts w:asciiTheme="minorEastAsia" w:hAnsiTheme="minorEastAsia" w:eastAsiaTheme="minorEastAsia"/>
          <w:sz w:val="22"/>
          <w:szCs w:val="22"/>
          <w:highlight w:val="none"/>
        </w:rPr>
      </w:pPr>
    </w:p>
    <w:p>
      <w:pPr>
        <w:spacing w:line="360" w:lineRule="auto"/>
        <w:ind w:firstLine="440" w:firstLineChars="200"/>
        <w:rPr>
          <w:rFonts w:asciiTheme="minorEastAsia" w:hAnsiTheme="minorEastAsia" w:eastAsiaTheme="minorEastAsia"/>
          <w:sz w:val="22"/>
          <w:szCs w:val="22"/>
          <w:highlight w:val="none"/>
        </w:rPr>
      </w:pPr>
    </w:p>
    <w:p>
      <w:pPr>
        <w:spacing w:line="360" w:lineRule="auto"/>
        <w:ind w:firstLine="440" w:firstLineChars="200"/>
        <w:rPr>
          <w:rFonts w:asciiTheme="minorEastAsia" w:hAnsiTheme="minorEastAsia" w:eastAsiaTheme="minorEastAsia"/>
          <w:sz w:val="22"/>
          <w:szCs w:val="22"/>
          <w:highlight w:val="none"/>
        </w:rPr>
      </w:pPr>
    </w:p>
    <w:p>
      <w:pPr>
        <w:spacing w:line="360" w:lineRule="auto"/>
        <w:ind w:firstLine="440" w:firstLineChars="200"/>
        <w:rPr>
          <w:rFonts w:asciiTheme="minorEastAsia" w:hAnsiTheme="minorEastAsia" w:eastAsiaTheme="minorEastAsia"/>
          <w:sz w:val="22"/>
          <w:szCs w:val="22"/>
          <w:highlight w:val="none"/>
        </w:rPr>
      </w:pPr>
    </w:p>
    <w:p>
      <w:pPr>
        <w:spacing w:line="360" w:lineRule="auto"/>
        <w:ind w:left="4350" w:leftChars="250" w:hanging="3850" w:hangingChars="175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甲方：</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乙方：</w:t>
      </w:r>
      <w:r>
        <w:rPr>
          <w:rFonts w:asciiTheme="minorEastAsia" w:hAnsiTheme="minorEastAsia" w:eastAsiaTheme="minorEastAsia"/>
          <w:sz w:val="22"/>
          <w:szCs w:val="22"/>
          <w:highlight w:val="none"/>
        </w:rPr>
        <w:t xml:space="preserve">   </w:t>
      </w:r>
    </w:p>
    <w:p>
      <w:pPr>
        <w:spacing w:line="360" w:lineRule="auto"/>
        <w:ind w:firstLine="48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法定代表人：</w:t>
      </w:r>
      <w:r>
        <w:rPr>
          <w:rFonts w:asciiTheme="minorEastAsia" w:hAnsiTheme="minorEastAsia" w:eastAsiaTheme="minorEastAsia"/>
          <w:sz w:val="22"/>
          <w:szCs w:val="22"/>
          <w:highlight w:val="none"/>
        </w:rPr>
        <w:t xml:space="preserve">                                法定代表人：</w:t>
      </w:r>
    </w:p>
    <w:p>
      <w:pPr>
        <w:spacing w:line="360" w:lineRule="auto"/>
        <w:ind w:firstLine="48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或授权代表人：</w:t>
      </w:r>
      <w:r>
        <w:rPr>
          <w:rFonts w:asciiTheme="minorEastAsia" w:hAnsiTheme="minorEastAsia" w:eastAsiaTheme="minorEastAsia"/>
          <w:sz w:val="22"/>
          <w:szCs w:val="22"/>
          <w:highlight w:val="none"/>
        </w:rPr>
        <w:t xml:space="preserve">                              或授权代表：      </w:t>
      </w:r>
    </w:p>
    <w:p>
      <w:pPr>
        <w:spacing w:line="360" w:lineRule="auto"/>
        <w:ind w:firstLine="480"/>
        <w:jc w:val="center"/>
        <w:rPr>
          <w:rFonts w:asciiTheme="minorEastAsia" w:hAnsiTheme="minorEastAsia" w:eastAsiaTheme="minorEastAsia"/>
          <w:sz w:val="22"/>
          <w:szCs w:val="22"/>
          <w:highlight w:val="none"/>
        </w:rPr>
      </w:pPr>
    </w:p>
    <w:p>
      <w:pPr>
        <w:spacing w:line="360" w:lineRule="auto"/>
        <w:ind w:firstLine="480"/>
        <w:jc w:val="center"/>
        <w:rPr>
          <w:rFonts w:asciiTheme="minorEastAsia" w:hAnsiTheme="minorEastAsia" w:eastAsiaTheme="minorEastAsia"/>
          <w:sz w:val="22"/>
          <w:szCs w:val="22"/>
          <w:highlight w:val="none"/>
        </w:rPr>
      </w:pPr>
    </w:p>
    <w:p>
      <w:pPr>
        <w:spacing w:line="360" w:lineRule="auto"/>
        <w:ind w:firstLine="480"/>
        <w:jc w:val="center"/>
        <w:rPr>
          <w:rFonts w:asciiTheme="minorEastAsia" w:hAnsiTheme="minorEastAsia" w:eastAsiaTheme="minorEastAsia"/>
          <w:sz w:val="22"/>
          <w:szCs w:val="22"/>
          <w:highlight w:val="none"/>
        </w:rPr>
      </w:pPr>
    </w:p>
    <w:p>
      <w:pPr>
        <w:spacing w:line="360" w:lineRule="auto"/>
        <w:ind w:firstLine="480"/>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签约地点：东莞市</w:t>
      </w:r>
    </w:p>
    <w:p>
      <w:pPr>
        <w:spacing w:line="360" w:lineRule="auto"/>
        <w:ind w:firstLine="480"/>
        <w:jc w:val="center"/>
        <w:rPr>
          <w:rFonts w:asciiTheme="minorEastAsia" w:hAnsiTheme="minorEastAsia" w:eastAsiaTheme="minorEastAsia"/>
          <w:sz w:val="21"/>
          <w:szCs w:val="21"/>
          <w:highlight w:val="none"/>
        </w:rPr>
      </w:pPr>
      <w:r>
        <w:rPr>
          <w:rFonts w:hint="eastAsia" w:asciiTheme="minorEastAsia" w:hAnsiTheme="minorEastAsia" w:eastAsiaTheme="minorEastAsia"/>
          <w:sz w:val="22"/>
          <w:szCs w:val="22"/>
          <w:highlight w:val="none"/>
        </w:rPr>
        <w:t>签约时间：</w:t>
      </w:r>
      <w:r>
        <w:rPr>
          <w:rFonts w:asciiTheme="minorEastAsia" w:hAnsiTheme="minorEastAsia" w:eastAsiaTheme="minorEastAsia"/>
          <w:sz w:val="22"/>
          <w:szCs w:val="22"/>
          <w:highlight w:val="none"/>
        </w:rPr>
        <w:t>2020</w:t>
      </w:r>
      <w:r>
        <w:rPr>
          <w:rFonts w:hint="eastAsia" w:asciiTheme="minorEastAsia" w:hAnsiTheme="minorEastAsia" w:eastAsiaTheme="minorEastAsia"/>
          <w:sz w:val="22"/>
          <w:szCs w:val="22"/>
          <w:highlight w:val="none"/>
        </w:rPr>
        <w:t>年</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月</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日</w:t>
      </w:r>
    </w:p>
    <w:p>
      <w:pPr>
        <w:spacing w:line="360" w:lineRule="auto"/>
        <w:jc w:val="center"/>
        <w:rPr>
          <w:rFonts w:cs="黑体" w:asciiTheme="minorEastAsia" w:hAnsiTheme="minorEastAsia" w:eastAsiaTheme="minorEastAsia"/>
          <w:sz w:val="21"/>
          <w:szCs w:val="21"/>
          <w:highlight w:val="none"/>
        </w:rPr>
      </w:pPr>
    </w:p>
    <w:p>
      <w:pPr>
        <w:spacing w:line="360" w:lineRule="auto"/>
        <w:jc w:val="center"/>
        <w:rPr>
          <w:rFonts w:cs="方正小标宋简体" w:asciiTheme="minorEastAsia" w:hAnsiTheme="minorEastAsia" w:eastAsiaTheme="minorEastAsia"/>
          <w:b/>
          <w:bCs/>
          <w:sz w:val="21"/>
          <w:szCs w:val="21"/>
          <w:highlight w:val="none"/>
        </w:rPr>
      </w:pPr>
      <w:r>
        <w:rPr>
          <w:rFonts w:cs="黑体" w:asciiTheme="minorEastAsia" w:hAnsiTheme="minorEastAsia" w:eastAsiaTheme="minorEastAsia"/>
          <w:sz w:val="21"/>
          <w:szCs w:val="21"/>
          <w:highlight w:val="none"/>
        </w:rPr>
        <w:br w:type="page"/>
      </w:r>
    </w:p>
    <w:p>
      <w:pPr>
        <w:spacing w:line="360" w:lineRule="auto"/>
        <w:jc w:val="center"/>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（充电服务合同范本，仅供参考，最终以实际签订内容为准）</w:t>
      </w:r>
    </w:p>
    <w:p>
      <w:pPr>
        <w:spacing w:line="360" w:lineRule="auto"/>
        <w:jc w:val="center"/>
        <w:rPr>
          <w:rFonts w:asciiTheme="minorEastAsia" w:hAnsiTheme="minorEastAsia" w:eastAsiaTheme="minorEastAsia"/>
          <w:b/>
          <w:bCs/>
          <w:sz w:val="21"/>
          <w:szCs w:val="21"/>
          <w:highlight w:val="none"/>
        </w:rPr>
      </w:pPr>
      <w:r>
        <w:rPr>
          <w:rFonts w:cs="方正小标宋简体" w:asciiTheme="minorEastAsia" w:hAnsiTheme="minorEastAsia" w:eastAsiaTheme="minorEastAsia"/>
          <w:b/>
          <w:bCs/>
          <w:sz w:val="22"/>
          <w:szCs w:val="22"/>
          <w:highlight w:val="none"/>
        </w:rPr>
        <w:t xml:space="preserve">     </w:t>
      </w:r>
      <w:r>
        <w:rPr>
          <w:rFonts w:hint="eastAsia" w:cs="方正小标宋简体" w:asciiTheme="minorEastAsia" w:hAnsiTheme="minorEastAsia" w:eastAsiaTheme="minorEastAsia"/>
          <w:b/>
          <w:bCs/>
          <w:sz w:val="22"/>
          <w:szCs w:val="22"/>
          <w:highlight w:val="none"/>
        </w:rPr>
        <w:t>公司</w:t>
      </w:r>
      <w:r>
        <w:rPr>
          <w:rFonts w:cs="方正小标宋简体" w:asciiTheme="minorEastAsia" w:hAnsiTheme="minorEastAsia" w:eastAsiaTheme="minorEastAsia"/>
          <w:b/>
          <w:bCs/>
          <w:sz w:val="22"/>
          <w:szCs w:val="22"/>
          <w:highlight w:val="none"/>
          <w:u w:val="single"/>
        </w:rPr>
        <w:t xml:space="preserve">    </w:t>
      </w:r>
      <w:r>
        <w:rPr>
          <w:rFonts w:hint="eastAsia" w:cs="方正小标宋简体" w:asciiTheme="minorEastAsia" w:hAnsiTheme="minorEastAsia" w:eastAsiaTheme="minorEastAsia"/>
          <w:b/>
          <w:bCs/>
          <w:sz w:val="22"/>
          <w:szCs w:val="22"/>
          <w:highlight w:val="none"/>
        </w:rPr>
        <w:t>站场充电服务采购项目合同书</w:t>
      </w:r>
    </w:p>
    <w:p>
      <w:pPr>
        <w:spacing w:line="360" w:lineRule="auto"/>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甲方：</w:t>
      </w:r>
    </w:p>
    <w:p>
      <w:pPr>
        <w:spacing w:line="360" w:lineRule="auto"/>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乙方：</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根据《中华人民共和国合同法》及其它有关法律、法规的规定，在平等、自愿、协商一致的基础上，甲、乙双方就</w:t>
      </w:r>
      <w:r>
        <w:rPr>
          <w:rFonts w:asciiTheme="minorEastAsia" w:hAnsiTheme="minorEastAsia" w:eastAsiaTheme="minorEastAsia"/>
          <w:sz w:val="22"/>
          <w:szCs w:val="22"/>
          <w:highlight w:val="none"/>
          <w:u w:val="single"/>
        </w:rPr>
        <w:t xml:space="preserve">       </w:t>
      </w:r>
      <w:r>
        <w:rPr>
          <w:rFonts w:hint="eastAsia" w:asciiTheme="minorEastAsia" w:hAnsiTheme="minorEastAsia" w:eastAsiaTheme="minorEastAsia"/>
          <w:sz w:val="22"/>
          <w:szCs w:val="22"/>
          <w:highlight w:val="none"/>
        </w:rPr>
        <w:t>场站充电服务相关事宜协调一致，签订本合同：</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第一条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充电服务场所</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乙方在</w:t>
      </w:r>
      <w:r>
        <w:rPr>
          <w:rFonts w:asciiTheme="minorEastAsia" w:hAnsiTheme="minorEastAsia" w:eastAsiaTheme="minorEastAsia"/>
          <w:sz w:val="22"/>
          <w:szCs w:val="22"/>
          <w:highlight w:val="none"/>
          <w:u w:val="single"/>
        </w:rPr>
        <w:t xml:space="preserve">    </w:t>
      </w:r>
      <w:r>
        <w:rPr>
          <w:rFonts w:hint="eastAsia" w:asciiTheme="minorEastAsia" w:hAnsiTheme="minorEastAsia" w:eastAsiaTheme="minorEastAsia"/>
          <w:sz w:val="22"/>
          <w:szCs w:val="22"/>
          <w:highlight w:val="none"/>
        </w:rPr>
        <w:t>为甲方建设充电站并提供充电服务。</w:t>
      </w:r>
    </w:p>
    <w:p>
      <w:pPr>
        <w:spacing w:line="360" w:lineRule="auto"/>
        <w:ind w:firstLine="442" w:firstLineChars="200"/>
        <w:rPr>
          <w:rFonts w:asciiTheme="minorEastAsia" w:hAnsiTheme="minorEastAsia" w:eastAsiaTheme="minorEastAsia"/>
          <w:sz w:val="22"/>
          <w:szCs w:val="22"/>
          <w:highlight w:val="none"/>
        </w:rPr>
      </w:pPr>
      <w:r>
        <w:rPr>
          <w:rFonts w:hint="eastAsia" w:asciiTheme="minorEastAsia" w:hAnsiTheme="minorEastAsia" w:eastAsiaTheme="minorEastAsia"/>
          <w:b/>
          <w:bCs/>
          <w:sz w:val="22"/>
          <w:szCs w:val="22"/>
          <w:highlight w:val="none"/>
        </w:rPr>
        <w:t>第二条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服务期限</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本合同有效期限暂定自合同签订之日起满</w:t>
      </w:r>
      <w:r>
        <w:rPr>
          <w:rFonts w:asciiTheme="minorEastAsia" w:hAnsiTheme="minorEastAsia" w:eastAsiaTheme="minorEastAsia"/>
          <w:sz w:val="22"/>
          <w:szCs w:val="22"/>
          <w:highlight w:val="none"/>
          <w:u w:val="single"/>
        </w:rPr>
        <w:t xml:space="preserve">   </w:t>
      </w:r>
      <w:r>
        <w:rPr>
          <w:rFonts w:hint="eastAsia" w:asciiTheme="minorEastAsia" w:hAnsiTheme="minorEastAsia" w:eastAsiaTheme="minorEastAsia"/>
          <w:sz w:val="22"/>
          <w:szCs w:val="22"/>
          <w:highlight w:val="none"/>
        </w:rPr>
        <w:t>年，自</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年</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月</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日起至</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年</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月</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日止。</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第三条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服务范围</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本合同项下乙方提供充电服务的范围：</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（一）服务对象：指甲方的纯电动公交车。</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（二）服务内容及方式：</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1、提供纯电动公交车的固定充电服务。</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2、提供24小时全天开放运营，提供专业的充电服务。</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3、提供充电数据明细，配备安全员维持充电秩序、处理异常情况等。</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（三）乙方应根据甲方运营规划需求推进充电站及相关服务设施建设工作，并按计划向甲方提供公交车辆充电服务。充电站规模由甲、乙双方另行协商，乙方的充电站建设费用由乙方自主承担。</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第四条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充电服务时间</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（一）乙方充电站</w:t>
      </w:r>
      <w:r>
        <w:rPr>
          <w:rFonts w:asciiTheme="minorEastAsia" w:hAnsiTheme="minorEastAsia" w:eastAsiaTheme="minorEastAsia"/>
          <w:sz w:val="22"/>
          <w:szCs w:val="22"/>
          <w:highlight w:val="none"/>
        </w:rPr>
        <w:t>24小时全天运营，如遇特殊情况，甲、乙双方应立即通知对方，并根据《停电联动应急预案》（详见附件1）保障充电服务。</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除不可抗逆因素外（如突发恶劣天气和人为意外造成断电），因乙方充电站设备技术升级改造或电力中断（包括但不限于政府限电、施工改造、供电部门检修）等特殊情况，乙方调整充电站服务时间，应提前</w:t>
      </w:r>
      <w:r>
        <w:rPr>
          <w:rFonts w:asciiTheme="minorEastAsia" w:hAnsiTheme="minorEastAsia" w:eastAsiaTheme="minorEastAsia"/>
          <w:sz w:val="22"/>
          <w:szCs w:val="22"/>
          <w:highlight w:val="none"/>
        </w:rPr>
        <w:t>48小时或接到上级指令1小时内通知甲方，乙方抓紧处理以降低对甲方营运车辆充电的影响。</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第五条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充电服务收费及结算方式</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（一）服务收费</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电费：充电桩电费结算以甲方公交车辆充电服务实际发生用电量（以充电桩计量的电量为准）乘以电费单价办理结算。场地内因使用充电设备及其配套实施而产生的电费，由乙方承担；场地内由甲方安装并使用的设备及相关配套实施产生的电费由甲方承担。</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2、充电服务费：对应乙方为甲方公交车辆提供充电服务实际发生的用电量，甲方向乙方支付相应的充电服务费，服务费以</w:t>
      </w:r>
      <w:r>
        <w:rPr>
          <w:rFonts w:asciiTheme="minorEastAsia" w:hAnsiTheme="minorEastAsia" w:eastAsiaTheme="minorEastAsia"/>
          <w:sz w:val="22"/>
          <w:szCs w:val="22"/>
          <w:highlight w:val="none"/>
          <w:u w:val="single"/>
        </w:rPr>
        <w:t xml:space="preserve">   </w:t>
      </w:r>
      <w:r>
        <w:rPr>
          <w:rFonts w:hint="eastAsia" w:asciiTheme="minorEastAsia" w:hAnsiTheme="minorEastAsia" w:eastAsiaTheme="minorEastAsia"/>
          <w:sz w:val="22"/>
          <w:szCs w:val="22"/>
          <w:highlight w:val="none"/>
        </w:rPr>
        <w:t>元</w:t>
      </w:r>
      <w:r>
        <w:rPr>
          <w:rFonts w:asciiTheme="minorEastAsia" w:hAnsiTheme="minorEastAsia" w:eastAsiaTheme="minorEastAsia"/>
          <w:sz w:val="22"/>
          <w:szCs w:val="22"/>
          <w:highlight w:val="none"/>
        </w:rPr>
        <w:t>/千瓦时作为基准价，用电谷峰时段充电总量的充电服务费根据基准价的100%乘以投标费率计算，即</w:t>
      </w:r>
      <w:r>
        <w:rPr>
          <w:rFonts w:asciiTheme="minorEastAsia" w:hAnsiTheme="minorEastAsia" w:eastAsiaTheme="minorEastAsia"/>
          <w:sz w:val="22"/>
          <w:szCs w:val="22"/>
          <w:highlight w:val="none"/>
          <w:u w:val="single"/>
        </w:rPr>
        <w:t xml:space="preserve">   </w:t>
      </w:r>
      <w:r>
        <w:rPr>
          <w:rFonts w:hint="eastAsia" w:asciiTheme="minorEastAsia" w:hAnsiTheme="minorEastAsia" w:eastAsiaTheme="minorEastAsia"/>
          <w:sz w:val="22"/>
          <w:szCs w:val="22"/>
          <w:highlight w:val="none"/>
        </w:rPr>
        <w:t>元</w:t>
      </w:r>
      <w:r>
        <w:rPr>
          <w:rFonts w:asciiTheme="minorEastAsia" w:hAnsiTheme="minorEastAsia" w:eastAsiaTheme="minorEastAsia"/>
          <w:sz w:val="22"/>
          <w:szCs w:val="22"/>
          <w:highlight w:val="none"/>
        </w:rPr>
        <w:t>/千瓦时；用电平峰时段充电总量的充电服务费根据基准价的90%乘以投标费率计算，即</w:t>
      </w:r>
      <w:r>
        <w:rPr>
          <w:rFonts w:asciiTheme="minorEastAsia" w:hAnsiTheme="minorEastAsia" w:eastAsiaTheme="minorEastAsia"/>
          <w:sz w:val="22"/>
          <w:szCs w:val="22"/>
          <w:highlight w:val="none"/>
          <w:u w:val="single"/>
        </w:rPr>
        <w:t xml:space="preserve">   </w:t>
      </w:r>
      <w:r>
        <w:rPr>
          <w:rFonts w:hint="eastAsia" w:asciiTheme="minorEastAsia" w:hAnsiTheme="minorEastAsia" w:eastAsiaTheme="minorEastAsia"/>
          <w:sz w:val="22"/>
          <w:szCs w:val="22"/>
          <w:highlight w:val="none"/>
        </w:rPr>
        <w:t>元</w:t>
      </w:r>
      <w:r>
        <w:rPr>
          <w:rFonts w:asciiTheme="minorEastAsia" w:hAnsiTheme="minorEastAsia" w:eastAsiaTheme="minorEastAsia"/>
          <w:sz w:val="22"/>
          <w:szCs w:val="22"/>
          <w:highlight w:val="none"/>
        </w:rPr>
        <w:t>/千瓦时；用电尖峰时段充电总量的充电服务费根据基准价的80%乘以投标费率计算，即</w:t>
      </w:r>
      <w:r>
        <w:rPr>
          <w:rFonts w:asciiTheme="minorEastAsia" w:hAnsiTheme="minorEastAsia" w:eastAsiaTheme="minorEastAsia"/>
          <w:sz w:val="22"/>
          <w:szCs w:val="22"/>
          <w:highlight w:val="none"/>
          <w:u w:val="single"/>
        </w:rPr>
        <w:t xml:space="preserve">   </w:t>
      </w:r>
      <w:r>
        <w:rPr>
          <w:rFonts w:hint="eastAsia" w:asciiTheme="minorEastAsia" w:hAnsiTheme="minorEastAsia" w:eastAsiaTheme="minorEastAsia"/>
          <w:sz w:val="22"/>
          <w:szCs w:val="22"/>
          <w:highlight w:val="none"/>
        </w:rPr>
        <w:t>元</w:t>
      </w:r>
      <w:r>
        <w:rPr>
          <w:rFonts w:asciiTheme="minorEastAsia" w:hAnsiTheme="minorEastAsia" w:eastAsiaTheme="minorEastAsia"/>
          <w:sz w:val="22"/>
          <w:szCs w:val="22"/>
          <w:highlight w:val="none"/>
        </w:rPr>
        <w:t>/千瓦时。</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3、</w:t>
      </w:r>
      <w:r>
        <w:rPr>
          <w:rFonts w:hint="eastAsia" w:asciiTheme="minorEastAsia" w:hAnsiTheme="minorEastAsia" w:eastAsiaTheme="minorEastAsia"/>
          <w:sz w:val="22"/>
          <w:szCs w:val="22"/>
          <w:highlight w:val="none"/>
        </w:rPr>
        <w:t>场地使用补偿费：乙方每月向甲方支付场地使用费，以租用面积（变电站、监控室及充电车位的合计总面积）乘以</w:t>
      </w:r>
      <w:r>
        <w:rPr>
          <w:rFonts w:hint="eastAsia" w:asciiTheme="minorEastAsia" w:hAnsiTheme="minorEastAsia" w:eastAsiaTheme="minorEastAsia"/>
          <w:sz w:val="22"/>
          <w:szCs w:val="22"/>
          <w:highlight w:val="none"/>
          <w:u w:val="single"/>
        </w:rPr>
        <w:t>甲方向原业主支付的土地租赁单价</w:t>
      </w:r>
      <w:r>
        <w:rPr>
          <w:rFonts w:hint="eastAsia" w:asciiTheme="minorEastAsia" w:hAnsiTheme="minorEastAsia" w:eastAsiaTheme="minorEastAsia"/>
          <w:sz w:val="22"/>
          <w:szCs w:val="22"/>
          <w:highlight w:val="none"/>
        </w:rPr>
        <w:t>计算。其中变电站和监控室按实际占地面积计算，充电车位面积按实际建设使用的充电车位个数乘以单个面积（</w:t>
      </w:r>
      <w:r>
        <w:rPr>
          <w:rFonts w:asciiTheme="minorEastAsia" w:hAnsiTheme="minorEastAsia" w:eastAsiaTheme="minorEastAsia"/>
          <w:sz w:val="22"/>
          <w:szCs w:val="22"/>
          <w:highlight w:val="none"/>
        </w:rPr>
        <w:t>12.25平方米/个）计算。（适用甲方提供场地）</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4、停车服务费：按</w:t>
      </w:r>
      <w:r>
        <w:rPr>
          <w:rFonts w:asciiTheme="minorEastAsia" w:hAnsiTheme="minorEastAsia" w:eastAsiaTheme="minorEastAsia"/>
          <w:sz w:val="22"/>
          <w:szCs w:val="22"/>
          <w:highlight w:val="none"/>
          <w:u w:val="single"/>
        </w:rPr>
        <w:t xml:space="preserve">   </w:t>
      </w:r>
      <w:r>
        <w:rPr>
          <w:rFonts w:hint="eastAsia" w:asciiTheme="minorEastAsia" w:hAnsiTheme="minorEastAsia" w:eastAsiaTheme="minorEastAsia"/>
          <w:sz w:val="22"/>
          <w:szCs w:val="22"/>
          <w:highlight w:val="none"/>
        </w:rPr>
        <w:t>元</w:t>
      </w:r>
      <w:r>
        <w:rPr>
          <w:rFonts w:asciiTheme="minorEastAsia" w:hAnsiTheme="minorEastAsia" w:eastAsiaTheme="minorEastAsia"/>
          <w:sz w:val="22"/>
          <w:szCs w:val="22"/>
          <w:highlight w:val="none"/>
        </w:rPr>
        <w:t>/车/月的标准，甲方按实际停放车辆数乘以单价向乙方支付相关停车服务费用。（适用乙方提供停车服务）</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4、电费单价：按中国南方电网有限责任公司当期公布电费单价为准。</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5、电量和充电服务费结算确认流程：甲方按照国家或东莞市相关标准安装的计量电表并定期检测，甲方按充电桩实际读表确认结算充电服务费。结算电量确认流程如下：</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1）甲方与乙方对车辆每次充电量现场签字确认或经甲方与乙方双方认可的其它方式；</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2）乙方在每月5日前向甲方提供上个结算周期的充电量明细表，甲方在收到乙方提出的充电量明细表后5个工作日内进行核对；</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3）如有任何异议，甲方应在上述期限内向乙方提出，由甲方与乙方共同核对，在双方核对无异议后确认结算充电服务费。</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（二）结算方式</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1、充电服务费用每月结算一次，双方约定每个自然月作为结算周期。</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乙方每月5日前向甲方提供上个结算周期的充电服务费用结算表，甲方在收到乙方提出的结算表后5个工作日内进行核对，如有任何异议，甲方应在上述期限内向乙方提出，由甲、乙双方共同核对，在双方无异议后，乙方根据经双方核对的结算金额开具充电服务费用税务发票，甲方向乙方开具场地使用费的税务发票。双方应在收到对方提供的发票15个工作日内，向对方一次性付清上个周期的全部充电服务费用或场地使用费用。若任意一方未按本合同规定结算并支付充电服务费用或场地使用费用，收款方有权向付款方追索所欠款项；若付款方拖欠应付费用超过15日起，另一方有权按同期银行贷款利率计取所欠款项的每日利息。</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3、付款：甲方以银行转账或电汇的方式向乙方支付相关款项。</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开户行：</w:t>
      </w:r>
      <w:r>
        <w:rPr>
          <w:rFonts w:asciiTheme="minorEastAsia" w:hAnsiTheme="minorEastAsia" w:eastAsiaTheme="minorEastAsia"/>
          <w:sz w:val="22"/>
          <w:szCs w:val="22"/>
          <w:highlight w:val="none"/>
        </w:rPr>
        <w:t xml:space="preserve"> </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开户名：</w:t>
      </w:r>
      <w:r>
        <w:rPr>
          <w:rFonts w:asciiTheme="minorEastAsia" w:hAnsiTheme="minorEastAsia" w:eastAsiaTheme="minorEastAsia"/>
          <w:sz w:val="22"/>
          <w:szCs w:val="22"/>
          <w:highlight w:val="none"/>
        </w:rPr>
        <w:t xml:space="preserve"> </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账号：</w:t>
      </w:r>
    </w:p>
    <w:p>
      <w:pPr>
        <w:spacing w:line="360" w:lineRule="auto"/>
        <w:ind w:firstLine="442" w:firstLineChars="200"/>
        <w:rPr>
          <w:rFonts w:asciiTheme="minorEastAsia" w:hAnsiTheme="minorEastAsia" w:eastAsiaTheme="minorEastAsia"/>
          <w:b/>
          <w:sz w:val="22"/>
          <w:szCs w:val="22"/>
          <w:highlight w:val="none"/>
        </w:rPr>
      </w:pPr>
      <w:r>
        <w:rPr>
          <w:rFonts w:hint="eastAsia" w:asciiTheme="minorEastAsia" w:hAnsiTheme="minorEastAsia" w:eastAsiaTheme="minorEastAsia"/>
          <w:b/>
          <w:sz w:val="22"/>
          <w:szCs w:val="22"/>
          <w:highlight w:val="none"/>
        </w:rPr>
        <w:t>（三）价格调整</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bCs/>
          <w:sz w:val="22"/>
          <w:szCs w:val="22"/>
          <w:highlight w:val="none"/>
        </w:rPr>
        <w:t>1.</w:t>
      </w:r>
      <w:r>
        <w:rPr>
          <w:rFonts w:hint="eastAsia" w:asciiTheme="minorEastAsia" w:hAnsiTheme="minorEastAsia" w:eastAsiaTheme="minorEastAsia"/>
          <w:bCs/>
          <w:sz w:val="22"/>
          <w:szCs w:val="22"/>
          <w:highlight w:val="none"/>
        </w:rPr>
        <w:t>充电</w:t>
      </w:r>
      <w:r>
        <w:rPr>
          <w:rFonts w:asciiTheme="minorEastAsia" w:hAnsiTheme="minorEastAsia" w:eastAsiaTheme="minorEastAsia"/>
          <w:bCs/>
          <w:sz w:val="22"/>
          <w:szCs w:val="22"/>
          <w:highlight w:val="none"/>
        </w:rPr>
        <w:t>服务费</w:t>
      </w:r>
      <w:r>
        <w:rPr>
          <w:rFonts w:hint="eastAsia" w:asciiTheme="minorEastAsia" w:hAnsiTheme="minorEastAsia" w:eastAsiaTheme="minorEastAsia"/>
          <w:bCs/>
          <w:sz w:val="22"/>
          <w:szCs w:val="22"/>
          <w:highlight w:val="none"/>
        </w:rPr>
        <w:t>最高限价根据《关于调整电动汽车充电服务费标准的通知》（东发改〔</w:t>
      </w:r>
      <w:r>
        <w:rPr>
          <w:rFonts w:asciiTheme="minorEastAsia" w:hAnsiTheme="minorEastAsia" w:eastAsiaTheme="minorEastAsia"/>
          <w:bCs/>
          <w:sz w:val="22"/>
          <w:szCs w:val="22"/>
          <w:highlight w:val="none"/>
        </w:rPr>
        <w:t>2017〕285号）进行制定，如服务期内因国家或地区关于充电服务费的政策发生变动，甲方有权对合同结算单价进行</w:t>
      </w:r>
      <w:r>
        <w:rPr>
          <w:rFonts w:asciiTheme="minorEastAsia" w:hAnsiTheme="minorEastAsia" w:eastAsiaTheme="minorEastAsia"/>
          <w:sz w:val="22"/>
          <w:szCs w:val="22"/>
          <w:highlight w:val="none"/>
        </w:rPr>
        <w:t>调整，具体价格另行确定</w:t>
      </w: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但最终结算基准价不超过</w:t>
      </w:r>
      <w:r>
        <w:rPr>
          <w:rFonts w:hint="eastAsia" w:asciiTheme="minorEastAsia" w:hAnsiTheme="minorEastAsia" w:eastAsiaTheme="minorEastAsia"/>
          <w:sz w:val="22"/>
          <w:szCs w:val="22"/>
          <w:highlight w:val="none"/>
        </w:rPr>
        <w:t>相关政策的限价及中标人的投标报价。</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2.电费单价</w:t>
      </w:r>
      <w:r>
        <w:rPr>
          <w:rFonts w:hint="eastAsia" w:asciiTheme="minorEastAsia" w:hAnsiTheme="minorEastAsia" w:eastAsiaTheme="minorEastAsia"/>
          <w:sz w:val="22"/>
          <w:szCs w:val="22"/>
          <w:highlight w:val="none"/>
        </w:rPr>
        <w:t>以</w:t>
      </w:r>
      <w:r>
        <w:rPr>
          <w:rFonts w:asciiTheme="minorEastAsia" w:hAnsiTheme="minorEastAsia" w:eastAsiaTheme="minorEastAsia"/>
          <w:sz w:val="22"/>
          <w:szCs w:val="22"/>
          <w:highlight w:val="none"/>
        </w:rPr>
        <w:t>中国南方电网有限责任公司档期公布的电费单价</w:t>
      </w:r>
      <w:r>
        <w:rPr>
          <w:rFonts w:hint="eastAsia" w:asciiTheme="minorEastAsia" w:hAnsiTheme="minorEastAsia" w:eastAsiaTheme="minorEastAsia"/>
          <w:sz w:val="22"/>
          <w:szCs w:val="22"/>
          <w:highlight w:val="none"/>
        </w:rPr>
        <w:t>为准</w:t>
      </w:r>
      <w:r>
        <w:rPr>
          <w:rFonts w:asciiTheme="minorEastAsia" w:hAnsiTheme="minorEastAsia" w:eastAsiaTheme="minorEastAsia"/>
          <w:sz w:val="22"/>
          <w:szCs w:val="22"/>
          <w:highlight w:val="none"/>
        </w:rPr>
        <w:t>，如果服务期内因国家或地区颁布关于电费优惠政策的，</w:t>
      </w:r>
      <w:r>
        <w:rPr>
          <w:rFonts w:hint="eastAsia" w:asciiTheme="minorEastAsia" w:hAnsiTheme="minorEastAsia" w:eastAsiaTheme="minorEastAsia"/>
          <w:sz w:val="22"/>
          <w:szCs w:val="22"/>
          <w:highlight w:val="none"/>
        </w:rPr>
        <w:t>甲方</w:t>
      </w:r>
      <w:r>
        <w:rPr>
          <w:rFonts w:asciiTheme="minorEastAsia" w:hAnsiTheme="minorEastAsia" w:eastAsiaTheme="minorEastAsia"/>
          <w:sz w:val="22"/>
          <w:szCs w:val="22"/>
          <w:highlight w:val="none"/>
        </w:rPr>
        <w:t>有权按相关优惠政策支付电费</w:t>
      </w:r>
      <w:r>
        <w:rPr>
          <w:rFonts w:hint="eastAsia" w:asciiTheme="minorEastAsia" w:hAnsiTheme="minorEastAsia" w:eastAsiaTheme="minorEastAsia"/>
          <w:sz w:val="22"/>
          <w:szCs w:val="22"/>
          <w:highlight w:val="none"/>
        </w:rPr>
        <w:t>。</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第六条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权利和义务</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（一）甲方的权利与义务</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1、充电站规划在甲方租赁场站或依附在甲方自有场站的，甲方负责提供充电站选址土地的红线图及租赁合同。（适用甲方提供场地）</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甲方工作人员在乙方充电站区域内，应遵守《车长及外来人员管理制度》（详见附件2）相关规定要求。在履行本合同过程中，由于甲方或甲方工作人员过错原因对乙方造成损害，乙方有权要求甲方赔偿直接经济损失。</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3、甲方所提供的纯电动公交车其充电接口应同时符合国家及东莞市相关标准。</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4、若在服务过程中，因政策性因素等影响，或出现新的充电技术服务要求，乙方无法满足时，甲方有权单方终止本合同，自选其他满足条件的充电服务商。</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5、甲方有权在使用期内，要求乙方根据甲方需求对充电设施进行扩容。</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6、配合乙方做好确认用电量、核算充电服务费，并按时做好电费及充电服务费的支付工作。</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（二）乙方的权利与义务（如果中标人为联合体，须在此明确联合体双方的责任问题）</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1、乙方充电站的运营管理需符合东莞市政府颁发的相关标准化指导性技术文件。</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甲方纯电动公交车在充电过程中出现异常时，乙方有权终止充电，以确保人车安全，乙方应于48小时内向甲方给予合理的书面解释和说明。异常故障排除，须经甲乙双方确认满足安全充电条件后，乙方立即恢复正常充电。</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3、乙方提供的充电设施应符合国家、东莞市相关行业标准。充电设备的充电倍率可满足甲方运营车辆实际需求。</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4、乙方根据甲方纯电动车辆投放计划，配置建设一定数量充电桩，具体数量甲、乙双方另行商定。</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5、乙方自行开展充电站建设的补贴申请工作，且该补贴均归乙方所有，甲方提供必要的配合，但不承担相关责任。乙方承担因场站搬迁所产生充电站搬迁的全部费用，但是充电站搬迁系由于甲方违约或单方解除本合同所致以及本合同另有约定的除外。</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6、根据甲方运营需求出资建设充电桩设备及配套设施，向甲方公交车辆提供充电服务，并配备足够的服务和技术人员。</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7、如因乙方充电服务有瑕疵造成甲方车辆无法正常行驶的，维修费用、误工费、运营损失等</w:t>
      </w:r>
      <w:r>
        <w:rPr>
          <w:rFonts w:hint="eastAsia" w:asciiTheme="minorEastAsia" w:hAnsiTheme="minorEastAsia" w:eastAsiaTheme="minorEastAsia"/>
          <w:sz w:val="22"/>
          <w:szCs w:val="22"/>
          <w:highlight w:val="none"/>
        </w:rPr>
        <w:t>全部由乙方承担；如因以上原因造成甲方车辆提前报废的，乙方需赔偿车辆购买价格给甲方。</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8、合同期间因非甲方原因（包括但不限于因充电服务设备原因、乙方过错或操作失误等造成的事故）所造成的财产、人身损失的，由乙方承担责任，乙方应对其设备质量和人员安全负责。</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9、充电桩设备及配套设施维修保养中需要用到的工具、设备等由乙方负责，所需费用由乙方承担。</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10、须准时开具充电服务费结算凭证和等额发票，</w:t>
      </w:r>
      <w:r>
        <w:rPr>
          <w:rFonts w:hint="eastAsia" w:asciiTheme="minorEastAsia" w:hAnsiTheme="minorEastAsia" w:eastAsiaTheme="minorEastAsia"/>
          <w:sz w:val="22"/>
          <w:szCs w:val="22"/>
          <w:highlight w:val="none"/>
        </w:rPr>
        <w:t>按时支付土地使用费（如有）。</w:t>
      </w:r>
    </w:p>
    <w:p>
      <w:pPr>
        <w:spacing w:line="360" w:lineRule="auto"/>
        <w:ind w:firstLine="442" w:firstLineChars="200"/>
        <w:rPr>
          <w:rFonts w:asciiTheme="minorEastAsia" w:hAnsiTheme="minorEastAsia" w:eastAsiaTheme="minorEastAsia"/>
          <w:sz w:val="22"/>
          <w:szCs w:val="22"/>
          <w:highlight w:val="none"/>
        </w:rPr>
      </w:pPr>
      <w:r>
        <w:rPr>
          <w:rFonts w:hint="eastAsia" w:asciiTheme="minorEastAsia" w:hAnsiTheme="minorEastAsia" w:eastAsiaTheme="minorEastAsia"/>
          <w:b/>
          <w:bCs/>
          <w:sz w:val="22"/>
          <w:szCs w:val="22"/>
          <w:highlight w:val="none"/>
        </w:rPr>
        <w:t>第七条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其它</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（一）乙方在</w:t>
      </w:r>
      <w:r>
        <w:rPr>
          <w:rFonts w:asciiTheme="minorEastAsia" w:hAnsiTheme="minorEastAsia" w:eastAsiaTheme="minorEastAsia"/>
          <w:sz w:val="22"/>
          <w:szCs w:val="22"/>
          <w:highlight w:val="none"/>
        </w:rPr>
        <w:t>提供充电服务的同时，须提前完善充电数据平台的搭建，并完成与甲方数据平台</w:t>
      </w:r>
      <w:r>
        <w:rPr>
          <w:rFonts w:hint="eastAsia" w:asciiTheme="minorEastAsia" w:hAnsiTheme="minorEastAsia" w:eastAsiaTheme="minorEastAsia"/>
          <w:sz w:val="22"/>
          <w:szCs w:val="22"/>
          <w:highlight w:val="none"/>
        </w:rPr>
        <w:t>实时数据</w:t>
      </w:r>
      <w:r>
        <w:rPr>
          <w:rFonts w:asciiTheme="minorEastAsia" w:hAnsiTheme="minorEastAsia" w:eastAsiaTheme="minorEastAsia"/>
          <w:sz w:val="22"/>
          <w:szCs w:val="22"/>
          <w:highlight w:val="none"/>
        </w:rPr>
        <w:t>的对接，保证双方数据一致</w:t>
      </w:r>
      <w:r>
        <w:rPr>
          <w:rFonts w:hint="eastAsia" w:asciiTheme="minorEastAsia" w:hAnsiTheme="minorEastAsia" w:eastAsiaTheme="minorEastAsia"/>
          <w:sz w:val="22"/>
          <w:szCs w:val="22"/>
          <w:highlight w:val="none"/>
        </w:rPr>
        <w:t>。如果</w:t>
      </w:r>
      <w:r>
        <w:rPr>
          <w:rFonts w:asciiTheme="minorEastAsia" w:hAnsiTheme="minorEastAsia" w:eastAsiaTheme="minorEastAsia"/>
          <w:sz w:val="22"/>
          <w:szCs w:val="22"/>
          <w:highlight w:val="none"/>
        </w:rPr>
        <w:t>数据平台未完成搭建，或者乙方已搭建的数据平台无法与甲方系统完成对接，甲方有权</w:t>
      </w:r>
      <w:r>
        <w:rPr>
          <w:rFonts w:hint="eastAsia" w:asciiTheme="minorEastAsia" w:hAnsiTheme="minorEastAsia" w:eastAsiaTheme="minorEastAsia"/>
          <w:sz w:val="22"/>
          <w:szCs w:val="22"/>
          <w:highlight w:val="none"/>
        </w:rPr>
        <w:t>暂停使用</w:t>
      </w:r>
      <w:r>
        <w:rPr>
          <w:rFonts w:asciiTheme="minorEastAsia" w:hAnsiTheme="minorEastAsia" w:eastAsiaTheme="minorEastAsia"/>
          <w:sz w:val="22"/>
          <w:szCs w:val="22"/>
          <w:highlight w:val="none"/>
        </w:rPr>
        <w:t>充电服务，并要求乙方在2个月内完成整改。</w:t>
      </w:r>
      <w:r>
        <w:rPr>
          <w:rFonts w:hint="eastAsia" w:asciiTheme="minorEastAsia" w:hAnsiTheme="minorEastAsia" w:eastAsiaTheme="minorEastAsia"/>
          <w:sz w:val="22"/>
          <w:szCs w:val="22"/>
          <w:highlight w:val="none"/>
        </w:rPr>
        <w:t>在</w:t>
      </w:r>
      <w:r>
        <w:rPr>
          <w:rFonts w:asciiTheme="minorEastAsia" w:hAnsiTheme="minorEastAsia" w:eastAsiaTheme="minorEastAsia"/>
          <w:sz w:val="22"/>
          <w:szCs w:val="22"/>
          <w:highlight w:val="none"/>
        </w:rPr>
        <w:t>整改期间如果有发生</w:t>
      </w:r>
      <w:r>
        <w:rPr>
          <w:rFonts w:hint="eastAsia" w:asciiTheme="minorEastAsia" w:hAnsiTheme="minorEastAsia" w:eastAsiaTheme="minorEastAsia"/>
          <w:sz w:val="22"/>
          <w:szCs w:val="22"/>
          <w:highlight w:val="none"/>
        </w:rPr>
        <w:t>充电</w:t>
      </w:r>
      <w:r>
        <w:rPr>
          <w:rFonts w:asciiTheme="minorEastAsia" w:hAnsiTheme="minorEastAsia" w:eastAsiaTheme="minorEastAsia"/>
          <w:sz w:val="22"/>
          <w:szCs w:val="22"/>
          <w:highlight w:val="none"/>
        </w:rPr>
        <w:t>服务费用，甲方有权在整改完成后支付</w:t>
      </w: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如果整改期限（2个月）</w:t>
      </w:r>
      <w:r>
        <w:rPr>
          <w:rFonts w:hint="eastAsia" w:asciiTheme="minorEastAsia" w:hAnsiTheme="minorEastAsia" w:eastAsiaTheme="minorEastAsia"/>
          <w:sz w:val="22"/>
          <w:szCs w:val="22"/>
          <w:highlight w:val="none"/>
        </w:rPr>
        <w:t>届满</w:t>
      </w:r>
      <w:r>
        <w:rPr>
          <w:rFonts w:asciiTheme="minorEastAsia" w:hAnsiTheme="minorEastAsia" w:eastAsiaTheme="minorEastAsia"/>
          <w:sz w:val="22"/>
          <w:szCs w:val="22"/>
          <w:highlight w:val="none"/>
        </w:rPr>
        <w:t>，乙方仍然无法</w:t>
      </w:r>
      <w:r>
        <w:rPr>
          <w:rFonts w:hint="eastAsia" w:asciiTheme="minorEastAsia" w:hAnsiTheme="minorEastAsia" w:eastAsiaTheme="minorEastAsia"/>
          <w:sz w:val="22"/>
          <w:szCs w:val="22"/>
          <w:highlight w:val="none"/>
        </w:rPr>
        <w:t>搭建</w:t>
      </w:r>
      <w:r>
        <w:rPr>
          <w:rFonts w:asciiTheme="minorEastAsia" w:hAnsiTheme="minorEastAsia" w:eastAsiaTheme="minorEastAsia"/>
          <w:sz w:val="22"/>
          <w:szCs w:val="22"/>
          <w:highlight w:val="none"/>
        </w:rPr>
        <w:t>数据平台并完成对接的，</w:t>
      </w:r>
      <w:r>
        <w:rPr>
          <w:rFonts w:hint="eastAsia" w:asciiTheme="minorEastAsia" w:hAnsiTheme="minorEastAsia" w:eastAsiaTheme="minorEastAsia"/>
          <w:sz w:val="22"/>
          <w:szCs w:val="22"/>
          <w:highlight w:val="none"/>
        </w:rPr>
        <w:t>甲方</w:t>
      </w:r>
      <w:r>
        <w:rPr>
          <w:rFonts w:asciiTheme="minorEastAsia" w:hAnsiTheme="minorEastAsia" w:eastAsiaTheme="minorEastAsia"/>
          <w:sz w:val="22"/>
          <w:szCs w:val="22"/>
          <w:highlight w:val="none"/>
        </w:rPr>
        <w:t>有权终止合同并要求乙方支付10000元作为违约金。</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w:t>
      </w:r>
      <w:r>
        <w:rPr>
          <w:rFonts w:hint="eastAsia" w:asciiTheme="minorEastAsia" w:hAnsiTheme="minorEastAsia" w:eastAsiaTheme="minorEastAsia"/>
          <w:sz w:val="22"/>
          <w:szCs w:val="22"/>
          <w:highlight w:val="none"/>
        </w:rPr>
        <w:t>二）甲方同意乙方委派具有</w:t>
      </w:r>
      <w:r>
        <w:rPr>
          <w:rFonts w:asciiTheme="minorEastAsia" w:hAnsiTheme="minorEastAsia" w:eastAsiaTheme="minorEastAsia"/>
          <w:sz w:val="22"/>
          <w:szCs w:val="22"/>
          <w:highlight w:val="none"/>
        </w:rPr>
        <w:t>A1</w:t>
      </w:r>
      <w:r>
        <w:rPr>
          <w:rFonts w:hint="eastAsia" w:asciiTheme="minorEastAsia" w:hAnsiTheme="minorEastAsia" w:eastAsiaTheme="minorEastAsia"/>
          <w:sz w:val="22"/>
          <w:szCs w:val="22"/>
          <w:highlight w:val="none"/>
        </w:rPr>
        <w:t>或</w:t>
      </w:r>
      <w:r>
        <w:rPr>
          <w:rFonts w:asciiTheme="minorEastAsia" w:hAnsiTheme="minorEastAsia" w:eastAsiaTheme="minorEastAsia"/>
          <w:sz w:val="22"/>
          <w:szCs w:val="22"/>
          <w:highlight w:val="none"/>
        </w:rPr>
        <w:t>A3</w:t>
      </w:r>
      <w:r>
        <w:rPr>
          <w:rFonts w:hint="eastAsia" w:asciiTheme="minorEastAsia" w:hAnsiTheme="minorEastAsia" w:eastAsiaTheme="minorEastAsia"/>
          <w:sz w:val="22"/>
          <w:szCs w:val="22"/>
          <w:highlight w:val="none"/>
        </w:rPr>
        <w:t>大型客车驾驶证的人员为甲方在停车场站内提供充电摆度停车服务。如因乙方委派的具有</w:t>
      </w:r>
      <w:r>
        <w:rPr>
          <w:rFonts w:asciiTheme="minorEastAsia" w:hAnsiTheme="minorEastAsia" w:eastAsiaTheme="minorEastAsia"/>
          <w:sz w:val="22"/>
          <w:szCs w:val="22"/>
          <w:highlight w:val="none"/>
        </w:rPr>
        <w:t>A1</w:t>
      </w:r>
      <w:r>
        <w:rPr>
          <w:rFonts w:hint="eastAsia" w:asciiTheme="minorEastAsia" w:hAnsiTheme="minorEastAsia" w:eastAsiaTheme="minorEastAsia"/>
          <w:sz w:val="22"/>
          <w:szCs w:val="22"/>
          <w:highlight w:val="none"/>
        </w:rPr>
        <w:t>或</w:t>
      </w:r>
      <w:r>
        <w:rPr>
          <w:rFonts w:asciiTheme="minorEastAsia" w:hAnsiTheme="minorEastAsia" w:eastAsiaTheme="minorEastAsia"/>
          <w:sz w:val="22"/>
          <w:szCs w:val="22"/>
          <w:highlight w:val="none"/>
        </w:rPr>
        <w:t>A3</w:t>
      </w:r>
      <w:r>
        <w:rPr>
          <w:rFonts w:hint="eastAsia" w:asciiTheme="minorEastAsia" w:hAnsiTheme="minorEastAsia" w:eastAsiaTheme="minorEastAsia"/>
          <w:sz w:val="22"/>
          <w:szCs w:val="22"/>
          <w:highlight w:val="none"/>
        </w:rPr>
        <w:t>大型客车驾驶证的人员在摆度停车服务过程中万一发生意外事故，乙方负责赔偿甲方损失，但甲方有义务协助向保险公司报案并申请理赔事宜。理赔款项归乙方以抵消给甲方的赔偿。</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（三）合同期满或终止合同后，涉及的充电桩拆除事宜由乙方负责处理。</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第八条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不可抗力</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因火灾、战争、罢工、自然灾害、政府政策原因等不可抗力因素而致本合同不能履行的，双方终止合同的履行，各自的损失双方各自承担。不可抗力因素消失后，双方应继续履行合同。因不可抗力终止合同履行的一方，应当于事件发生后</w:t>
      </w:r>
      <w:r>
        <w:rPr>
          <w:rFonts w:asciiTheme="minorEastAsia" w:hAnsiTheme="minorEastAsia" w:eastAsiaTheme="minorEastAsia"/>
          <w:sz w:val="22"/>
          <w:szCs w:val="22"/>
          <w:highlight w:val="none"/>
        </w:rPr>
        <w:t>30日内向对方提供有关部门出具的发生不可抗力事件的证明文件并及时通知对方。未履行通知义务而致损失扩大的，过错方应当承担赔偿责任。</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（二）因电力中断（政府限电、施工改造、供电部门检修等）造成乙方阶段性不能提供服务的，乙方须向甲方提交政府或相关主管单位的正式文件说明，乙方方可相应免除责任。</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第九条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违约条款</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（一）乙方提供的</w:t>
      </w:r>
      <w:r>
        <w:rPr>
          <w:rFonts w:asciiTheme="minorEastAsia" w:hAnsiTheme="minorEastAsia" w:eastAsiaTheme="minorEastAsia"/>
          <w:sz w:val="22"/>
          <w:szCs w:val="22"/>
          <w:highlight w:val="none"/>
        </w:rPr>
        <w:t>充电设备</w:t>
      </w:r>
      <w:r>
        <w:rPr>
          <w:rFonts w:hint="eastAsia" w:asciiTheme="minorEastAsia" w:hAnsiTheme="minorEastAsia" w:eastAsiaTheme="minorEastAsia"/>
          <w:sz w:val="22"/>
          <w:szCs w:val="22"/>
          <w:highlight w:val="none"/>
        </w:rPr>
        <w:t>连续</w:t>
      </w:r>
      <w:r>
        <w:rPr>
          <w:rFonts w:asciiTheme="minorEastAsia" w:hAnsiTheme="minorEastAsia" w:eastAsiaTheme="minorEastAsia"/>
          <w:sz w:val="22"/>
          <w:szCs w:val="22"/>
          <w:highlight w:val="none"/>
        </w:rPr>
        <w:t>3个月出现故障的，甲方有权</w:t>
      </w:r>
      <w:r>
        <w:rPr>
          <w:rFonts w:hint="eastAsia" w:asciiTheme="minorEastAsia" w:hAnsiTheme="minorEastAsia" w:eastAsiaTheme="minorEastAsia"/>
          <w:sz w:val="22"/>
          <w:szCs w:val="22"/>
          <w:highlight w:val="none"/>
        </w:rPr>
        <w:t>在未</w:t>
      </w:r>
      <w:r>
        <w:rPr>
          <w:rFonts w:asciiTheme="minorEastAsia" w:hAnsiTheme="minorEastAsia" w:eastAsiaTheme="minorEastAsia"/>
          <w:sz w:val="22"/>
          <w:szCs w:val="22"/>
          <w:highlight w:val="none"/>
        </w:rPr>
        <w:t>支付的充电服务费中扣除</w:t>
      </w:r>
      <w:r>
        <w:rPr>
          <w:rFonts w:hint="eastAsia" w:asciiTheme="minorEastAsia" w:hAnsiTheme="minorEastAsia" w:eastAsiaTheme="minorEastAsia"/>
          <w:sz w:val="22"/>
          <w:szCs w:val="22"/>
          <w:highlight w:val="none"/>
        </w:rPr>
        <w:t>3000元</w:t>
      </w:r>
      <w:r>
        <w:rPr>
          <w:rFonts w:asciiTheme="minorEastAsia" w:hAnsiTheme="minorEastAsia" w:eastAsiaTheme="minorEastAsia"/>
          <w:sz w:val="22"/>
          <w:szCs w:val="22"/>
          <w:highlight w:val="none"/>
        </w:rPr>
        <w:t>作为违约金</w:t>
      </w:r>
      <w:r>
        <w:rPr>
          <w:rFonts w:hint="eastAsia" w:asciiTheme="minorEastAsia" w:hAnsiTheme="minorEastAsia" w:eastAsiaTheme="minorEastAsia"/>
          <w:sz w:val="22"/>
          <w:szCs w:val="22"/>
          <w:highlight w:val="none"/>
        </w:rPr>
        <w:t>。如果</w:t>
      </w:r>
      <w:r>
        <w:rPr>
          <w:rFonts w:asciiTheme="minorEastAsia" w:hAnsiTheme="minorEastAsia" w:eastAsiaTheme="minorEastAsia"/>
          <w:sz w:val="22"/>
          <w:szCs w:val="22"/>
          <w:highlight w:val="none"/>
        </w:rPr>
        <w:t>乙方提供的充电设备故障的情况严重的，甲方有权</w:t>
      </w:r>
      <w:r>
        <w:rPr>
          <w:rFonts w:hint="eastAsia" w:asciiTheme="minorEastAsia" w:hAnsiTheme="minorEastAsia" w:eastAsiaTheme="minorEastAsia"/>
          <w:sz w:val="22"/>
          <w:szCs w:val="22"/>
          <w:highlight w:val="none"/>
        </w:rPr>
        <w:t>单方</w:t>
      </w:r>
      <w:r>
        <w:rPr>
          <w:rFonts w:asciiTheme="minorEastAsia" w:hAnsiTheme="minorEastAsia" w:eastAsiaTheme="minorEastAsia"/>
          <w:sz w:val="22"/>
          <w:szCs w:val="22"/>
          <w:highlight w:val="none"/>
        </w:rPr>
        <w:t>解除合同并且要求乙方另外支付</w:t>
      </w:r>
      <w:r>
        <w:rPr>
          <w:rFonts w:hint="eastAsia" w:asciiTheme="minorEastAsia" w:hAnsiTheme="minorEastAsia" w:eastAsiaTheme="minorEastAsia"/>
          <w:sz w:val="22"/>
          <w:szCs w:val="22"/>
          <w:highlight w:val="none"/>
        </w:rPr>
        <w:t>50000元</w:t>
      </w:r>
      <w:r>
        <w:rPr>
          <w:rFonts w:asciiTheme="minorEastAsia" w:hAnsiTheme="minorEastAsia" w:eastAsiaTheme="minorEastAsia"/>
          <w:sz w:val="22"/>
          <w:szCs w:val="22"/>
          <w:highlight w:val="none"/>
        </w:rPr>
        <w:t>的违约金</w:t>
      </w: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相关</w:t>
      </w:r>
      <w:r>
        <w:rPr>
          <w:rFonts w:hint="eastAsia" w:asciiTheme="minorEastAsia" w:hAnsiTheme="minorEastAsia" w:eastAsiaTheme="minorEastAsia"/>
          <w:sz w:val="22"/>
          <w:szCs w:val="22"/>
          <w:highlight w:val="none"/>
        </w:rPr>
        <w:t>违约金在</w:t>
      </w:r>
      <w:r>
        <w:rPr>
          <w:rFonts w:asciiTheme="minorEastAsia" w:hAnsiTheme="minorEastAsia" w:eastAsiaTheme="minorEastAsia"/>
          <w:sz w:val="22"/>
          <w:szCs w:val="22"/>
          <w:highlight w:val="none"/>
        </w:rPr>
        <w:t>未支付的充电服务费中扣除，如果服务费不足以扣除的，</w:t>
      </w:r>
      <w:r>
        <w:rPr>
          <w:rFonts w:hint="eastAsia" w:asciiTheme="minorEastAsia" w:hAnsiTheme="minorEastAsia" w:eastAsiaTheme="minorEastAsia"/>
          <w:sz w:val="22"/>
          <w:szCs w:val="22"/>
          <w:highlight w:val="none"/>
        </w:rPr>
        <w:t>甲方</w:t>
      </w:r>
      <w:r>
        <w:rPr>
          <w:rFonts w:asciiTheme="minorEastAsia" w:hAnsiTheme="minorEastAsia" w:eastAsiaTheme="minorEastAsia"/>
          <w:sz w:val="22"/>
          <w:szCs w:val="22"/>
          <w:highlight w:val="none"/>
        </w:rPr>
        <w:t>有权在乙方提交的关于</w:t>
      </w:r>
      <w:r>
        <w:rPr>
          <w:rFonts w:hint="eastAsia" w:asciiTheme="minorEastAsia" w:hAnsiTheme="minorEastAsia" w:eastAsiaTheme="minorEastAsia"/>
          <w:sz w:val="22"/>
          <w:szCs w:val="22"/>
          <w:highlight w:val="none"/>
        </w:rPr>
        <w:t>东莞</w:t>
      </w:r>
      <w:r>
        <w:rPr>
          <w:rFonts w:asciiTheme="minorEastAsia" w:hAnsiTheme="minorEastAsia" w:eastAsiaTheme="minorEastAsia"/>
          <w:sz w:val="22"/>
          <w:szCs w:val="22"/>
          <w:highlight w:val="none"/>
        </w:rPr>
        <w:t>巴士有限公司充电</w:t>
      </w:r>
      <w:r>
        <w:rPr>
          <w:rFonts w:hint="eastAsia" w:asciiTheme="minorEastAsia" w:hAnsiTheme="minorEastAsia" w:eastAsiaTheme="minorEastAsia"/>
          <w:sz w:val="22"/>
          <w:szCs w:val="22"/>
          <w:highlight w:val="none"/>
        </w:rPr>
        <w:t>服务商</w:t>
      </w:r>
      <w:r>
        <w:rPr>
          <w:rFonts w:asciiTheme="minorEastAsia" w:hAnsiTheme="minorEastAsia" w:eastAsiaTheme="minorEastAsia"/>
          <w:sz w:val="22"/>
          <w:szCs w:val="22"/>
          <w:highlight w:val="none"/>
        </w:rPr>
        <w:t>资格入库项目的履约担保金中予以扣除，履约担保金不足以扣除的，乙方须另行向甲方支付。</w:t>
      </w:r>
    </w:p>
    <w:p>
      <w:pPr>
        <w:pStyle w:val="2"/>
        <w:spacing w:line="360" w:lineRule="auto"/>
        <w:ind w:left="0" w:leftChars="0" w:firstLine="440"/>
        <w:rPr>
          <w:sz w:val="22"/>
          <w:szCs w:val="22"/>
          <w:highlight w:val="none"/>
        </w:rPr>
      </w:pPr>
      <w:r>
        <w:rPr>
          <w:rFonts w:hint="eastAsia"/>
          <w:sz w:val="22"/>
          <w:szCs w:val="22"/>
          <w:highlight w:val="none"/>
        </w:rPr>
        <w:t>（二）乙方需保证其充电设施正常提供充电服务，当乙方充电设施无法正常提供充电服务时间大于</w:t>
      </w:r>
      <w:r>
        <w:rPr>
          <w:sz w:val="22"/>
          <w:szCs w:val="22"/>
          <w:highlight w:val="none"/>
        </w:rPr>
        <w:t>3</w:t>
      </w:r>
      <w:r>
        <w:rPr>
          <w:rFonts w:hint="eastAsia"/>
          <w:sz w:val="22"/>
          <w:szCs w:val="22"/>
          <w:highlight w:val="none"/>
        </w:rPr>
        <w:t>小时</w:t>
      </w:r>
      <w:r>
        <w:rPr>
          <w:sz w:val="22"/>
          <w:szCs w:val="22"/>
          <w:highlight w:val="none"/>
        </w:rPr>
        <w:t>/</w:t>
      </w:r>
      <w:r>
        <w:rPr>
          <w:rFonts w:hint="eastAsia"/>
          <w:sz w:val="22"/>
          <w:szCs w:val="22"/>
          <w:highlight w:val="none"/>
        </w:rPr>
        <w:t>月时，每多</w:t>
      </w:r>
      <w:r>
        <w:rPr>
          <w:sz w:val="22"/>
          <w:szCs w:val="22"/>
          <w:highlight w:val="none"/>
        </w:rPr>
        <w:t>15</w:t>
      </w:r>
      <w:r>
        <w:rPr>
          <w:rFonts w:hint="eastAsia"/>
          <w:sz w:val="22"/>
          <w:szCs w:val="22"/>
          <w:highlight w:val="none"/>
        </w:rPr>
        <w:t>分钟扣除当月服务费</w:t>
      </w:r>
      <w:r>
        <w:rPr>
          <w:sz w:val="22"/>
          <w:szCs w:val="22"/>
          <w:highlight w:val="none"/>
        </w:rPr>
        <w:t>500</w:t>
      </w:r>
      <w:r>
        <w:rPr>
          <w:rFonts w:hint="eastAsia"/>
          <w:sz w:val="22"/>
          <w:szCs w:val="22"/>
          <w:highlight w:val="none"/>
        </w:rPr>
        <w:t>元。</w:t>
      </w:r>
      <w:r>
        <w:rPr>
          <w:rFonts w:hint="eastAsia"/>
          <w:spacing w:val="20"/>
          <w:sz w:val="22"/>
          <w:szCs w:val="22"/>
          <w:highlight w:val="none"/>
        </w:rPr>
        <w:t>电网停电、自然灾害或其他不可抗力造成的损害除外，约定时间解决故障的不计算在内。</w:t>
      </w:r>
    </w:p>
    <w:p>
      <w:pPr>
        <w:pStyle w:val="2"/>
        <w:spacing w:line="360" w:lineRule="auto"/>
        <w:ind w:left="0" w:leftChars="0" w:firstLine="440"/>
        <w:rPr>
          <w:sz w:val="22"/>
          <w:szCs w:val="22"/>
          <w:highlight w:val="none"/>
        </w:rPr>
      </w:pPr>
      <w:r>
        <w:rPr>
          <w:rFonts w:hint="eastAsia"/>
          <w:sz w:val="22"/>
          <w:szCs w:val="22"/>
          <w:highlight w:val="none"/>
        </w:rPr>
        <w:t>（三）在合同有效期内，因乙方设备等原因造成安全事故，且达到死亡</w:t>
      </w:r>
      <w:r>
        <w:rPr>
          <w:sz w:val="22"/>
          <w:szCs w:val="22"/>
          <w:highlight w:val="none"/>
        </w:rPr>
        <w:t>1</w:t>
      </w:r>
      <w:r>
        <w:rPr>
          <w:rFonts w:hint="eastAsia"/>
          <w:sz w:val="22"/>
          <w:szCs w:val="22"/>
          <w:highlight w:val="none"/>
        </w:rPr>
        <w:t>人以上或经济损失超过</w:t>
      </w:r>
      <w:r>
        <w:rPr>
          <w:sz w:val="22"/>
          <w:szCs w:val="22"/>
          <w:highlight w:val="none"/>
        </w:rPr>
        <w:t>50</w:t>
      </w:r>
      <w:r>
        <w:rPr>
          <w:rFonts w:hint="eastAsia"/>
          <w:sz w:val="22"/>
          <w:szCs w:val="22"/>
          <w:highlight w:val="none"/>
        </w:rPr>
        <w:t>万元以上的，甲方有权解除合同，乙方除赔偿甲方相应的经济损失以外，还须向甲方支付</w:t>
      </w:r>
      <w:r>
        <w:rPr>
          <w:sz w:val="22"/>
          <w:szCs w:val="22"/>
          <w:highlight w:val="none"/>
        </w:rPr>
        <w:t>3</w:t>
      </w:r>
      <w:r>
        <w:rPr>
          <w:rFonts w:hint="eastAsia"/>
          <w:sz w:val="22"/>
          <w:szCs w:val="22"/>
          <w:highlight w:val="none"/>
        </w:rPr>
        <w:t>万元的违约金。</w:t>
      </w:r>
      <w:r>
        <w:rPr>
          <w:rFonts w:hint="eastAsia" w:ascii="Arial" w:hAnsi="Arial" w:cs="Arial"/>
          <w:sz w:val="22"/>
          <w:szCs w:val="22"/>
          <w:highlight w:val="none"/>
          <w:shd w:val="clear" w:color="auto" w:fill="FFFFFF"/>
        </w:rPr>
        <w:t>事故标准和认定按《安全生产法》和《</w:t>
      </w:r>
      <w:r>
        <w:rPr>
          <w:highlight w:val="none"/>
        </w:rPr>
        <w:fldChar w:fldCharType="begin"/>
      </w:r>
      <w:r>
        <w:rPr>
          <w:highlight w:val="none"/>
        </w:rPr>
        <w:instrText xml:space="preserve"> HYPERLINK "https://baike.so.com/doc/5414880-5653022.html" \t "https://baike.so.com/doc/_blank" </w:instrText>
      </w:r>
      <w:r>
        <w:rPr>
          <w:highlight w:val="none"/>
        </w:rPr>
        <w:fldChar w:fldCharType="separate"/>
      </w:r>
      <w:r>
        <w:rPr>
          <w:rStyle w:val="51"/>
          <w:rFonts w:hint="default" w:ascii="Arial" w:hAnsi="Arial" w:cs="Arial"/>
          <w:color w:val="auto"/>
          <w:sz w:val="22"/>
          <w:szCs w:val="22"/>
          <w:highlight w:val="none"/>
          <w:shd w:val="clear" w:color="auto" w:fill="FFFFFF"/>
        </w:rPr>
        <w:t>生产安全事故报告和调查处理条例</w:t>
      </w:r>
      <w:r>
        <w:rPr>
          <w:rStyle w:val="51"/>
          <w:rFonts w:hint="default" w:ascii="Arial" w:hAnsi="Arial" w:cs="Arial"/>
          <w:color w:val="auto"/>
          <w:sz w:val="22"/>
          <w:szCs w:val="22"/>
          <w:highlight w:val="none"/>
          <w:shd w:val="clear" w:color="auto" w:fill="FFFFFF"/>
        </w:rPr>
        <w:fldChar w:fldCharType="end"/>
      </w:r>
      <w:r>
        <w:rPr>
          <w:rFonts w:hint="eastAsia" w:ascii="Arial" w:hAnsi="Arial" w:cs="Arial"/>
          <w:sz w:val="22"/>
          <w:szCs w:val="22"/>
          <w:highlight w:val="none"/>
          <w:shd w:val="clear" w:color="auto" w:fill="FFFFFF"/>
        </w:rPr>
        <w:t>》规定。</w:t>
      </w:r>
    </w:p>
    <w:p>
      <w:pPr>
        <w:pStyle w:val="2"/>
        <w:spacing w:line="360" w:lineRule="auto"/>
        <w:ind w:left="0" w:leftChars="0" w:firstLine="440"/>
        <w:rPr>
          <w:sz w:val="22"/>
          <w:szCs w:val="22"/>
          <w:highlight w:val="none"/>
        </w:rPr>
      </w:pPr>
      <w:r>
        <w:rPr>
          <w:rFonts w:hint="eastAsia"/>
          <w:sz w:val="22"/>
          <w:szCs w:val="22"/>
          <w:highlight w:val="none"/>
        </w:rPr>
        <w:t>（四）乙方的摆渡人员需保证甲方车辆在充电后按照车位规划停放，每发现一台车辆不按规定停放的，扣除当月服务费</w:t>
      </w:r>
      <w:r>
        <w:rPr>
          <w:sz w:val="22"/>
          <w:szCs w:val="22"/>
          <w:highlight w:val="none"/>
        </w:rPr>
        <w:t>100</w:t>
      </w:r>
      <w:r>
        <w:rPr>
          <w:rFonts w:hint="eastAsia"/>
          <w:sz w:val="22"/>
          <w:szCs w:val="22"/>
          <w:highlight w:val="none"/>
        </w:rPr>
        <w:t>元。</w:t>
      </w:r>
    </w:p>
    <w:p>
      <w:pPr>
        <w:pStyle w:val="2"/>
        <w:spacing w:line="360" w:lineRule="auto"/>
        <w:ind w:left="0" w:leftChars="0" w:firstLine="440"/>
        <w:rPr>
          <w:sz w:val="22"/>
          <w:szCs w:val="22"/>
          <w:highlight w:val="none"/>
        </w:rPr>
      </w:pPr>
      <w:r>
        <w:rPr>
          <w:rFonts w:hint="eastAsia"/>
          <w:sz w:val="22"/>
          <w:szCs w:val="22"/>
          <w:highlight w:val="none"/>
        </w:rPr>
        <w:t>（五）乙方充电人员需保证其在谷峰为甲方充电的车辆的电量达到</w:t>
      </w:r>
      <w:r>
        <w:rPr>
          <w:sz w:val="22"/>
          <w:szCs w:val="22"/>
          <w:highlight w:val="none"/>
        </w:rPr>
        <w:t>100%</w:t>
      </w:r>
      <w:r>
        <w:rPr>
          <w:rFonts w:hint="eastAsia"/>
          <w:sz w:val="22"/>
          <w:szCs w:val="22"/>
          <w:highlight w:val="none"/>
        </w:rPr>
        <w:t>，每发现一台车充电量未达到</w:t>
      </w:r>
      <w:r>
        <w:rPr>
          <w:sz w:val="22"/>
          <w:szCs w:val="22"/>
          <w:highlight w:val="none"/>
        </w:rPr>
        <w:t>100%</w:t>
      </w:r>
      <w:r>
        <w:rPr>
          <w:rFonts w:hint="eastAsia"/>
          <w:sz w:val="22"/>
          <w:szCs w:val="22"/>
          <w:highlight w:val="none"/>
        </w:rPr>
        <w:t>的，扣除当月服务费</w:t>
      </w:r>
      <w:r>
        <w:rPr>
          <w:sz w:val="22"/>
          <w:szCs w:val="22"/>
          <w:highlight w:val="none"/>
        </w:rPr>
        <w:t>100</w:t>
      </w:r>
      <w:r>
        <w:rPr>
          <w:rFonts w:hint="eastAsia"/>
          <w:sz w:val="22"/>
          <w:szCs w:val="22"/>
          <w:highlight w:val="none"/>
        </w:rPr>
        <w:t>元。</w:t>
      </w:r>
    </w:p>
    <w:p>
      <w:pPr>
        <w:pStyle w:val="2"/>
        <w:spacing w:line="360" w:lineRule="auto"/>
        <w:ind w:left="0" w:leftChars="0" w:firstLine="440"/>
        <w:rPr>
          <w:sz w:val="22"/>
          <w:szCs w:val="22"/>
          <w:highlight w:val="none"/>
        </w:rPr>
      </w:pPr>
      <w:r>
        <w:rPr>
          <w:rFonts w:hint="eastAsia"/>
          <w:sz w:val="22"/>
          <w:szCs w:val="22"/>
          <w:highlight w:val="none"/>
        </w:rPr>
        <w:t>（六）乙方需保证其充电设施的场地及设施整洁，标识、制度齐全，如果发现场地及设施不整洁的，每一次扣除当月服务费</w:t>
      </w:r>
      <w:r>
        <w:rPr>
          <w:sz w:val="22"/>
          <w:szCs w:val="22"/>
          <w:highlight w:val="none"/>
        </w:rPr>
        <w:t>100</w:t>
      </w:r>
      <w:r>
        <w:rPr>
          <w:rFonts w:hint="eastAsia"/>
          <w:sz w:val="22"/>
          <w:szCs w:val="22"/>
          <w:highlight w:val="none"/>
        </w:rPr>
        <w:t>元，标识、制度等每缺失一项扣除党员服务费</w:t>
      </w:r>
      <w:r>
        <w:rPr>
          <w:sz w:val="22"/>
          <w:szCs w:val="22"/>
          <w:highlight w:val="none"/>
        </w:rPr>
        <w:t>20</w:t>
      </w:r>
      <w:r>
        <w:rPr>
          <w:rFonts w:hint="eastAsia"/>
          <w:sz w:val="22"/>
          <w:szCs w:val="22"/>
          <w:highlight w:val="none"/>
        </w:rPr>
        <w:t>元。</w:t>
      </w:r>
    </w:p>
    <w:p>
      <w:pPr>
        <w:pStyle w:val="2"/>
        <w:spacing w:line="360" w:lineRule="auto"/>
        <w:ind w:left="0" w:leftChars="0" w:firstLine="440"/>
        <w:rPr>
          <w:sz w:val="22"/>
          <w:szCs w:val="22"/>
          <w:highlight w:val="none"/>
        </w:rPr>
      </w:pPr>
      <w:r>
        <w:rPr>
          <w:rFonts w:hint="eastAsia"/>
          <w:sz w:val="22"/>
          <w:szCs w:val="22"/>
          <w:highlight w:val="none"/>
        </w:rPr>
        <w:t>（七）乙方充电人员需及时为甲方车辆充电，如果发现甲方车辆停放在充电车位内且充电桩空闲，空闲时间大于</w:t>
      </w:r>
      <w:r>
        <w:rPr>
          <w:sz w:val="22"/>
          <w:szCs w:val="22"/>
          <w:highlight w:val="none"/>
        </w:rPr>
        <w:t>5</w:t>
      </w:r>
      <w:r>
        <w:rPr>
          <w:rFonts w:hint="eastAsia"/>
          <w:sz w:val="22"/>
          <w:szCs w:val="22"/>
          <w:highlight w:val="none"/>
        </w:rPr>
        <w:t>分钟的，每延长</w:t>
      </w:r>
      <w:r>
        <w:rPr>
          <w:sz w:val="22"/>
          <w:szCs w:val="22"/>
          <w:highlight w:val="none"/>
        </w:rPr>
        <w:t>3</w:t>
      </w:r>
      <w:r>
        <w:rPr>
          <w:rFonts w:hint="eastAsia"/>
          <w:sz w:val="22"/>
          <w:szCs w:val="22"/>
          <w:highlight w:val="none"/>
        </w:rPr>
        <w:t>分钟扣除当月服务费</w:t>
      </w:r>
      <w:r>
        <w:rPr>
          <w:sz w:val="22"/>
          <w:szCs w:val="22"/>
          <w:highlight w:val="none"/>
        </w:rPr>
        <w:t>50</w:t>
      </w:r>
      <w:r>
        <w:rPr>
          <w:rFonts w:hint="eastAsia"/>
          <w:sz w:val="22"/>
          <w:szCs w:val="22"/>
          <w:highlight w:val="none"/>
        </w:rPr>
        <w:t>元。</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（八）在服务期内，甲方有权对乙方的服务质量按照</w:t>
      </w:r>
      <w:r>
        <w:rPr>
          <w:rFonts w:asciiTheme="minorEastAsia" w:hAnsiTheme="minorEastAsia" w:eastAsiaTheme="minorEastAsia"/>
          <w:sz w:val="22"/>
          <w:szCs w:val="22"/>
          <w:highlight w:val="none"/>
        </w:rPr>
        <w:t>《</w:t>
      </w:r>
      <w:r>
        <w:rPr>
          <w:rFonts w:hint="eastAsia" w:asciiTheme="minorEastAsia" w:hAnsiTheme="minorEastAsia" w:eastAsiaTheme="minorEastAsia"/>
          <w:sz w:val="22"/>
          <w:szCs w:val="22"/>
          <w:highlight w:val="none"/>
        </w:rPr>
        <w:t>充电</w:t>
      </w:r>
      <w:r>
        <w:rPr>
          <w:rFonts w:asciiTheme="minorEastAsia" w:hAnsiTheme="minorEastAsia" w:eastAsiaTheme="minorEastAsia"/>
          <w:sz w:val="22"/>
          <w:szCs w:val="22"/>
          <w:highlight w:val="none"/>
        </w:rPr>
        <w:t>服务考核评分表》</w:t>
      </w:r>
      <w:r>
        <w:rPr>
          <w:rFonts w:hint="eastAsia" w:asciiTheme="minorEastAsia" w:hAnsiTheme="minorEastAsia" w:eastAsiaTheme="minorEastAsia"/>
          <w:sz w:val="22"/>
          <w:szCs w:val="22"/>
          <w:highlight w:val="none"/>
        </w:rPr>
        <w:t>（详见</w:t>
      </w:r>
      <w:r>
        <w:rPr>
          <w:rFonts w:asciiTheme="minorEastAsia" w:hAnsiTheme="minorEastAsia" w:eastAsiaTheme="minorEastAsia"/>
          <w:sz w:val="22"/>
          <w:szCs w:val="22"/>
          <w:highlight w:val="none"/>
        </w:rPr>
        <w:t>附件</w:t>
      </w:r>
      <w:r>
        <w:rPr>
          <w:rFonts w:hint="eastAsia" w:asciiTheme="minorEastAsia" w:hAnsiTheme="minorEastAsia" w:eastAsiaTheme="minorEastAsia"/>
          <w:sz w:val="22"/>
          <w:szCs w:val="22"/>
          <w:highlight w:val="none"/>
        </w:rPr>
        <w:t>）进行考核，并根据考核结果对乙方当月的充电服务费予以扣减，具体</w:t>
      </w:r>
      <w:r>
        <w:rPr>
          <w:rFonts w:asciiTheme="minorEastAsia" w:hAnsiTheme="minorEastAsia" w:eastAsiaTheme="minorEastAsia"/>
          <w:sz w:val="22"/>
          <w:szCs w:val="22"/>
          <w:highlight w:val="none"/>
        </w:rPr>
        <w:t>考核得分及服务费用扣减原则如下：</w:t>
      </w:r>
    </w:p>
    <w:p>
      <w:pPr>
        <w:pStyle w:val="148"/>
        <w:keepNext w:val="0"/>
        <w:spacing w:after="0" w:line="360" w:lineRule="auto"/>
        <w:ind w:firstLine="440" w:firstLineChars="200"/>
        <w:jc w:val="left"/>
        <w:rPr>
          <w:rFonts w:ascii="宋体" w:hAnsi="宋体" w:cs="宋体"/>
          <w:bCs/>
          <w:sz w:val="22"/>
          <w:szCs w:val="22"/>
          <w:highlight w:val="none"/>
        </w:rPr>
      </w:pPr>
      <w:r>
        <w:rPr>
          <w:rFonts w:ascii="宋体" w:hAnsi="宋体" w:cs="宋体"/>
          <w:bCs/>
          <w:sz w:val="22"/>
          <w:szCs w:val="22"/>
          <w:highlight w:val="none"/>
        </w:rPr>
        <w:t>1.充电服务考核得分≥95，不减扣充电服务费；</w:t>
      </w:r>
    </w:p>
    <w:p>
      <w:pPr>
        <w:pStyle w:val="148"/>
        <w:keepNext w:val="0"/>
        <w:spacing w:after="0" w:line="360" w:lineRule="auto"/>
        <w:ind w:firstLine="440" w:firstLineChars="200"/>
        <w:jc w:val="left"/>
        <w:rPr>
          <w:rFonts w:ascii="宋体" w:hAnsi="宋体" w:cs="宋体"/>
          <w:bCs/>
          <w:sz w:val="22"/>
          <w:szCs w:val="22"/>
          <w:highlight w:val="none"/>
        </w:rPr>
      </w:pPr>
      <w:r>
        <w:rPr>
          <w:rFonts w:ascii="宋体" w:hAnsi="宋体" w:cs="宋体"/>
          <w:bCs/>
          <w:sz w:val="22"/>
          <w:szCs w:val="22"/>
          <w:highlight w:val="none"/>
        </w:rPr>
        <w:t>2.充电服务考核得分为：90≤充电服务考核得分&lt;95，扣除充电服务费5000元；</w:t>
      </w:r>
    </w:p>
    <w:p>
      <w:pPr>
        <w:pStyle w:val="148"/>
        <w:keepNext w:val="0"/>
        <w:spacing w:after="0" w:line="360" w:lineRule="auto"/>
        <w:ind w:firstLine="440" w:firstLineChars="200"/>
        <w:jc w:val="left"/>
        <w:rPr>
          <w:rFonts w:ascii="宋体" w:hAnsi="宋体" w:cs="宋体"/>
          <w:bCs/>
          <w:sz w:val="22"/>
          <w:szCs w:val="22"/>
          <w:highlight w:val="none"/>
        </w:rPr>
      </w:pPr>
      <w:r>
        <w:rPr>
          <w:rFonts w:ascii="宋体" w:hAnsi="宋体" w:cs="宋体"/>
          <w:bCs/>
          <w:sz w:val="22"/>
          <w:szCs w:val="22"/>
          <w:highlight w:val="none"/>
        </w:rPr>
        <w:t>3.充电服务考核得分为：85≤充电服务考核得分&lt;90，扣除充电服务费10000元；</w:t>
      </w:r>
    </w:p>
    <w:p>
      <w:pPr>
        <w:pStyle w:val="148"/>
        <w:keepNext w:val="0"/>
        <w:spacing w:after="0" w:line="360" w:lineRule="auto"/>
        <w:ind w:firstLine="440" w:firstLineChars="200"/>
        <w:jc w:val="left"/>
        <w:rPr>
          <w:rFonts w:ascii="宋体" w:hAnsi="宋体" w:cs="宋体"/>
          <w:bCs/>
          <w:sz w:val="22"/>
          <w:szCs w:val="22"/>
          <w:highlight w:val="none"/>
        </w:rPr>
      </w:pPr>
      <w:r>
        <w:rPr>
          <w:rFonts w:ascii="宋体" w:hAnsi="宋体" w:cs="宋体"/>
          <w:bCs/>
          <w:sz w:val="22"/>
          <w:szCs w:val="22"/>
          <w:highlight w:val="none"/>
        </w:rPr>
        <w:t>4.</w:t>
      </w:r>
      <w:r>
        <w:rPr>
          <w:rFonts w:hint="eastAsia" w:ascii="宋体" w:hAnsi="宋体" w:cs="宋体"/>
          <w:bCs/>
          <w:sz w:val="22"/>
          <w:szCs w:val="22"/>
          <w:highlight w:val="none"/>
        </w:rPr>
        <w:t>充电服务考核得分为：</w:t>
      </w:r>
      <w:r>
        <w:rPr>
          <w:rFonts w:ascii="宋体" w:hAnsi="宋体" w:cs="宋体"/>
          <w:bCs/>
          <w:sz w:val="22"/>
          <w:szCs w:val="22"/>
          <w:highlight w:val="none"/>
        </w:rPr>
        <w:t>80≤充电服务考核得分&lt;85，扣除充电服务费20000元；</w:t>
      </w:r>
    </w:p>
    <w:p>
      <w:pPr>
        <w:pStyle w:val="2"/>
        <w:spacing w:line="360" w:lineRule="auto"/>
        <w:ind w:left="0" w:leftChars="0" w:firstLine="440"/>
        <w:rPr>
          <w:sz w:val="22"/>
          <w:szCs w:val="22"/>
          <w:highlight w:val="none"/>
        </w:rPr>
      </w:pPr>
      <w:r>
        <w:rPr>
          <w:rFonts w:ascii="宋体" w:hAnsi="宋体" w:cs="宋体"/>
          <w:bCs/>
          <w:sz w:val="22"/>
          <w:szCs w:val="22"/>
          <w:highlight w:val="none"/>
        </w:rPr>
        <w:t>5.充电服务考核得分&lt;80，扣除充电服务费30000元。</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（三）在服务期内，若乙方连续</w:t>
      </w:r>
      <w:r>
        <w:rPr>
          <w:rFonts w:asciiTheme="minorEastAsia" w:hAnsiTheme="minorEastAsia" w:eastAsiaTheme="minorEastAsia"/>
          <w:sz w:val="22"/>
          <w:szCs w:val="22"/>
          <w:highlight w:val="none"/>
        </w:rPr>
        <w:t>2个月或累计3个月出现修改平台数据情况、虚报增加充电桩充电量，甲方有权单方面解除合同，并没收中标单位履约保证金。</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（四）如出现本合同第五条第（三）项约定的充电服务单价调整的，乙方须无条件服务，否则甲方有权单方面解除合同并没收履约保证金。</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（五）本合同签订后，任何一方违约，违约方应当赔偿其给守约方造成的一切损失（包括直接损失、可得利益损失及主张权利的费用等）。</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（六）因本合同产生的纠纷甲乙双方友好协商解决，协商不成可向甲方住所地有管辖权的人民法院提起诉讼。</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第十条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合同的解除与终止</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如有以下情形，经双方协商一致，可终止本合同：</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（一）双方协商一致的，可以终止合同的履行；</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（二）如因充电站涉及甲方租赁的场地被出租方收回而本合同期又未满，需提前终止合同的；</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（三）因客观原因致使本合同无法履行需提前终止合同的；</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（四）一方根本性违约导致合同目的无法实现的，另一方有权解除合同，但应当及时书面通知对方，违约方应按本合同第十条的约定承担违约责任。</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第十一条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合同生效</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（一）本合同由甲乙双方法定代表人或授权代表人签字，并加盖公司公章生效。本合同壹式肆份，签字各方各执贰份，具同等效力。</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（二）本合同项下附件及补充协议为本合同不可或缺的部分，与本合同具有同等法律效力。如补充协议与本合同规定的条款相冲突的，以补充协议的规定为准。</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（三）对本合同和合同项下附件所做的任何修订，都须由甲乙双方另行签署补充协议。</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（四）本合同生效期间若与国家、省及市政府现行、新颁法律、政策法规不一致的，甲、乙双方参照政策法规调整本合同相关内容。</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第十二条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附件：</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（一）停电联动应急预案</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（二）车长及外来人员管理制度</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（三）安全生产管理协议</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（四）充电服务考核评分表</w:t>
      </w:r>
    </w:p>
    <w:p>
      <w:pPr>
        <w:spacing w:line="360" w:lineRule="auto"/>
        <w:ind w:left="4350" w:leftChars="250" w:hanging="3850" w:hangingChars="175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甲方：</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乙方：</w:t>
      </w:r>
      <w:r>
        <w:rPr>
          <w:rFonts w:asciiTheme="minorEastAsia" w:hAnsiTheme="minorEastAsia" w:eastAsiaTheme="minorEastAsia"/>
          <w:sz w:val="22"/>
          <w:szCs w:val="22"/>
          <w:highlight w:val="none"/>
        </w:rPr>
        <w:t xml:space="preserve">   </w:t>
      </w:r>
    </w:p>
    <w:p>
      <w:pPr>
        <w:spacing w:line="360" w:lineRule="auto"/>
        <w:ind w:firstLine="48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法定代表人：</w:t>
      </w:r>
      <w:r>
        <w:rPr>
          <w:rFonts w:asciiTheme="minorEastAsia" w:hAnsiTheme="minorEastAsia" w:eastAsiaTheme="minorEastAsia"/>
          <w:sz w:val="22"/>
          <w:szCs w:val="22"/>
          <w:highlight w:val="none"/>
        </w:rPr>
        <w:t xml:space="preserve">                                法定代表人：</w:t>
      </w:r>
    </w:p>
    <w:p>
      <w:pPr>
        <w:spacing w:line="360" w:lineRule="auto"/>
        <w:ind w:firstLine="48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或授权代表人：</w:t>
      </w:r>
      <w:r>
        <w:rPr>
          <w:rFonts w:asciiTheme="minorEastAsia" w:hAnsiTheme="minorEastAsia" w:eastAsiaTheme="minorEastAsia"/>
          <w:sz w:val="22"/>
          <w:szCs w:val="22"/>
          <w:highlight w:val="none"/>
        </w:rPr>
        <w:t xml:space="preserve">                              或授权代表：      </w:t>
      </w:r>
    </w:p>
    <w:p>
      <w:pPr>
        <w:spacing w:line="360" w:lineRule="auto"/>
        <w:ind w:firstLine="480"/>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签约地点：东莞市</w:t>
      </w:r>
    </w:p>
    <w:p>
      <w:pPr>
        <w:spacing w:line="360" w:lineRule="auto"/>
        <w:ind w:firstLine="480"/>
        <w:jc w:val="center"/>
        <w:rPr>
          <w:rFonts w:asciiTheme="minorEastAsia" w:hAnsiTheme="minorEastAsia" w:eastAsiaTheme="minorEastAsia"/>
          <w:sz w:val="21"/>
          <w:szCs w:val="21"/>
          <w:highlight w:val="none"/>
        </w:rPr>
      </w:pPr>
      <w:r>
        <w:rPr>
          <w:rFonts w:hint="eastAsia" w:asciiTheme="minorEastAsia" w:hAnsiTheme="minorEastAsia" w:eastAsiaTheme="minorEastAsia"/>
          <w:sz w:val="22"/>
          <w:szCs w:val="22"/>
          <w:highlight w:val="none"/>
        </w:rPr>
        <w:t>签约时间：</w:t>
      </w:r>
      <w:r>
        <w:rPr>
          <w:rFonts w:asciiTheme="minorEastAsia" w:hAnsiTheme="minorEastAsia" w:eastAsiaTheme="minorEastAsia"/>
          <w:sz w:val="22"/>
          <w:szCs w:val="22"/>
          <w:highlight w:val="none"/>
        </w:rPr>
        <w:t>2020</w:t>
      </w:r>
      <w:r>
        <w:rPr>
          <w:rFonts w:hint="eastAsia" w:asciiTheme="minorEastAsia" w:hAnsiTheme="minorEastAsia" w:eastAsiaTheme="minorEastAsia"/>
          <w:sz w:val="22"/>
          <w:szCs w:val="22"/>
          <w:highlight w:val="none"/>
        </w:rPr>
        <w:t>年</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月</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日</w:t>
      </w:r>
    </w:p>
    <w:p>
      <w:pPr>
        <w:spacing w:line="360" w:lineRule="auto"/>
        <w:rPr>
          <w:rFonts w:asciiTheme="minorEastAsia" w:hAnsiTheme="minorEastAsia" w:eastAsiaTheme="minorEastAsia"/>
          <w:sz w:val="21"/>
          <w:szCs w:val="21"/>
          <w:highlight w:val="none"/>
        </w:rPr>
        <w:sectPr>
          <w:pgSz w:w="11907" w:h="16840"/>
          <w:pgMar w:top="1559" w:right="1469" w:bottom="1559" w:left="1576" w:header="936" w:footer="873" w:gutter="0"/>
          <w:pgNumType w:fmt="decimal"/>
          <w:cols w:space="720" w:num="1"/>
          <w:docGrid w:linePitch="523" w:charSpace="0"/>
        </w:sectPr>
      </w:pPr>
    </w:p>
    <w:p>
      <w:pPr>
        <w:spacing w:line="360" w:lineRule="auto"/>
        <w:jc w:val="left"/>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附件</w:t>
      </w:r>
      <w:r>
        <w:rPr>
          <w:rFonts w:asciiTheme="minorEastAsia" w:hAnsiTheme="minorEastAsia" w:eastAsiaTheme="minorEastAsia"/>
          <w:sz w:val="21"/>
          <w:szCs w:val="21"/>
          <w:highlight w:val="none"/>
        </w:rPr>
        <w:t>1：</w:t>
      </w:r>
    </w:p>
    <w:p>
      <w:pPr>
        <w:spacing w:line="360" w:lineRule="auto"/>
        <w:ind w:firstLine="562"/>
        <w:jc w:val="center"/>
        <w:rPr>
          <w:rFonts w:asciiTheme="minorEastAsia" w:hAnsiTheme="minorEastAsia" w:eastAsiaTheme="minorEastAsia"/>
          <w:b/>
          <w:bCs/>
          <w:sz w:val="28"/>
          <w:szCs w:val="28"/>
          <w:highlight w:val="none"/>
        </w:rPr>
      </w:pPr>
      <w:r>
        <w:rPr>
          <w:rFonts w:hint="eastAsia" w:asciiTheme="minorEastAsia" w:hAnsiTheme="minorEastAsia" w:eastAsiaTheme="minorEastAsia"/>
          <w:b/>
          <w:bCs/>
          <w:sz w:val="28"/>
          <w:szCs w:val="28"/>
          <w:highlight w:val="none"/>
        </w:rPr>
        <w:t>停电联动应急预案</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一、突然性临时停电的处理程序</w:t>
      </w:r>
      <w:r>
        <w:rPr>
          <w:rFonts w:asciiTheme="minorEastAsia" w:hAnsiTheme="minorEastAsia" w:eastAsiaTheme="minorEastAsia"/>
          <w:b/>
          <w:bCs/>
          <w:sz w:val="22"/>
          <w:szCs w:val="22"/>
          <w:highlight w:val="none"/>
        </w:rPr>
        <w:t xml:space="preserve">  </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（一）双方应于每月</w:t>
      </w:r>
      <w:r>
        <w:rPr>
          <w:rFonts w:asciiTheme="minorEastAsia" w:hAnsiTheme="minorEastAsia" w:eastAsiaTheme="minorEastAsia"/>
          <w:sz w:val="22"/>
          <w:szCs w:val="22"/>
          <w:highlight w:val="none"/>
        </w:rPr>
        <w:t>25日前编制下月值班排班表（含联系方式）并抄送对方备份，确保突发事故发生时联络畅通。</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（二）站场充电值班员工或甲方值班员，发现突然停电应立即互相知会，并马上与供电部门联系，看问题原因是否出在户外供电网络，并确定恢复供电时间，同时做好恢复供电前的准备。</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（三）若问题不是出在户外供电网络，充电站值班员应马上检查原因，迅速查找故障所在供电支路，停掉该支路，恢复其他部位供电，并及时将情况汇报给上级领导及甲方运营中心调度负责人。</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（四）事后在工作日记及《工作交接表》上记录好相关事宜发生的时间、电气系统恢复正常运营的时间、处理经过及原因分析等。</w:t>
      </w:r>
      <w:r>
        <w:rPr>
          <w:rFonts w:asciiTheme="minorEastAsia" w:hAnsiTheme="minorEastAsia" w:eastAsiaTheme="minorEastAsia"/>
          <w:sz w:val="22"/>
          <w:szCs w:val="22"/>
          <w:highlight w:val="none"/>
        </w:rPr>
        <w:t xml:space="preserve"> </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二、事先接到供电局通知短时间内停电</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（一）甲方及乙方当班充电操作员将停电事宜及时互相知会、确认。乙方在停电前</w:t>
      </w:r>
      <w:r>
        <w:rPr>
          <w:rFonts w:asciiTheme="minorEastAsia" w:hAnsiTheme="minorEastAsia" w:eastAsiaTheme="minorEastAsia"/>
          <w:sz w:val="22"/>
          <w:szCs w:val="22"/>
          <w:highlight w:val="none"/>
        </w:rPr>
        <w:t xml:space="preserve">10分钟保存好相关数据，提前将充电桩、监控系统关闭，以免造成数据丢失或电器损坏。 </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（二）如遇持续停电超过</w:t>
      </w:r>
      <w:r>
        <w:rPr>
          <w:rFonts w:asciiTheme="minorEastAsia" w:hAnsiTheme="minorEastAsia" w:eastAsiaTheme="minorEastAsia"/>
          <w:sz w:val="22"/>
          <w:szCs w:val="22"/>
          <w:highlight w:val="none"/>
        </w:rPr>
        <w:t>1小时，乙方应提前安排快充补电车为甲方充电，确保不影响甲方正常运营。甲方负责通知各当班车长停电信息及相关处理办法。</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（三）恢复供电后当班操作员及时通知甲方运营中心调度负责人，并进行安全检查，防止电器故障。甲方负责通知各当班车长供电已恢复正常。</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三、事先接到供电局通知较长时间段停电</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（一）甲方运营中心调度负责人及乙方当班充电操作员及时相互知会并汇报上级领导，根据领导指示或预案做好补电工作。</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（二）与甲方协商调整充电时间及处理办法，并由甲方负责通知各当班车长停电信息及相关处理办法。</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（三）紧密与电力部门沟通，了解抢修进度、供电方案、供电时间等信息，保持与甲方双方信息沟通顺畅并及时汇报上级领导。</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（四）如遇长时间停电，乙方应明确提供后备充电站或快充充电车方案供甲方选择使用，确保不影响甲方正常运营。</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（五）乙方不能满足甲方充电需求时，应协调其他公司的充电资源为甲方提供充电服务。</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（六）根据甲方纯电动汽车运营线路和投放计划及乙方自身资源发展情况，乙方应动态制定后备充电方案并每月更新一次。</w:t>
      </w:r>
    </w:p>
    <w:p>
      <w:pPr>
        <w:spacing w:line="360" w:lineRule="auto"/>
        <w:ind w:firstLine="440" w:firstLineChars="200"/>
        <w:jc w:val="left"/>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附件</w:t>
      </w:r>
      <w:r>
        <w:rPr>
          <w:rFonts w:asciiTheme="minorEastAsia" w:hAnsiTheme="minorEastAsia" w:eastAsiaTheme="minorEastAsia"/>
          <w:sz w:val="22"/>
          <w:szCs w:val="22"/>
          <w:highlight w:val="none"/>
        </w:rPr>
        <w:t>2：</w:t>
      </w:r>
    </w:p>
    <w:p>
      <w:pPr>
        <w:spacing w:line="360" w:lineRule="auto"/>
        <w:ind w:firstLine="442" w:firstLineChars="200"/>
        <w:jc w:val="center"/>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车长及外来人员管理制度</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一、甲方负责提供一份完整的在职车长名单、一份车长值班表给充电站站长，如有调整最少提前一天通知充电站。</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二、严禁擅自给车辆充电。场站内所有充电设施设备不可挪作它用。</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三、禁止在充电场站充电停车位内吸烟，每一位场内职工均有义务和责任提醒其他人员共同遵守防火规定，不听劝阻的违规者，一律严肃处理并赔偿由此而造成的一切损失，涉事人员所在单位承担连带责任。</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四、车长停车充电时应遵守工作人员指挥倒车、移位、小心慢开，禁止碰撞场站内任何设施，若有损坏需照价赔偿。</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五、若在充电场站内发生交通事故，驾驶员需配合当班充电操作员，立即通知主管人员，并报警处理。</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六、凡外来人员进入甲方和乙方充电站，首先凭有效证件到门卫处登记。在获得同意进入的通知后，由甲方或乙方充电站人员安排接待人员陪同参观。</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七、接待人员必须做好外来人员的安全教育，告知遵守现场安全制度，做到谁接待谁负责；严禁外来参观人员自行在场站随意活动。</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八、自觉维护充电场站卫生，严禁随地吐痰、大小便、乱扔垃圾等。</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九、爱惜充电站公共设施，遵守各项设施使用规定，支持环保节约用水，严格遵守执行充电站各项管理制度。</w:t>
      </w:r>
    </w:p>
    <w:p>
      <w:pPr>
        <w:spacing w:line="360" w:lineRule="auto"/>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br w:type="page"/>
      </w:r>
    </w:p>
    <w:p>
      <w:pPr>
        <w:spacing w:line="360" w:lineRule="auto"/>
        <w:jc w:val="left"/>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附件</w:t>
      </w:r>
      <w:r>
        <w:rPr>
          <w:rFonts w:asciiTheme="minorEastAsia" w:hAnsiTheme="minorEastAsia" w:eastAsiaTheme="minorEastAsia"/>
          <w:sz w:val="22"/>
          <w:szCs w:val="22"/>
          <w:highlight w:val="none"/>
        </w:rPr>
        <w:t>3：</w:t>
      </w:r>
    </w:p>
    <w:p>
      <w:pPr>
        <w:spacing w:line="360" w:lineRule="auto"/>
        <w:ind w:firstLine="562"/>
        <w:jc w:val="center"/>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安全生产管理协议</w:t>
      </w:r>
    </w:p>
    <w:p>
      <w:pPr>
        <w:spacing w:line="360" w:lineRule="auto"/>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甲方：</w:t>
      </w:r>
      <w:r>
        <w:rPr>
          <w:rFonts w:asciiTheme="minorEastAsia" w:hAnsiTheme="minorEastAsia" w:eastAsiaTheme="minorEastAsia"/>
          <w:sz w:val="22"/>
          <w:szCs w:val="22"/>
          <w:highlight w:val="none"/>
        </w:rPr>
        <w:t xml:space="preserve"> </w:t>
      </w:r>
    </w:p>
    <w:p>
      <w:pPr>
        <w:spacing w:line="360" w:lineRule="auto"/>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乙方：</w:t>
      </w:r>
      <w:r>
        <w:rPr>
          <w:rFonts w:asciiTheme="minorEastAsia" w:hAnsiTheme="minorEastAsia" w:eastAsiaTheme="minorEastAsia"/>
          <w:sz w:val="22"/>
          <w:szCs w:val="22"/>
          <w:highlight w:val="none"/>
        </w:rPr>
        <w:t xml:space="preserve">  </w:t>
      </w:r>
    </w:p>
    <w:p>
      <w:pPr>
        <w:spacing w:line="360" w:lineRule="auto"/>
        <w:ind w:firstLine="562"/>
        <w:jc w:val="center"/>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第一章：宗旨</w:t>
      </w:r>
    </w:p>
    <w:p>
      <w:pPr>
        <w:spacing w:line="360" w:lineRule="auto"/>
        <w:ind w:firstLine="442" w:firstLineChars="200"/>
        <w:rPr>
          <w:rFonts w:asciiTheme="minorEastAsia" w:hAnsiTheme="minorEastAsia" w:eastAsiaTheme="minorEastAsia"/>
          <w:sz w:val="22"/>
          <w:szCs w:val="22"/>
          <w:highlight w:val="none"/>
        </w:rPr>
      </w:pPr>
      <w:r>
        <w:rPr>
          <w:rFonts w:hint="eastAsia" w:asciiTheme="minorEastAsia" w:hAnsiTheme="minorEastAsia" w:eastAsiaTheme="minorEastAsia"/>
          <w:b/>
          <w:bCs/>
          <w:sz w:val="22"/>
          <w:szCs w:val="22"/>
          <w:highlight w:val="none"/>
        </w:rPr>
        <w:t>第一条</w:t>
      </w:r>
      <w:r>
        <w:rPr>
          <w:rFonts w:asciiTheme="minorEastAsia" w:hAnsiTheme="minorEastAsia" w:eastAsiaTheme="minorEastAsia"/>
          <w:sz w:val="22"/>
          <w:szCs w:val="22"/>
          <w:highlight w:val="none"/>
        </w:rPr>
        <w:t xml:space="preserve"> 安全生产是关系到从业人员人身安全的大事，其责任重于泰山。为此生产作业的过程中，必须要以安全为主线，预防工作为重点，认真贯彻执行“安全第一、预防为主”的安全生产工作方针，最大限度地遏制各类生产性安全事故的发生。</w:t>
      </w:r>
    </w:p>
    <w:p>
      <w:pPr>
        <w:spacing w:line="360" w:lineRule="auto"/>
        <w:ind w:firstLine="442" w:firstLineChars="200"/>
        <w:rPr>
          <w:rFonts w:asciiTheme="minorEastAsia" w:hAnsiTheme="minorEastAsia" w:eastAsiaTheme="minorEastAsia"/>
          <w:sz w:val="22"/>
          <w:szCs w:val="22"/>
          <w:highlight w:val="none"/>
        </w:rPr>
      </w:pPr>
      <w:r>
        <w:rPr>
          <w:rFonts w:hint="eastAsia" w:asciiTheme="minorEastAsia" w:hAnsiTheme="minorEastAsia" w:eastAsiaTheme="minorEastAsia"/>
          <w:b/>
          <w:bCs/>
          <w:sz w:val="22"/>
          <w:szCs w:val="22"/>
          <w:highlight w:val="none"/>
        </w:rPr>
        <w:t>第二条</w:t>
      </w:r>
      <w:r>
        <w:rPr>
          <w:rFonts w:asciiTheme="minorEastAsia" w:hAnsiTheme="minorEastAsia" w:eastAsiaTheme="minorEastAsia"/>
          <w:sz w:val="22"/>
          <w:szCs w:val="22"/>
          <w:highlight w:val="none"/>
        </w:rPr>
        <w:t xml:space="preserve"> 甲方在从事公交运营桩场管理工作中与乙方存在着互相协作的工作关系。为了保证乙方设备、服务设施、从业人员在甲方公司内作业时的安全，甲乙双方根据《中华人民共和国安全生产法》第二章第四十条的“两个以上生产经营单位在同意作业区域内进行生产经营活动，可能危及对方安全生产的，应当签订安全生产管理协议，明确各自的安全生产管理职责和应当采取的安全措施，并指定专职安全生产管理人员进行安全检查和协调”的规定，就各自应承担的安全职责和应采取的安全措施等事宜，经协商后达成本安全生产管理协议。</w:t>
      </w:r>
    </w:p>
    <w:p>
      <w:pPr>
        <w:spacing w:line="360" w:lineRule="auto"/>
        <w:ind w:firstLine="442" w:firstLineChars="200"/>
        <w:jc w:val="center"/>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第二章：甲、乙方各自的权利、义务和责任</w:t>
      </w:r>
    </w:p>
    <w:p>
      <w:pPr>
        <w:spacing w:line="360" w:lineRule="auto"/>
        <w:ind w:firstLine="442" w:firstLineChars="200"/>
        <w:rPr>
          <w:rFonts w:asciiTheme="minorEastAsia" w:hAnsiTheme="minorEastAsia" w:eastAsiaTheme="minorEastAsia"/>
          <w:sz w:val="22"/>
          <w:szCs w:val="22"/>
          <w:highlight w:val="none"/>
        </w:rPr>
      </w:pPr>
      <w:r>
        <w:rPr>
          <w:rFonts w:hint="eastAsia" w:asciiTheme="minorEastAsia" w:hAnsiTheme="minorEastAsia" w:eastAsiaTheme="minorEastAsia"/>
          <w:b/>
          <w:bCs/>
          <w:sz w:val="22"/>
          <w:szCs w:val="22"/>
          <w:highlight w:val="none"/>
        </w:rPr>
        <w:t>第三条</w:t>
      </w:r>
      <w:r>
        <w:rPr>
          <w:rFonts w:asciiTheme="minorEastAsia" w:hAnsiTheme="minorEastAsia" w:eastAsiaTheme="minorEastAsia"/>
          <w:sz w:val="22"/>
          <w:szCs w:val="22"/>
          <w:highlight w:val="none"/>
        </w:rPr>
        <w:t xml:space="preserve"> 乙方单位涵盖的内容</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外协单位是指：在甲方建筑物或桩场内，乙方或为乙方充电桩设备设施提供基建建设、设备安装、调试、维修保养及运营服务等所涉及的单位的统称。</w:t>
      </w:r>
    </w:p>
    <w:p>
      <w:pPr>
        <w:spacing w:line="360" w:lineRule="auto"/>
        <w:ind w:firstLine="442" w:firstLineChars="200"/>
        <w:rPr>
          <w:rFonts w:asciiTheme="minorEastAsia" w:hAnsiTheme="minorEastAsia" w:eastAsiaTheme="minorEastAsia"/>
          <w:sz w:val="22"/>
          <w:szCs w:val="22"/>
          <w:highlight w:val="none"/>
        </w:rPr>
      </w:pPr>
      <w:r>
        <w:rPr>
          <w:rFonts w:hint="eastAsia" w:asciiTheme="minorEastAsia" w:hAnsiTheme="minorEastAsia" w:eastAsiaTheme="minorEastAsia"/>
          <w:b/>
          <w:bCs/>
          <w:sz w:val="22"/>
          <w:szCs w:val="22"/>
          <w:highlight w:val="none"/>
        </w:rPr>
        <w:t>第四条</w:t>
      </w:r>
      <w:r>
        <w:rPr>
          <w:rFonts w:asciiTheme="minorEastAsia" w:hAnsiTheme="minorEastAsia" w:eastAsiaTheme="minorEastAsia"/>
          <w:sz w:val="22"/>
          <w:szCs w:val="22"/>
          <w:highlight w:val="none"/>
        </w:rPr>
        <w:t xml:space="preserve"> 权利条款</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（一）甲方的权利</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1）甲方有权对乙方的安全生产资质进行审核，如果乙方有严重违章行为，甲方有权不与之签订合同或终止相关主合同。</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2）甲方有权对乙方在甲方建筑物或桩场内的安全情况进行监督、管理和处罚。</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3）甲方有权对乙方使用的设备、工具、安全设施、服务设施、人员进行安全检查，发现隐患有权向乙方提出警告或限制使用。乙方应当及时整改，并将整改情况以书面形式递交甲方安全生产管理部门审核。</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（二）乙方权利</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有权使用经甲方认可的作业区域和设备。</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第五条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义务条款</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（一）甲方义务</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1）甲方根据相关合同为乙方提供作业区域和相应的设施。</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2）甲方应当向乙方告知甲方区域内的危险场所及注意事项。</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3）甲方指定派出的安全员</w:t>
      </w:r>
      <w:r>
        <w:rPr>
          <w:rFonts w:asciiTheme="minorEastAsia" w:hAnsiTheme="minorEastAsia" w:eastAsiaTheme="minorEastAsia"/>
          <w:sz w:val="22"/>
          <w:szCs w:val="22"/>
          <w:highlight w:val="none"/>
          <w:u w:val="single"/>
        </w:rPr>
        <w:t xml:space="preserve">  </w:t>
      </w:r>
      <w:r>
        <w:rPr>
          <w:rFonts w:hint="eastAsia" w:asciiTheme="minorEastAsia" w:hAnsiTheme="minorEastAsia" w:eastAsiaTheme="minorEastAsia"/>
          <w:sz w:val="22"/>
          <w:szCs w:val="22"/>
          <w:highlight w:val="none"/>
        </w:rPr>
        <w:t>名，</w:t>
      </w:r>
      <w:r>
        <w:rPr>
          <w:rFonts w:asciiTheme="minorEastAsia" w:hAnsiTheme="minorEastAsia" w:eastAsiaTheme="minorEastAsia"/>
          <w:sz w:val="22"/>
          <w:szCs w:val="22"/>
          <w:highlight w:val="none"/>
          <w:u w:val="single"/>
        </w:rPr>
        <w:t xml:space="preserve">                       </w:t>
      </w:r>
      <w:r>
        <w:rPr>
          <w:rFonts w:hint="eastAsia" w:asciiTheme="minorEastAsia" w:hAnsiTheme="minorEastAsia" w:eastAsiaTheme="minorEastAsia"/>
          <w:sz w:val="22"/>
          <w:szCs w:val="22"/>
          <w:highlight w:val="none"/>
        </w:rPr>
        <w:t>。</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4）服务期内，甲方停放在乙方提供的场地内的</w:t>
      </w:r>
      <w:r>
        <w:rPr>
          <w:rFonts w:hint="eastAsia" w:asciiTheme="minorEastAsia" w:hAnsiTheme="minorEastAsia" w:eastAsiaTheme="minorEastAsia"/>
          <w:sz w:val="22"/>
          <w:szCs w:val="22"/>
          <w:highlight w:val="none"/>
        </w:rPr>
        <w:t>车辆</w:t>
      </w:r>
      <w:r>
        <w:rPr>
          <w:rFonts w:asciiTheme="minorEastAsia" w:hAnsiTheme="minorEastAsia" w:eastAsiaTheme="minorEastAsia"/>
          <w:sz w:val="22"/>
          <w:szCs w:val="22"/>
          <w:highlight w:val="none"/>
        </w:rPr>
        <w:t>的</w:t>
      </w:r>
      <w:r>
        <w:rPr>
          <w:rFonts w:hint="eastAsia" w:asciiTheme="minorEastAsia" w:hAnsiTheme="minorEastAsia" w:eastAsiaTheme="minorEastAsia"/>
          <w:sz w:val="22"/>
          <w:szCs w:val="22"/>
          <w:highlight w:val="none"/>
        </w:rPr>
        <w:t>应急</w:t>
      </w:r>
      <w:r>
        <w:rPr>
          <w:rFonts w:asciiTheme="minorEastAsia" w:hAnsiTheme="minorEastAsia" w:eastAsiaTheme="minorEastAsia"/>
          <w:sz w:val="22"/>
          <w:szCs w:val="22"/>
          <w:highlight w:val="none"/>
        </w:rPr>
        <w:t>安全责任由</w:t>
      </w:r>
      <w:r>
        <w:rPr>
          <w:rFonts w:hint="eastAsia" w:asciiTheme="minorEastAsia" w:hAnsiTheme="minorEastAsia" w:eastAsiaTheme="minorEastAsia"/>
          <w:sz w:val="22"/>
          <w:szCs w:val="22"/>
          <w:highlight w:val="none"/>
        </w:rPr>
        <w:t>甲方</w:t>
      </w:r>
      <w:r>
        <w:rPr>
          <w:rFonts w:asciiTheme="minorEastAsia" w:hAnsiTheme="minorEastAsia" w:eastAsiaTheme="minorEastAsia"/>
          <w:sz w:val="22"/>
          <w:szCs w:val="22"/>
          <w:highlight w:val="none"/>
        </w:rPr>
        <w:t>承担。</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（二）乙方义务</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1）乙方作为充电桩运营服务供应商，应设置安全管理组织机构，并配备专职或兼职的安全员，要建立安全管理制度和应急预案，建立安全应急保障体系。负责制、修订充电桩安全工作指导书，负责指导、监督、评估充电桩安全管理工作。</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2）乙方必须具备符合条件的营业执照。</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3）乙方派出的各充电桩管理人员或安全员是充电桩安全管理第一责任人，对充电桩安全进行管理。应建立运行值班制度，包括日常巡检、运行交接班、值班日志等。要落实、贯彻安全工作的相关规定及要求，组织开展充电桩安全实施工作，落实各级人员的应急职责。</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4）乙方安全员应按时进行日常巡视检查，纠正违规操作，发现安全隐患，及时采取措施。当班管理人员应对作业现场进行监督，发现违章行为和其他不安全因素，应及时制止并向上级反映情况，并应于30分钟内向甲方安全管理人员通报。充电作业人员应定期或根据工作需要随时进行巡视。</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5）乙方安全员对所管辖充电桩每周需组织一次安全检查，乙方作为充电桩运营机构每月应对所辖充电桩进行一次全面安全检查，并应根据季节特点和重大节日对充电桩进行专项检查。</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6）乙方应按国家及行业设备技术规范等规定要求对充电设施进行定期维护。应按国家要去确保充电设备在各种场景的应用安全，提供经过国家相关安全质量检测部门安全检测合格的产品。</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7）乙方设置的露天充电桩应有安全防护措施，保证雷雨等特殊天气的充电安全。乙方的充电设备应按规范设置安全危险及相关警示标识，例如安全导向标志、安全警告标识、消防安全标志等。</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8）乙方应配置符合规范要求的消防设备，并定期进行消防安全检查，消防设施和监控器材应由专人定期进行维护与保养，灭火和监控系统应处于完好状态。定期组织进行消防培训和应急演练，全体作业人员应掌握消防知识，熟知消防器材的位置、性能和使用方法。</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9）乙方所管辖充电桩内各紧急出口通道应保持畅通。发生火宅时，应能及时采取有效的处置措施，及时疏散人员，并报告有关部门及甲方。</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10）乙方应设置应急组织，建立突发事件应急预案，包括火灾、车辆故障、电池破损燃烧爆炸、供电系统故障、人员触电、设备故障、停电和断网等。应急预案应满足统一指挥，分级负责；组织机构健全；人员和物资配备充足；通信畅通；行动迅速、准确等基本要求。应急预案的主要内</w:t>
      </w:r>
      <w:r>
        <w:rPr>
          <w:rFonts w:hint="eastAsia" w:asciiTheme="minorEastAsia" w:hAnsiTheme="minorEastAsia" w:eastAsiaTheme="minorEastAsia"/>
          <w:sz w:val="22"/>
          <w:szCs w:val="22"/>
          <w:highlight w:val="none"/>
        </w:rPr>
        <w:t>容应包括：组织机构、人员、物资、事件等级、报告程序、事故处置方法、快速疏散方法、紧急救护措施、现场保护、清理和善后工作等。每半年应至少进行一次应急预案的全员培训和演练，针对演练中的问题，修改和完善应急预案。突发事件的处置应按应急预案的要求进行。</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11）乙方相关安全管理制度、应急预案、现场安全管理第一责任人等应于运营前书面向甲方备案。</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12）乙方应确保充电服务设施内的所有设备设施的设计及运营管理应满足国家、省市级行业的相关技术、标准及规范，安全装置应满足国家对短路保护、过流保护、欠压保护、防拔保护、急停保护、漏电保护、防雷保护、阻燃保护等相关要求和规范。</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13）乙方从业人员进入甲方办公场所、战场区域内从事作业时，应认真遵守甲方各项规章制度，服从甲方责任部门的统一管理、检查、监督。</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14）乙方只能在甲方允许的范围、场所内和设备上作业，不得超范围作业。</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15）乙方应按照安全生产法的规定，对所属从业人员进行安全生产教育和培训，保证从业人员具备必要的安全生产知识，不断提高安全生产意识、安全操作技能和遵章守纪自觉性。</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16）乙方在进入甲方作业区域前，应严格按照安全生产标准组织作业，对自备的工具、设备的安全性能状况加强检查确认，并采取必要的安全防护措施，消除事故隐患，保证作业时的安全。</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17）乙方作业人员严禁擅自使用甲方相关与其提供服务无关的设备和设施，如作业时确需使用上述设备、设施时，应事先征得甲方责任部门书面同意后方可使用，防止因对设备或设施性能不熟悉而发生安全事故。发生重大伤亡及其他安全事故时，乙方应立即报甲方安全生产管理部门。</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18</w:t>
      </w:r>
      <w:r>
        <w:rPr>
          <w:rFonts w:hint="eastAsia" w:asciiTheme="minorEastAsia" w:hAnsiTheme="minorEastAsia" w:eastAsiaTheme="minorEastAsia"/>
          <w:sz w:val="22"/>
          <w:szCs w:val="22"/>
          <w:highlight w:val="none"/>
        </w:rPr>
        <w:t>）乙方向甲方提供满足需求的充电服务设施及停车场地，</w:t>
      </w:r>
      <w:r>
        <w:rPr>
          <w:rFonts w:asciiTheme="minorEastAsia" w:hAnsiTheme="minorEastAsia" w:eastAsiaTheme="minorEastAsia"/>
          <w:sz w:val="22"/>
          <w:szCs w:val="22"/>
          <w:highlight w:val="none"/>
        </w:rPr>
        <w:t>场地的保安、保洁等</w:t>
      </w:r>
      <w:r>
        <w:rPr>
          <w:rFonts w:hint="eastAsia" w:asciiTheme="minorEastAsia" w:hAnsiTheme="minorEastAsia" w:eastAsiaTheme="minorEastAsia"/>
          <w:sz w:val="22"/>
          <w:szCs w:val="22"/>
          <w:highlight w:val="none"/>
        </w:rPr>
        <w:t>服务</w:t>
      </w:r>
      <w:r>
        <w:rPr>
          <w:rFonts w:asciiTheme="minorEastAsia" w:hAnsiTheme="minorEastAsia" w:eastAsiaTheme="minorEastAsia"/>
          <w:sz w:val="22"/>
          <w:szCs w:val="22"/>
          <w:highlight w:val="none"/>
        </w:rPr>
        <w:t>由乙方</w:t>
      </w:r>
      <w:r>
        <w:rPr>
          <w:rFonts w:hint="eastAsia" w:asciiTheme="minorEastAsia" w:hAnsiTheme="minorEastAsia" w:eastAsiaTheme="minorEastAsia"/>
          <w:sz w:val="22"/>
          <w:szCs w:val="22"/>
          <w:highlight w:val="none"/>
        </w:rPr>
        <w:t>提供，场地</w:t>
      </w:r>
      <w:r>
        <w:rPr>
          <w:rFonts w:asciiTheme="minorEastAsia" w:hAnsiTheme="minorEastAsia" w:eastAsiaTheme="minorEastAsia"/>
          <w:sz w:val="22"/>
          <w:szCs w:val="22"/>
          <w:highlight w:val="none"/>
        </w:rPr>
        <w:t>内的充电</w:t>
      </w:r>
      <w:r>
        <w:rPr>
          <w:rFonts w:hint="eastAsia" w:asciiTheme="minorEastAsia" w:hAnsiTheme="minorEastAsia" w:eastAsiaTheme="minorEastAsia"/>
          <w:sz w:val="22"/>
          <w:szCs w:val="22"/>
          <w:highlight w:val="none"/>
        </w:rPr>
        <w:t>设备</w:t>
      </w:r>
      <w:r>
        <w:rPr>
          <w:rFonts w:asciiTheme="minorEastAsia" w:hAnsiTheme="minorEastAsia" w:eastAsiaTheme="minorEastAsia"/>
          <w:sz w:val="22"/>
          <w:szCs w:val="22"/>
          <w:highlight w:val="none"/>
        </w:rPr>
        <w:t>及相关配套实施等的安全责任由乙方承担</w:t>
      </w:r>
      <w:r>
        <w:rPr>
          <w:rFonts w:hint="eastAsia" w:asciiTheme="minorEastAsia" w:hAnsiTheme="minorEastAsia" w:eastAsiaTheme="minorEastAsia"/>
          <w:sz w:val="22"/>
          <w:szCs w:val="22"/>
          <w:highlight w:val="none"/>
        </w:rPr>
        <w:t>。（适用乙方提供停车服务）</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第六条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责任条款</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（一）甲方应负责任</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由于甲方车辆，场站附属设施不安全问题或甲方工作人员违章操作，由此给乙方造成损失，甲方负责赔偿。</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（二）乙方应负责任</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1）乙方应在具备安全的条件下作业。乙方对在甲方区域内因使用自己的工具、设备作业造成的人身伤害和财产损失事故负全部责任，甲方不负连带责任。</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2）乙方应当如实提供审核资料，对弄虚作假者，甲方有权解除合同，乙方对人身伤亡和财产损失后果负责，并负责赔偿甲方的一切损失。</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3）乙方因自身设备故障或操作不当造成的安全事故负责救援，并负责赔偿甲方或第三方的一</w:t>
      </w:r>
      <w:r>
        <w:rPr>
          <w:rFonts w:hint="eastAsia" w:asciiTheme="minorEastAsia" w:hAnsiTheme="minorEastAsia" w:eastAsiaTheme="minorEastAsia"/>
          <w:sz w:val="22"/>
          <w:szCs w:val="22"/>
          <w:highlight w:val="none"/>
        </w:rPr>
        <w:t>切损失。</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w:t>
      </w:r>
      <w:r>
        <w:rPr>
          <w:rFonts w:asciiTheme="minorEastAsia" w:hAnsiTheme="minorEastAsia" w:eastAsiaTheme="minorEastAsia"/>
          <w:sz w:val="22"/>
          <w:szCs w:val="22"/>
          <w:highlight w:val="none"/>
        </w:rPr>
        <w:t>4）乙方进入甲方站场区域内进行施工、调试、运营服务等作业，由于不听从甲方管理、监督、指挥或违反本协议，造成人身伤亡或财产损失，责任由乙方自负。由此给甲方造成损失时，由乙方负责赔偿。</w:t>
      </w:r>
    </w:p>
    <w:p>
      <w:pPr>
        <w:spacing w:line="360" w:lineRule="auto"/>
        <w:ind w:firstLine="442" w:firstLineChars="20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第七条</w:t>
      </w:r>
      <w:r>
        <w:rPr>
          <w:rFonts w:asciiTheme="minorEastAsia" w:hAnsiTheme="minorEastAsia" w:eastAsiaTheme="minorEastAsia"/>
          <w:b/>
          <w:bCs/>
          <w:sz w:val="22"/>
          <w:szCs w:val="22"/>
          <w:highlight w:val="none"/>
        </w:rPr>
        <w:t xml:space="preserve"> </w:t>
      </w:r>
      <w:r>
        <w:rPr>
          <w:rFonts w:hint="eastAsia" w:asciiTheme="minorEastAsia" w:hAnsiTheme="minorEastAsia" w:eastAsiaTheme="minorEastAsia"/>
          <w:b/>
          <w:bCs/>
          <w:sz w:val="22"/>
          <w:szCs w:val="22"/>
          <w:highlight w:val="none"/>
        </w:rPr>
        <w:t>其他</w:t>
      </w:r>
    </w:p>
    <w:p>
      <w:pPr>
        <w:spacing w:line="360" w:lineRule="auto"/>
        <w:ind w:firstLine="440" w:firstLineChars="20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本协议经双方法定代表人或委托代理人签字盖章后生效。</w:t>
      </w:r>
    </w:p>
    <w:p>
      <w:pPr>
        <w:spacing w:line="360" w:lineRule="auto"/>
        <w:ind w:firstLine="440" w:firstLineChars="20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 xml:space="preserve"> </w:t>
      </w:r>
    </w:p>
    <w:p>
      <w:pPr>
        <w:spacing w:line="360" w:lineRule="auto"/>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 xml:space="preserve"> </w:t>
      </w:r>
    </w:p>
    <w:p>
      <w:pPr>
        <w:spacing w:line="360" w:lineRule="auto"/>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甲方：</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乙方：</w:t>
      </w:r>
      <w:r>
        <w:rPr>
          <w:rFonts w:asciiTheme="minorEastAsia" w:hAnsiTheme="minorEastAsia" w:eastAsiaTheme="minorEastAsia"/>
          <w:sz w:val="22"/>
          <w:szCs w:val="22"/>
          <w:highlight w:val="none"/>
        </w:rPr>
        <w:t xml:space="preserve">   </w:t>
      </w:r>
    </w:p>
    <w:p>
      <w:pPr>
        <w:spacing w:line="360" w:lineRule="auto"/>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法定代表人：</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法定代表人：</w:t>
      </w:r>
    </w:p>
    <w:p>
      <w:pPr>
        <w:spacing w:line="360" w:lineRule="auto"/>
        <w:rPr>
          <w:rFonts w:asciiTheme="minorEastAsia" w:hAnsiTheme="minorEastAsia" w:eastAsiaTheme="minorEastAsia"/>
          <w:sz w:val="21"/>
          <w:szCs w:val="21"/>
          <w:highlight w:val="none"/>
        </w:rPr>
      </w:pPr>
      <w:r>
        <w:rPr>
          <w:rFonts w:hint="eastAsia" w:asciiTheme="minorEastAsia" w:hAnsiTheme="minorEastAsia" w:eastAsiaTheme="minorEastAsia"/>
          <w:sz w:val="22"/>
          <w:szCs w:val="22"/>
          <w:highlight w:val="none"/>
        </w:rPr>
        <w:t>或授权代表人：</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或授权代表：</w:t>
      </w:r>
    </w:p>
    <w:p>
      <w:pPr>
        <w:rPr>
          <w:sz w:val="22"/>
          <w:szCs w:val="22"/>
          <w:highlight w:val="none"/>
        </w:rPr>
      </w:pPr>
    </w:p>
    <w:p>
      <w:pPr>
        <w:rPr>
          <w:highlight w:val="none"/>
        </w:rPr>
        <w:sectPr>
          <w:pgSz w:w="12240" w:h="15840"/>
          <w:pgMar w:top="1440" w:right="1797" w:bottom="1985" w:left="1418" w:header="720" w:footer="720" w:gutter="0"/>
          <w:pgNumType w:fmt="decimal"/>
          <w:cols w:space="720" w:num="1"/>
        </w:sectPr>
      </w:pPr>
    </w:p>
    <w:p>
      <w:pPr>
        <w:rPr>
          <w:sz w:val="22"/>
          <w:szCs w:val="22"/>
          <w:highlight w:val="none"/>
        </w:rPr>
      </w:pPr>
      <w:r>
        <w:rPr>
          <w:rFonts w:hint="eastAsia"/>
          <w:sz w:val="22"/>
          <w:szCs w:val="22"/>
          <w:highlight w:val="none"/>
        </w:rPr>
        <w:t>附件</w:t>
      </w:r>
      <w:r>
        <w:rPr>
          <w:sz w:val="22"/>
          <w:szCs w:val="22"/>
          <w:highlight w:val="none"/>
        </w:rPr>
        <w:t>4</w:t>
      </w:r>
      <w:r>
        <w:rPr>
          <w:rFonts w:hint="eastAsia"/>
          <w:sz w:val="22"/>
          <w:szCs w:val="22"/>
          <w:highlight w:val="none"/>
        </w:rPr>
        <w:t>：</w:t>
      </w:r>
    </w:p>
    <w:p>
      <w:pPr>
        <w:pStyle w:val="2"/>
        <w:spacing w:line="440" w:lineRule="exact"/>
        <w:ind w:left="0" w:leftChars="0" w:firstLine="0" w:firstLineChars="0"/>
        <w:jc w:val="center"/>
        <w:rPr>
          <w:rFonts w:ascii="宋体" w:hAnsi="宋体" w:cs="宋体"/>
          <w:kern w:val="0"/>
          <w:sz w:val="22"/>
          <w:szCs w:val="22"/>
          <w:highlight w:val="none"/>
        </w:rPr>
      </w:pPr>
      <w:r>
        <w:rPr>
          <w:rFonts w:cs="华康简标题宋" w:asciiTheme="minorEastAsia" w:hAnsiTheme="minorEastAsia" w:eastAsiaTheme="minorEastAsia"/>
          <w:b/>
          <w:sz w:val="32"/>
          <w:szCs w:val="32"/>
          <w:highlight w:val="none"/>
          <w:lang w:bidi="ar"/>
        </w:rPr>
        <w:t>XX</w:t>
      </w:r>
      <w:r>
        <w:rPr>
          <w:rFonts w:hint="eastAsia" w:cs="华康简标题宋" w:asciiTheme="minorEastAsia" w:hAnsiTheme="minorEastAsia" w:eastAsiaTheme="minorEastAsia"/>
          <w:b/>
          <w:sz w:val="32"/>
          <w:szCs w:val="32"/>
          <w:highlight w:val="none"/>
          <w:lang w:bidi="ar"/>
        </w:rPr>
        <w:t>公司</w:t>
      </w:r>
      <w:r>
        <w:rPr>
          <w:rFonts w:cs="华康简标题宋" w:asciiTheme="minorEastAsia" w:hAnsiTheme="minorEastAsia" w:eastAsiaTheme="minorEastAsia"/>
          <w:b/>
          <w:kern w:val="0"/>
          <w:sz w:val="32"/>
          <w:szCs w:val="32"/>
          <w:highlight w:val="none"/>
          <w:lang w:bidi="ar"/>
        </w:rPr>
        <w:t xml:space="preserve">    年    月份            充电站充电服务考核评分表</w:t>
      </w:r>
    </w:p>
    <w:tbl>
      <w:tblPr>
        <w:tblStyle w:val="4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42"/>
        <w:gridCol w:w="5736"/>
        <w:gridCol w:w="685"/>
        <w:gridCol w:w="5118"/>
        <w:gridCol w:w="729"/>
        <w:gridCol w:w="11"/>
        <w:gridCol w:w="765"/>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47" w:type="pct"/>
            <w:gridSpan w:val="2"/>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left"/>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考核部门（单位）：</w:t>
            </w:r>
          </w:p>
        </w:tc>
        <w:tc>
          <w:tcPr>
            <w:tcW w:w="248" w:type="pct"/>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宋体" w:asciiTheme="minorEastAsia" w:hAnsiTheme="minorEastAsia" w:eastAsiaTheme="minorEastAsia"/>
                <w:sz w:val="22"/>
                <w:szCs w:val="22"/>
                <w:highlight w:val="none"/>
              </w:rPr>
            </w:pPr>
          </w:p>
        </w:tc>
        <w:tc>
          <w:tcPr>
            <w:tcW w:w="2403" w:type="pct"/>
            <w:gridSpan w:val="5"/>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right"/>
              <w:rPr>
                <w:rFonts w:cs="宋体"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黑体" w:asciiTheme="minorEastAsia" w:hAnsiTheme="minorEastAsia" w:eastAsiaTheme="minorEastAsia"/>
                <w:b/>
                <w:sz w:val="22"/>
                <w:szCs w:val="22"/>
                <w:highlight w:val="none"/>
              </w:rPr>
            </w:pPr>
            <w:r>
              <w:rPr>
                <w:rFonts w:hint="eastAsia" w:cs="黑体" w:asciiTheme="minorEastAsia" w:hAnsiTheme="minorEastAsia" w:eastAsiaTheme="minorEastAsia"/>
                <w:b/>
                <w:sz w:val="22"/>
                <w:szCs w:val="22"/>
                <w:highlight w:val="none"/>
                <w:lang w:bidi="ar"/>
              </w:rPr>
              <w:t>考核</w:t>
            </w:r>
            <w:r>
              <w:rPr>
                <w:rFonts w:cs="黑体" w:asciiTheme="minorEastAsia" w:hAnsiTheme="minorEastAsia" w:eastAsiaTheme="minorEastAsia"/>
                <w:b/>
                <w:sz w:val="22"/>
                <w:szCs w:val="22"/>
                <w:highlight w:val="none"/>
                <w:lang w:bidi="ar"/>
              </w:rPr>
              <w:br w:type="textWrapping"/>
            </w:r>
            <w:r>
              <w:rPr>
                <w:rFonts w:hint="eastAsia" w:cs="黑体" w:asciiTheme="minorEastAsia" w:hAnsiTheme="minorEastAsia" w:eastAsiaTheme="minorEastAsia"/>
                <w:b/>
                <w:sz w:val="22"/>
                <w:szCs w:val="22"/>
                <w:highlight w:val="none"/>
                <w:lang w:bidi="ar"/>
              </w:rPr>
              <w:t>项目</w:t>
            </w: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黑体" w:asciiTheme="minorEastAsia" w:hAnsiTheme="minorEastAsia" w:eastAsiaTheme="minorEastAsia"/>
                <w:b/>
                <w:sz w:val="22"/>
                <w:szCs w:val="22"/>
                <w:highlight w:val="none"/>
              </w:rPr>
            </w:pPr>
            <w:r>
              <w:rPr>
                <w:rFonts w:hint="eastAsia" w:cs="黑体" w:asciiTheme="minorEastAsia" w:hAnsiTheme="minorEastAsia" w:eastAsiaTheme="minorEastAsia"/>
                <w:b/>
                <w:sz w:val="22"/>
                <w:szCs w:val="22"/>
                <w:highlight w:val="none"/>
                <w:lang w:bidi="ar"/>
              </w:rPr>
              <w:t>考评要求</w:t>
            </w:r>
          </w:p>
        </w:tc>
        <w:tc>
          <w:tcPr>
            <w:tcW w:w="24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黑体" w:asciiTheme="minorEastAsia" w:hAnsiTheme="minorEastAsia" w:eastAsiaTheme="minorEastAsia"/>
                <w:b/>
                <w:sz w:val="22"/>
                <w:szCs w:val="22"/>
                <w:highlight w:val="none"/>
              </w:rPr>
            </w:pPr>
            <w:r>
              <w:rPr>
                <w:rFonts w:hint="eastAsia" w:cs="黑体" w:asciiTheme="minorEastAsia" w:hAnsiTheme="minorEastAsia" w:eastAsiaTheme="minorEastAsia"/>
                <w:b/>
                <w:sz w:val="22"/>
                <w:szCs w:val="22"/>
                <w:highlight w:val="none"/>
                <w:lang w:bidi="ar"/>
              </w:rPr>
              <w:t>标准分</w:t>
            </w: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黑体" w:asciiTheme="minorEastAsia" w:hAnsiTheme="minorEastAsia" w:eastAsiaTheme="minorEastAsia"/>
                <w:b/>
                <w:sz w:val="22"/>
                <w:szCs w:val="22"/>
                <w:highlight w:val="none"/>
              </w:rPr>
            </w:pPr>
            <w:r>
              <w:rPr>
                <w:rFonts w:hint="eastAsia" w:cs="黑体" w:asciiTheme="minorEastAsia" w:hAnsiTheme="minorEastAsia" w:eastAsiaTheme="minorEastAsia"/>
                <w:b/>
                <w:sz w:val="22"/>
                <w:szCs w:val="22"/>
                <w:highlight w:val="none"/>
                <w:lang w:bidi="ar"/>
              </w:rPr>
              <w:t>评分标准</w:t>
            </w:r>
          </w:p>
        </w:tc>
        <w:tc>
          <w:tcPr>
            <w:tcW w:w="26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黑体" w:asciiTheme="minorEastAsia" w:hAnsiTheme="minorEastAsia" w:eastAsiaTheme="minorEastAsia"/>
                <w:b/>
                <w:sz w:val="22"/>
                <w:szCs w:val="22"/>
                <w:highlight w:val="none"/>
              </w:rPr>
            </w:pPr>
            <w:r>
              <w:rPr>
                <w:rFonts w:hint="eastAsia" w:cs="黑体" w:asciiTheme="minorEastAsia" w:hAnsiTheme="minorEastAsia" w:eastAsiaTheme="minorEastAsia"/>
                <w:b/>
                <w:sz w:val="22"/>
                <w:szCs w:val="22"/>
                <w:highlight w:val="none"/>
                <w:lang w:bidi="ar"/>
              </w:rPr>
              <w:t>扣分</w:t>
            </w:r>
          </w:p>
        </w:tc>
        <w:tc>
          <w:tcPr>
            <w:tcW w:w="281" w:type="pct"/>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黑体" w:asciiTheme="minorEastAsia" w:hAnsiTheme="minorEastAsia" w:eastAsiaTheme="minorEastAsia"/>
                <w:b/>
                <w:sz w:val="22"/>
                <w:szCs w:val="22"/>
                <w:highlight w:val="none"/>
              </w:rPr>
            </w:pPr>
            <w:r>
              <w:rPr>
                <w:rFonts w:hint="eastAsia" w:cs="黑体" w:asciiTheme="minorEastAsia" w:hAnsiTheme="minorEastAsia" w:eastAsiaTheme="minorEastAsia"/>
                <w:b/>
                <w:sz w:val="22"/>
                <w:szCs w:val="22"/>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人员</w:t>
            </w:r>
            <w:r>
              <w:rPr>
                <w:rFonts w:cs="仿宋_GB2312" w:asciiTheme="minorEastAsia" w:hAnsiTheme="minorEastAsia" w:eastAsiaTheme="minorEastAsia"/>
                <w:b/>
                <w:sz w:val="22"/>
                <w:szCs w:val="22"/>
                <w:highlight w:val="none"/>
                <w:lang w:bidi="ar"/>
              </w:rPr>
              <w:br w:type="textWrapping"/>
            </w:r>
            <w:r>
              <w:rPr>
                <w:rFonts w:hint="eastAsia" w:cs="仿宋_GB2312" w:asciiTheme="minorEastAsia" w:hAnsiTheme="minorEastAsia" w:eastAsiaTheme="minorEastAsia"/>
                <w:b/>
                <w:sz w:val="22"/>
                <w:szCs w:val="22"/>
                <w:highlight w:val="none"/>
                <w:lang w:bidi="ar"/>
              </w:rPr>
              <w:t>管理</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考核</w:t>
            </w: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1、充电操作人员</w:t>
            </w:r>
            <w:r>
              <w:rPr>
                <w:rFonts w:hint="eastAsia" w:cs="仿宋_GB2312" w:asciiTheme="minorEastAsia" w:hAnsiTheme="minorEastAsia" w:eastAsiaTheme="minorEastAsia"/>
                <w:sz w:val="22"/>
                <w:szCs w:val="22"/>
                <w:highlight w:val="none"/>
                <w:lang w:bidi="ar"/>
              </w:rPr>
              <w:t>作人员在现场作业时须佩戴工作证。</w:t>
            </w:r>
          </w:p>
        </w:tc>
        <w:tc>
          <w:tcPr>
            <w:tcW w:w="248" w:type="pct"/>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cs="仿宋_GB2312" w:asciiTheme="minorEastAsia" w:hAnsiTheme="minorEastAsia" w:eastAsiaTheme="minorEastAsia"/>
                <w:b/>
                <w:sz w:val="22"/>
                <w:szCs w:val="22"/>
                <w:highlight w:val="none"/>
                <w:lang w:bidi="ar"/>
              </w:rPr>
              <w:t>20</w:t>
            </w: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充电工作人员在现场作业时不佩戴工作证者，每人扣</w:t>
            </w:r>
            <w:r>
              <w:rPr>
                <w:rFonts w:cs="仿宋_GB2312" w:asciiTheme="minorEastAsia" w:hAnsiTheme="minorEastAsia" w:eastAsiaTheme="minorEastAsia"/>
                <w:sz w:val="22"/>
                <w:szCs w:val="22"/>
                <w:highlight w:val="none"/>
                <w:lang w:bidi="ar"/>
              </w:rPr>
              <w:t>2</w:t>
            </w:r>
            <w:r>
              <w:rPr>
                <w:rFonts w:hint="eastAsia" w:cs="仿宋_GB2312" w:asciiTheme="minorEastAsia" w:hAnsiTheme="minorEastAsia" w:eastAsiaTheme="minorEastAsia"/>
                <w:sz w:val="22"/>
                <w:szCs w:val="22"/>
                <w:highlight w:val="none"/>
                <w:lang w:bidi="ar"/>
              </w:rPr>
              <w:t>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2、充电站所有工作人员在现场作业时须着装反光衣。</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充电站所有工作人员在现场作业时不着装反光衣者，每人次扣</w:t>
            </w:r>
            <w:r>
              <w:rPr>
                <w:rFonts w:cs="仿宋_GB2312" w:asciiTheme="minorEastAsia" w:hAnsiTheme="minorEastAsia" w:eastAsiaTheme="minorEastAsia"/>
                <w:sz w:val="22"/>
                <w:szCs w:val="22"/>
                <w:highlight w:val="none"/>
                <w:lang w:bidi="ar"/>
              </w:rPr>
              <w:t>3</w:t>
            </w:r>
            <w:r>
              <w:rPr>
                <w:rFonts w:hint="eastAsia" w:cs="仿宋_GB2312" w:asciiTheme="minorEastAsia" w:hAnsiTheme="minorEastAsia" w:eastAsiaTheme="minorEastAsia"/>
                <w:sz w:val="22"/>
                <w:szCs w:val="22"/>
                <w:highlight w:val="none"/>
                <w:lang w:bidi="ar"/>
              </w:rPr>
              <w:t>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3、维护充电场站卫生，严禁抽烟、大小便、乱扔垃圾等行为。</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充电作业区发现抽烟、大小便、乱扔垃圾等行为者，每人次扣</w:t>
            </w:r>
            <w:r>
              <w:rPr>
                <w:rFonts w:cs="仿宋_GB2312" w:asciiTheme="minorEastAsia" w:hAnsiTheme="minorEastAsia" w:eastAsiaTheme="minorEastAsia"/>
                <w:sz w:val="22"/>
                <w:szCs w:val="22"/>
                <w:highlight w:val="none"/>
                <w:lang w:bidi="ar"/>
              </w:rPr>
              <w:t>1分。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4、充电站作业人员应熟悉场站消防器材摆放位置。</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不知场站消防器材摆放位置者，每人次扣</w:t>
            </w:r>
            <w:r>
              <w:rPr>
                <w:rFonts w:cs="仿宋_GB2312" w:asciiTheme="minorEastAsia" w:hAnsiTheme="minorEastAsia" w:eastAsiaTheme="minorEastAsia"/>
                <w:sz w:val="22"/>
                <w:szCs w:val="22"/>
                <w:highlight w:val="none"/>
                <w:lang w:bidi="ar"/>
              </w:rPr>
              <w:t>3分。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5、摆渡员必须持有A1或A3驾照。</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摆渡员不具有</w:t>
            </w:r>
            <w:r>
              <w:rPr>
                <w:rFonts w:cs="仿宋_GB2312" w:asciiTheme="minorEastAsia" w:hAnsiTheme="minorEastAsia" w:eastAsiaTheme="minorEastAsia"/>
                <w:sz w:val="22"/>
                <w:szCs w:val="22"/>
                <w:highlight w:val="none"/>
                <w:lang w:bidi="ar"/>
              </w:rPr>
              <w:t>A1或A3驾照扣20分。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6、安全员或运行维护人员必须持有与岗位相符的证件。</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安全员或运行维护人员不具有岗位相符的证件扣</w:t>
            </w:r>
            <w:r>
              <w:rPr>
                <w:rFonts w:cs="仿宋_GB2312" w:asciiTheme="minorEastAsia" w:hAnsiTheme="minorEastAsia" w:eastAsiaTheme="minorEastAsia"/>
                <w:sz w:val="22"/>
                <w:szCs w:val="22"/>
                <w:highlight w:val="none"/>
                <w:lang w:bidi="ar"/>
              </w:rPr>
              <w:t>20分。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7、充电操作人员及摆渡员人员变更，需提前2日</w:t>
            </w:r>
            <w:r>
              <w:rPr>
                <w:rFonts w:hint="eastAsia" w:cs="仿宋_GB2312" w:asciiTheme="minorEastAsia" w:hAnsiTheme="minorEastAsia" w:eastAsiaTheme="minorEastAsia"/>
                <w:sz w:val="22"/>
                <w:szCs w:val="22"/>
                <w:highlight w:val="none"/>
                <w:lang w:bidi="ar"/>
              </w:rPr>
              <w:t>向服务单位报备。</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人员变更未向营运部报备，扣</w:t>
            </w:r>
            <w:r>
              <w:rPr>
                <w:rFonts w:cs="仿宋_GB2312" w:asciiTheme="minorEastAsia" w:hAnsiTheme="minorEastAsia" w:eastAsiaTheme="minorEastAsia"/>
                <w:sz w:val="22"/>
                <w:szCs w:val="22"/>
                <w:highlight w:val="none"/>
                <w:lang w:bidi="ar"/>
              </w:rPr>
              <w:t>2分/人次。</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业务</w:t>
            </w:r>
            <w:r>
              <w:rPr>
                <w:rFonts w:cs="仿宋_GB2312" w:asciiTheme="minorEastAsia" w:hAnsiTheme="minorEastAsia" w:eastAsiaTheme="minorEastAsia"/>
                <w:b/>
                <w:sz w:val="22"/>
                <w:szCs w:val="22"/>
                <w:highlight w:val="none"/>
                <w:lang w:bidi="ar"/>
              </w:rPr>
              <w:br w:type="textWrapping"/>
            </w:r>
            <w:r>
              <w:rPr>
                <w:rFonts w:hint="eastAsia" w:cs="仿宋_GB2312" w:asciiTheme="minorEastAsia" w:hAnsiTheme="minorEastAsia" w:eastAsiaTheme="minorEastAsia"/>
                <w:b/>
                <w:sz w:val="22"/>
                <w:szCs w:val="22"/>
                <w:highlight w:val="none"/>
                <w:lang w:bidi="ar"/>
              </w:rPr>
              <w:t>管理</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考核</w:t>
            </w: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1、充电站的运营管理需符合各级主管行政机关颁布的相关标准化指导性技术文件，建立完善的充电服务管理制度。</w:t>
            </w:r>
          </w:p>
        </w:tc>
        <w:tc>
          <w:tcPr>
            <w:tcW w:w="248" w:type="pct"/>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cs="仿宋_GB2312" w:asciiTheme="minorEastAsia" w:hAnsiTheme="minorEastAsia" w:eastAsiaTheme="minorEastAsia"/>
                <w:b/>
                <w:sz w:val="22"/>
                <w:szCs w:val="22"/>
                <w:highlight w:val="none"/>
                <w:lang w:bidi="ar"/>
              </w:rPr>
              <w:t>20</w:t>
            </w: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充电站未设置有安全管理组织，未建立安全管理制度，充电操作规范，每项扣</w:t>
            </w:r>
            <w:r>
              <w:rPr>
                <w:rFonts w:cs="仿宋_GB2312" w:asciiTheme="minorEastAsia" w:hAnsiTheme="minorEastAsia" w:eastAsiaTheme="minorEastAsia"/>
                <w:sz w:val="22"/>
                <w:szCs w:val="22"/>
                <w:highlight w:val="none"/>
                <w:lang w:bidi="ar"/>
              </w:rPr>
              <w:t>5分。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2、提供的充电设施应符合国家、省、市相关行业标准。</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充电设施若不符合国家、省、市相关行业标准，每站场扣</w:t>
            </w:r>
            <w:r>
              <w:rPr>
                <w:rFonts w:cs="仿宋_GB2312" w:asciiTheme="minorEastAsia" w:hAnsiTheme="minorEastAsia" w:eastAsiaTheme="minorEastAsia"/>
                <w:sz w:val="22"/>
                <w:szCs w:val="22"/>
                <w:highlight w:val="none"/>
                <w:lang w:bidi="ar"/>
              </w:rPr>
              <w:t>10分。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3、确保充电服务规范。</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充电服务过程违规操作和充电设备因素造成车辆损坏或故障，无法营运，每次扣</w:t>
            </w:r>
            <w:r>
              <w:rPr>
                <w:rFonts w:cs="仿宋_GB2312" w:asciiTheme="minorEastAsia" w:hAnsiTheme="minorEastAsia" w:eastAsiaTheme="minorEastAsia"/>
                <w:sz w:val="22"/>
                <w:szCs w:val="22"/>
                <w:highlight w:val="none"/>
                <w:lang w:bidi="ar"/>
              </w:rPr>
              <w:t>10分。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4、应建立运行值班制度，包括日常巡检、</w:t>
            </w:r>
            <w:r>
              <w:rPr>
                <w:rFonts w:hint="eastAsia" w:cs="仿宋_GB2312" w:asciiTheme="minorEastAsia" w:hAnsiTheme="minorEastAsia" w:eastAsiaTheme="minorEastAsia"/>
                <w:sz w:val="22"/>
                <w:szCs w:val="22"/>
                <w:highlight w:val="none"/>
                <w:lang w:bidi="ar"/>
              </w:rPr>
              <w:t>交接班、值班日志等。要贯彻落实安全工作的相关规定及要求，组织开展充电桩安全实施工作，落实各级人员的应急职贵。</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无值班制度或值班记录，发现一次扣</w:t>
            </w:r>
            <w:r>
              <w:rPr>
                <w:rFonts w:cs="仿宋_GB2312" w:asciiTheme="minorEastAsia" w:hAnsiTheme="minorEastAsia" w:eastAsiaTheme="minorEastAsia"/>
                <w:sz w:val="22"/>
                <w:szCs w:val="22"/>
                <w:highlight w:val="none"/>
                <w:lang w:bidi="ar"/>
              </w:rPr>
              <w:t>2分。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5、充电完毕后，及时将车辆停放在规定位置，关闭总电源、车门、车窗等。</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充电完毕后，无按要求将车辆停放在规定位置，无关闭总电源和车门，扣</w:t>
            </w:r>
            <w:r>
              <w:rPr>
                <w:rFonts w:cs="仿宋_GB2312" w:asciiTheme="minorEastAsia" w:hAnsiTheme="minorEastAsia" w:eastAsiaTheme="minorEastAsia"/>
                <w:sz w:val="22"/>
                <w:szCs w:val="22"/>
                <w:highlight w:val="none"/>
                <w:lang w:bidi="ar"/>
              </w:rPr>
              <w:t>2分/次。</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6、夜间停场需要充电的车辆必须保证充电满负荷，确保第二天可以正常营运。</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车辆发生漏充情况，影响第二天营运，扣</w:t>
            </w:r>
            <w:r>
              <w:rPr>
                <w:rFonts w:cs="仿宋_GB2312" w:asciiTheme="minorEastAsia" w:hAnsiTheme="minorEastAsia" w:eastAsiaTheme="minorEastAsia"/>
                <w:sz w:val="22"/>
                <w:szCs w:val="22"/>
                <w:highlight w:val="none"/>
                <w:lang w:bidi="ar"/>
              </w:rPr>
              <w:t>5分/辆。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7、应设置应急组织，建立突发事件应急预案，包括火灾、车辆故障、电池破损燃烧爆炸、供电系统故障、人员触电、设备故障、停电和断网等。</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充电站未设置应急组织，无建立突发事件应急预案的，扣</w:t>
            </w:r>
            <w:r>
              <w:rPr>
                <w:rFonts w:cs="仿宋_GB2312" w:asciiTheme="minorEastAsia" w:hAnsiTheme="minorEastAsia" w:eastAsiaTheme="minorEastAsia"/>
                <w:sz w:val="22"/>
                <w:szCs w:val="22"/>
                <w:highlight w:val="none"/>
                <w:lang w:bidi="ar"/>
              </w:rPr>
              <w:t>5分。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8、应按照安全生产法的规定，对所属从业人员进行安全生产教育和培训，保证从业人员具备必要的安全生产知识，不断提高安全生产意识、安全操作技能和遵章守纪自觉性。</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充电站工作人员必须每月进行一次安全教育培训，未进行扣</w:t>
            </w:r>
            <w:r>
              <w:rPr>
                <w:rFonts w:cs="仿宋_GB2312" w:asciiTheme="minorEastAsia" w:hAnsiTheme="minorEastAsia" w:eastAsiaTheme="minorEastAsia"/>
                <w:sz w:val="22"/>
                <w:szCs w:val="22"/>
                <w:highlight w:val="none"/>
                <w:lang w:bidi="ar"/>
              </w:rPr>
              <w:t>5分。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left"/>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left"/>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9、定期组织进行消防培训和应急演练，全体作业人员应掌握消防知识，熟知消防器材的位置、性能和使用方法。</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充电站每半年必须进行一次应急演练，未进行演练扣</w:t>
            </w:r>
            <w:r>
              <w:rPr>
                <w:rFonts w:cs="仿宋_GB2312" w:asciiTheme="minorEastAsia" w:hAnsiTheme="minorEastAsia" w:eastAsiaTheme="minorEastAsia"/>
                <w:sz w:val="22"/>
                <w:szCs w:val="22"/>
                <w:highlight w:val="none"/>
                <w:lang w:bidi="ar"/>
              </w:rPr>
              <w:t>10分。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left"/>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left"/>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10、应配置符合规范要求的消防设备，并定期进行消防安全检查，消防设施和监控器材应由专人定期进行维护与保养，灭火和监控系统应处于完好状态。</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消防器材不合格的，扣</w:t>
            </w:r>
            <w:r>
              <w:rPr>
                <w:rFonts w:cs="仿宋_GB2312" w:asciiTheme="minorEastAsia" w:hAnsiTheme="minorEastAsia" w:eastAsiaTheme="minorEastAsia"/>
                <w:sz w:val="22"/>
                <w:szCs w:val="22"/>
                <w:highlight w:val="none"/>
                <w:lang w:bidi="ar"/>
              </w:rPr>
              <w:t>5分。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服务</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质量</w:t>
            </w:r>
            <w:r>
              <w:rPr>
                <w:rFonts w:cs="仿宋_GB2312" w:asciiTheme="minorEastAsia" w:hAnsiTheme="minorEastAsia" w:eastAsiaTheme="minorEastAsia"/>
                <w:b/>
                <w:sz w:val="22"/>
                <w:szCs w:val="22"/>
                <w:highlight w:val="none"/>
                <w:lang w:bidi="ar"/>
              </w:rPr>
              <w:br w:type="textWrapping"/>
            </w:r>
            <w:r>
              <w:rPr>
                <w:rFonts w:hint="eastAsia" w:cs="仿宋_GB2312" w:asciiTheme="minorEastAsia" w:hAnsiTheme="minorEastAsia" w:eastAsiaTheme="minorEastAsia"/>
                <w:b/>
                <w:sz w:val="22"/>
                <w:szCs w:val="22"/>
                <w:highlight w:val="none"/>
                <w:lang w:bidi="ar"/>
              </w:rPr>
              <w:t>考核</w:t>
            </w: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1、根据营运车辆，配备足够的服务、技术、安全、管理等人员。</w:t>
            </w:r>
          </w:p>
        </w:tc>
        <w:tc>
          <w:tcPr>
            <w:tcW w:w="248" w:type="pct"/>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cs="仿宋_GB2312" w:asciiTheme="minorEastAsia" w:hAnsiTheme="minorEastAsia" w:eastAsiaTheme="minorEastAsia"/>
                <w:b/>
                <w:sz w:val="22"/>
                <w:szCs w:val="22"/>
                <w:highlight w:val="none"/>
                <w:lang w:bidi="ar"/>
              </w:rPr>
              <w:t>30</w:t>
            </w: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缺岗扣</w:t>
            </w:r>
            <w:r>
              <w:rPr>
                <w:rFonts w:cs="仿宋_GB2312" w:asciiTheme="minorEastAsia" w:hAnsiTheme="minorEastAsia" w:eastAsiaTheme="minorEastAsia"/>
                <w:sz w:val="22"/>
                <w:szCs w:val="22"/>
                <w:highlight w:val="none"/>
                <w:lang w:bidi="ar"/>
              </w:rPr>
              <w:t>5分/人次，空岗扣10分/人次。</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2、充电操作人员、摆渡员举止文明、礼貌大方、服务热情、仪表整洁，并依法、依约配合、服从服务单位的现场管理、服务需要。</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充电操作人员、摆渡员不服从服务单位正当的管理、服务要求，扣</w:t>
            </w:r>
            <w:r>
              <w:rPr>
                <w:rFonts w:cs="仿宋_GB2312" w:asciiTheme="minorEastAsia" w:hAnsiTheme="minorEastAsia" w:eastAsiaTheme="minorEastAsia"/>
                <w:sz w:val="22"/>
                <w:szCs w:val="22"/>
                <w:highlight w:val="none"/>
                <w:lang w:bidi="ar"/>
              </w:rPr>
              <w:t>10分；车长投诉服务态度差，属实，扣10分/次；发生斗殴，扣30分。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3、</w:t>
            </w:r>
            <w:r>
              <w:rPr>
                <w:rFonts w:hint="eastAsia" w:cs="仿宋_GB2312" w:asciiTheme="minorEastAsia" w:hAnsiTheme="minorEastAsia" w:eastAsiaTheme="minorEastAsia"/>
                <w:sz w:val="22"/>
                <w:szCs w:val="22"/>
                <w:highlight w:val="none"/>
                <w:lang w:bidi="ar"/>
              </w:rPr>
              <w:t>未经允许，禁止无关人员携带易燃易爆等危险物品进入充电区域。</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发现一次扣</w:t>
            </w:r>
            <w:r>
              <w:rPr>
                <w:rFonts w:cs="仿宋_GB2312" w:asciiTheme="minorEastAsia" w:hAnsiTheme="minorEastAsia" w:eastAsiaTheme="minorEastAsia"/>
                <w:sz w:val="22"/>
                <w:szCs w:val="22"/>
                <w:highlight w:val="none"/>
                <w:lang w:bidi="ar"/>
              </w:rPr>
              <w:t>30分。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4、落实防火、防盗、防爆炸、防雷等措施，发现服务区域内的消防、安全隐患，立即报告服务单位和有关部门，并做好处置工作。</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发现未落实防火、防盗、防爆炸、防雷等措施，扣</w:t>
            </w:r>
            <w:r>
              <w:rPr>
                <w:rFonts w:cs="仿宋_GB2312" w:asciiTheme="minorEastAsia" w:hAnsiTheme="minorEastAsia" w:eastAsiaTheme="minorEastAsia"/>
                <w:sz w:val="22"/>
                <w:szCs w:val="22"/>
                <w:highlight w:val="none"/>
                <w:lang w:bidi="ar"/>
              </w:rPr>
              <w:t>5分；发现服务区域内的消防、安全隐患，未立即报告服务单位和有关部门的，扣10分。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5、当班管理人员应对作业现场进行监督，发现违章行为和其他不安全因素，应及时制止并向上级反映情况。</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发现违章行为和其他不安全因素，未及时制止并向上级反映情况，扣</w:t>
            </w:r>
            <w:r>
              <w:rPr>
                <w:rFonts w:cs="仿宋_GB2312" w:asciiTheme="minorEastAsia" w:hAnsiTheme="minorEastAsia" w:eastAsiaTheme="minorEastAsia"/>
                <w:sz w:val="22"/>
                <w:szCs w:val="22"/>
                <w:highlight w:val="none"/>
                <w:lang w:bidi="ar"/>
              </w:rPr>
              <w:t>5分。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6、应设置安全管理组织机构，并配备专职或兼职的安全员，要建立安全管理制度和应急预案，建立安全应急保障体系。负责制作、修订充电</w:t>
            </w:r>
            <w:r>
              <w:rPr>
                <w:rFonts w:hint="eastAsia" w:cs="仿宋_GB2312" w:asciiTheme="minorEastAsia" w:hAnsiTheme="minorEastAsia" w:eastAsiaTheme="minorEastAsia"/>
                <w:sz w:val="22"/>
                <w:szCs w:val="22"/>
                <w:highlight w:val="none"/>
                <w:lang w:bidi="ar"/>
              </w:rPr>
              <w:t>桩安全工作指导书，负责指导、监督、评估充电桩安全管理工作。</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未配备专职或兼职的安全员，扣</w:t>
            </w:r>
            <w:r>
              <w:rPr>
                <w:rFonts w:cs="仿宋_GB2312" w:asciiTheme="minorEastAsia" w:hAnsiTheme="minorEastAsia" w:eastAsiaTheme="minorEastAsia"/>
                <w:sz w:val="22"/>
                <w:szCs w:val="22"/>
                <w:highlight w:val="none"/>
                <w:lang w:bidi="ar"/>
              </w:rPr>
              <w:t>5分；安全应急保障体系不完善，充电桩安全管理工作不到位，扣10分。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lang w:bidi="ar"/>
              </w:rPr>
            </w:pPr>
            <w:r>
              <w:rPr>
                <w:rFonts w:cs="仿宋_GB2312" w:asciiTheme="minorEastAsia" w:hAnsiTheme="minorEastAsia" w:eastAsiaTheme="minorEastAsia"/>
                <w:sz w:val="22"/>
                <w:szCs w:val="22"/>
                <w:highlight w:val="none"/>
                <w:lang w:bidi="ar"/>
              </w:rPr>
              <w:t>7、充电操作人员应及时填写纸质充电</w:t>
            </w:r>
            <w:r>
              <w:rPr>
                <w:rFonts w:hint="eastAsia" w:cs="仿宋_GB2312" w:asciiTheme="minorEastAsia" w:hAnsiTheme="minorEastAsia" w:eastAsiaTheme="minorEastAsia"/>
                <w:sz w:val="22"/>
                <w:szCs w:val="22"/>
                <w:highlight w:val="none"/>
                <w:lang w:bidi="ar"/>
              </w:rPr>
              <w:t>数据</w:t>
            </w:r>
            <w:r>
              <w:rPr>
                <w:rFonts w:cs="仿宋_GB2312" w:asciiTheme="minorEastAsia" w:hAnsiTheme="minorEastAsia" w:eastAsiaTheme="minorEastAsia"/>
                <w:sz w:val="22"/>
                <w:szCs w:val="22"/>
                <w:highlight w:val="none"/>
                <w:lang w:bidi="ar"/>
              </w:rPr>
              <w:t>登记表。</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lang w:bidi="ar"/>
              </w:rPr>
            </w:pPr>
            <w:r>
              <w:rPr>
                <w:rFonts w:hint="eastAsia" w:cs="仿宋_GB2312" w:asciiTheme="minorEastAsia" w:hAnsiTheme="minorEastAsia" w:eastAsiaTheme="minorEastAsia"/>
                <w:sz w:val="22"/>
                <w:szCs w:val="22"/>
                <w:highlight w:val="none"/>
                <w:lang w:bidi="ar"/>
              </w:rPr>
              <w:t>每</w:t>
            </w:r>
            <w:r>
              <w:rPr>
                <w:rFonts w:cs="仿宋_GB2312" w:asciiTheme="minorEastAsia" w:hAnsiTheme="minorEastAsia" w:eastAsiaTheme="minorEastAsia"/>
                <w:sz w:val="22"/>
                <w:szCs w:val="22"/>
                <w:highlight w:val="none"/>
                <w:lang w:bidi="ar"/>
              </w:rPr>
              <w:t>发现一条数据未登记，扣1分。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安全</w:t>
            </w:r>
            <w:r>
              <w:rPr>
                <w:rFonts w:cs="仿宋_GB2312" w:asciiTheme="minorEastAsia" w:hAnsiTheme="minorEastAsia" w:eastAsiaTheme="minorEastAsia"/>
                <w:b/>
                <w:sz w:val="22"/>
                <w:szCs w:val="22"/>
                <w:highlight w:val="none"/>
                <w:lang w:bidi="ar"/>
              </w:rPr>
              <w:br w:type="textWrapping"/>
            </w:r>
            <w:r>
              <w:rPr>
                <w:rFonts w:hint="eastAsia" w:cs="仿宋_GB2312" w:asciiTheme="minorEastAsia" w:hAnsiTheme="minorEastAsia" w:eastAsiaTheme="minorEastAsia"/>
                <w:b/>
                <w:sz w:val="22"/>
                <w:szCs w:val="22"/>
                <w:highlight w:val="none"/>
                <w:lang w:bidi="ar"/>
              </w:rPr>
              <w:t>责任</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考核</w:t>
            </w: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1、摆渡员在停车服务过程，应按规范进行。</w:t>
            </w:r>
          </w:p>
        </w:tc>
        <w:tc>
          <w:tcPr>
            <w:tcW w:w="248" w:type="pct"/>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cs="仿宋_GB2312" w:asciiTheme="minorEastAsia" w:hAnsiTheme="minorEastAsia" w:eastAsiaTheme="minorEastAsia"/>
                <w:b/>
                <w:sz w:val="22"/>
                <w:szCs w:val="22"/>
                <w:highlight w:val="none"/>
                <w:lang w:bidi="ar"/>
              </w:rPr>
              <w:t>30</w:t>
            </w: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摆渡员在停车服务过程中出现事故的，扣</w:t>
            </w:r>
            <w:r>
              <w:rPr>
                <w:rFonts w:cs="仿宋_GB2312" w:asciiTheme="minorEastAsia" w:hAnsiTheme="minorEastAsia" w:eastAsiaTheme="minorEastAsia"/>
                <w:sz w:val="22"/>
                <w:szCs w:val="22"/>
                <w:highlight w:val="none"/>
                <w:lang w:bidi="ar"/>
              </w:rPr>
              <w:t>10分/宗；发生事故不报、迟报、瞒报的，扣20分；引致伤亡的另外追究责任。</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2、</w:t>
            </w:r>
            <w:r>
              <w:rPr>
                <w:rFonts w:hint="eastAsia" w:cs="仿宋_GB2312" w:asciiTheme="minorEastAsia" w:hAnsiTheme="minorEastAsia" w:eastAsiaTheme="minorEastAsia"/>
                <w:sz w:val="22"/>
                <w:szCs w:val="22"/>
                <w:highlight w:val="none"/>
                <w:lang w:bidi="ar"/>
              </w:rPr>
              <w:t>未经同意，私自使用服务单位场站充电设施对外充电。</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发现一次，扣</w:t>
            </w:r>
            <w:r>
              <w:rPr>
                <w:rFonts w:cs="仿宋_GB2312" w:asciiTheme="minorEastAsia" w:hAnsiTheme="minorEastAsia" w:eastAsiaTheme="minorEastAsia"/>
                <w:sz w:val="22"/>
                <w:szCs w:val="22"/>
                <w:highlight w:val="none"/>
                <w:lang w:bidi="ar"/>
              </w:rPr>
              <w:t>5分</w:t>
            </w:r>
            <w:r>
              <w:rPr>
                <w:rFonts w:hint="eastAsia" w:cs="仿宋_GB2312" w:asciiTheme="minorEastAsia" w:hAnsiTheme="minorEastAsia" w:eastAsiaTheme="minorEastAsia"/>
                <w:sz w:val="22"/>
                <w:szCs w:val="22"/>
                <w:highlight w:val="none"/>
                <w:lang w:bidi="ar"/>
              </w:rPr>
              <w:t>。</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left"/>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left"/>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3、每月对充电</w:t>
            </w:r>
            <w:r>
              <w:rPr>
                <w:rFonts w:hint="eastAsia" w:cs="仿宋_GB2312" w:asciiTheme="minorEastAsia" w:hAnsiTheme="minorEastAsia" w:eastAsiaTheme="minorEastAsia"/>
                <w:sz w:val="22"/>
                <w:szCs w:val="22"/>
                <w:highlight w:val="none"/>
                <w:lang w:bidi="ar"/>
              </w:rPr>
              <w:t>桩进行一次全面安全检查与保养，并应根据季节特点和重大节日对充电桩进行专项检查。</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每月提供安全检查与保养记录表，无提供扣</w:t>
            </w:r>
            <w:r>
              <w:rPr>
                <w:rFonts w:cs="仿宋_GB2312" w:asciiTheme="minorEastAsia" w:hAnsiTheme="minorEastAsia" w:eastAsiaTheme="minorEastAsia"/>
                <w:sz w:val="22"/>
                <w:szCs w:val="22"/>
                <w:highlight w:val="none"/>
                <w:lang w:bidi="ar"/>
              </w:rPr>
              <w:t>5分。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left"/>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left"/>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cs="仿宋_GB2312" w:asciiTheme="minorEastAsia" w:hAnsiTheme="minorEastAsia" w:eastAsiaTheme="minorEastAsia"/>
                <w:sz w:val="22"/>
                <w:szCs w:val="22"/>
                <w:highlight w:val="none"/>
                <w:lang w:bidi="ar"/>
              </w:rPr>
              <w:t>4、充电设备应按规范设置安全危险及相关警示标识，例如安全警告标识、消防安全标志等。</w:t>
            </w:r>
          </w:p>
        </w:tc>
        <w:tc>
          <w:tcPr>
            <w:tcW w:w="24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textAlignment w:val="center"/>
              <w:rPr>
                <w:rFonts w:cs="仿宋_GB2312" w:asciiTheme="minorEastAsia" w:hAnsiTheme="minorEastAsia" w:eastAsiaTheme="minorEastAsia"/>
                <w:sz w:val="22"/>
                <w:szCs w:val="22"/>
                <w:highlight w:val="none"/>
              </w:rPr>
            </w:pPr>
            <w:r>
              <w:rPr>
                <w:rFonts w:hint="eastAsia" w:cs="仿宋_GB2312" w:asciiTheme="minorEastAsia" w:hAnsiTheme="minorEastAsia" w:eastAsiaTheme="minorEastAsia"/>
                <w:sz w:val="22"/>
                <w:szCs w:val="22"/>
                <w:highlight w:val="none"/>
                <w:lang w:bidi="ar"/>
              </w:rPr>
              <w:t>缺乏相关标识，扣</w:t>
            </w:r>
            <w:r>
              <w:rPr>
                <w:rFonts w:cs="仿宋_GB2312" w:asciiTheme="minorEastAsia" w:hAnsiTheme="minorEastAsia" w:eastAsiaTheme="minorEastAsia"/>
                <w:sz w:val="22"/>
                <w:szCs w:val="22"/>
                <w:highlight w:val="none"/>
                <w:lang w:bidi="ar"/>
              </w:rPr>
              <w:t>2分。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left"/>
              <w:rPr>
                <w:rFonts w:cs="仿宋_GB2312" w:asciiTheme="minorEastAsia" w:hAnsiTheme="minorEastAsia" w:eastAsiaTheme="minorEastAsia"/>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left"/>
              <w:rPr>
                <w:rFonts w:cs="仿宋_GB2312" w:asciiTheme="minorEastAsia" w:hAnsiTheme="minorEastAsia" w:eastAsia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lang w:bidi="ar"/>
              </w:rPr>
            </w:pPr>
          </w:p>
        </w:tc>
        <w:tc>
          <w:tcPr>
            <w:tcW w:w="207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lang w:bidi="ar"/>
              </w:rPr>
            </w:pPr>
            <w:r>
              <w:rPr>
                <w:rFonts w:cs="仿宋_GB2312" w:asciiTheme="minorEastAsia" w:hAnsiTheme="minorEastAsia" w:eastAsiaTheme="minorEastAsia"/>
                <w:b/>
                <w:sz w:val="22"/>
                <w:szCs w:val="22"/>
                <w:highlight w:val="none"/>
                <w:lang w:bidi="ar"/>
              </w:rPr>
              <w:t>5、</w:t>
            </w:r>
            <w:r>
              <w:rPr>
                <w:rFonts w:hint="eastAsia" w:cs="仿宋_GB2312" w:asciiTheme="minorEastAsia" w:hAnsiTheme="minorEastAsia" w:eastAsiaTheme="minorEastAsia"/>
                <w:sz w:val="22"/>
                <w:szCs w:val="22"/>
                <w:highlight w:val="none"/>
              </w:rPr>
              <w:t>充电站内发生有责事故扣分原则。</w:t>
            </w:r>
          </w:p>
        </w:tc>
        <w:tc>
          <w:tcPr>
            <w:tcW w:w="24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lang w:bidi="ar"/>
              </w:rPr>
            </w:pPr>
          </w:p>
        </w:tc>
        <w:tc>
          <w:tcPr>
            <w:tcW w:w="1854" w:type="pct"/>
            <w:shd w:val="clear" w:color="auto" w:fill="auto"/>
            <w:tcMar>
              <w:top w:w="15" w:type="dxa"/>
              <w:left w:w="15" w:type="dxa"/>
              <w:right w:w="15" w:type="dxa"/>
            </w:tcMar>
            <w:vAlign w:val="center"/>
          </w:tcPr>
          <w:p>
            <w:pPr>
              <w:pStyle w:val="189"/>
              <w:keepNext w:val="0"/>
              <w:keepLines w:val="0"/>
              <w:pageBreakBefore w:val="0"/>
              <w:widowControl/>
              <w:kinsoku/>
              <w:wordWrap/>
              <w:overflowPunct/>
              <w:topLinePunct w:val="0"/>
              <w:autoSpaceDE/>
              <w:autoSpaceDN/>
              <w:bidi w:val="0"/>
              <w:adjustRightInd/>
              <w:snapToGrid w:val="0"/>
              <w:spacing w:line="238" w:lineRule="auto"/>
              <w:ind w:firstLine="440"/>
              <w:jc w:val="center"/>
              <w:textAlignment w:val="center"/>
              <w:rPr>
                <w:rFonts w:cs="仿宋_GB2312" w:asciiTheme="minorEastAsia" w:hAnsiTheme="minorEastAsia" w:eastAsiaTheme="minorEastAsia"/>
                <w:b/>
                <w:sz w:val="22"/>
                <w:szCs w:val="22"/>
                <w:highlight w:val="none"/>
                <w:lang w:bidi="ar"/>
              </w:rPr>
            </w:pPr>
            <w:r>
              <w:rPr>
                <w:rFonts w:hint="eastAsia" w:cs="仿宋_GB2312" w:asciiTheme="minorEastAsia" w:hAnsiTheme="minorEastAsia" w:eastAsiaTheme="minorEastAsia"/>
                <w:sz w:val="22"/>
                <w:szCs w:val="22"/>
                <w:highlight w:val="none"/>
              </w:rPr>
              <w:t>充电站内发生有责亡人事故，每次扣</w:t>
            </w:r>
            <w:r>
              <w:rPr>
                <w:rFonts w:cs="仿宋_GB2312" w:asciiTheme="minorEastAsia" w:hAnsiTheme="minorEastAsia" w:eastAsiaTheme="minorEastAsia"/>
                <w:sz w:val="22"/>
                <w:szCs w:val="22"/>
                <w:highlight w:val="none"/>
              </w:rPr>
              <w:t>30分；充电站内发生有责伤人事故，每次扣20分；充电站内发生有责事故，责任车损</w:t>
            </w:r>
            <w:r>
              <w:rPr>
                <w:rFonts w:hint="eastAsia" w:cs="微软雅黑" w:asciiTheme="minorEastAsia" w:hAnsiTheme="minorEastAsia" w:eastAsiaTheme="minorEastAsia"/>
                <w:sz w:val="22"/>
                <w:szCs w:val="22"/>
                <w:highlight w:val="none"/>
              </w:rPr>
              <w:t>≥</w:t>
            </w:r>
            <w:r>
              <w:rPr>
                <w:rFonts w:cs="仿宋_GB2312" w:asciiTheme="minorEastAsia" w:hAnsiTheme="minorEastAsia" w:eastAsiaTheme="minorEastAsia"/>
                <w:sz w:val="22"/>
                <w:szCs w:val="22"/>
                <w:highlight w:val="none"/>
              </w:rPr>
              <w:t>5000元，每次扣10分；充电站内发生有责事故，1000元</w:t>
            </w:r>
            <w:r>
              <w:rPr>
                <w:rFonts w:hint="eastAsia" w:cs="微软雅黑" w:asciiTheme="minorEastAsia" w:hAnsiTheme="minorEastAsia" w:eastAsiaTheme="minorEastAsia"/>
                <w:sz w:val="22"/>
                <w:szCs w:val="22"/>
                <w:highlight w:val="none"/>
              </w:rPr>
              <w:t>≤</w:t>
            </w:r>
            <w:r>
              <w:rPr>
                <w:rFonts w:hint="eastAsia" w:cs="仿宋_GB2312" w:asciiTheme="minorEastAsia" w:hAnsiTheme="minorEastAsia" w:eastAsiaTheme="minorEastAsia"/>
                <w:sz w:val="22"/>
                <w:szCs w:val="22"/>
                <w:highlight w:val="none"/>
              </w:rPr>
              <w:t>责任车损</w:t>
            </w:r>
            <w:r>
              <w:rPr>
                <w:rFonts w:cs="仿宋_GB2312" w:asciiTheme="minorEastAsia" w:hAnsiTheme="minorEastAsia" w:eastAsiaTheme="minorEastAsia"/>
                <w:sz w:val="22"/>
                <w:szCs w:val="22"/>
                <w:highlight w:val="none"/>
              </w:rPr>
              <w:t>&lt;5000元，每次扣8分；充电站内发生有责事故，造成公交公司车辆需停班维修，每次扣5分。</w:t>
            </w:r>
          </w:p>
        </w:tc>
        <w:tc>
          <w:tcPr>
            <w:tcW w:w="264" w:type="pc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47" w:type="pct"/>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合</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计</w:t>
            </w:r>
          </w:p>
        </w:tc>
        <w:tc>
          <w:tcPr>
            <w:tcW w:w="24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cs="仿宋_GB2312" w:asciiTheme="minorEastAsia" w:hAnsiTheme="minorEastAsia" w:eastAsiaTheme="minorEastAsia"/>
                <w:b/>
                <w:sz w:val="22"/>
                <w:szCs w:val="22"/>
                <w:highlight w:val="none"/>
                <w:lang w:bidi="ar"/>
              </w:rPr>
              <w:t>100</w:t>
            </w:r>
          </w:p>
        </w:tc>
        <w:tc>
          <w:tcPr>
            <w:tcW w:w="185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w:t>
            </w:r>
          </w:p>
        </w:tc>
        <w:tc>
          <w:tcPr>
            <w:tcW w:w="268"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81" w:type="pct"/>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总体</w:t>
            </w:r>
            <w:r>
              <w:rPr>
                <w:rFonts w:cs="仿宋_GB2312" w:asciiTheme="minorEastAsia" w:hAnsiTheme="minorEastAsia" w:eastAsiaTheme="minorEastAsia"/>
                <w:b/>
                <w:sz w:val="22"/>
                <w:szCs w:val="22"/>
                <w:highlight w:val="none"/>
                <w:lang w:bidi="ar"/>
              </w:rPr>
              <w:br w:type="textWrapping"/>
            </w:r>
            <w:r>
              <w:rPr>
                <w:rFonts w:hint="eastAsia" w:cs="仿宋_GB2312" w:asciiTheme="minorEastAsia" w:hAnsiTheme="minorEastAsia" w:eastAsiaTheme="minorEastAsia"/>
                <w:b/>
                <w:sz w:val="22"/>
                <w:szCs w:val="22"/>
                <w:highlight w:val="none"/>
                <w:lang w:bidi="ar"/>
              </w:rPr>
              <w:t>评价</w:t>
            </w:r>
          </w:p>
        </w:tc>
        <w:tc>
          <w:tcPr>
            <w:tcW w:w="2078" w:type="pct"/>
            <w:vMerge w:val="restar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left"/>
              <w:rPr>
                <w:rFonts w:cs="仿宋_GB2312" w:asciiTheme="minorEastAsia" w:hAnsiTheme="minorEastAsia" w:eastAsiaTheme="minorEastAsia"/>
                <w:sz w:val="22"/>
                <w:szCs w:val="22"/>
                <w:highlight w:val="none"/>
              </w:rPr>
            </w:pPr>
          </w:p>
        </w:tc>
        <w:tc>
          <w:tcPr>
            <w:tcW w:w="24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考评</w:t>
            </w:r>
          </w:p>
        </w:tc>
        <w:tc>
          <w:tcPr>
            <w:tcW w:w="1854" w:type="pct"/>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考</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核</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得</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分</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合</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计</w:t>
            </w:r>
          </w:p>
        </w:tc>
        <w:tc>
          <w:tcPr>
            <w:tcW w:w="545" w:type="pct"/>
            <w:gridSpan w:val="3"/>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 w:type="pct"/>
          <w:trHeight w:val="23" w:hRule="atLeast"/>
          <w:jc w:val="center"/>
        </w:trPr>
        <w:tc>
          <w:tcPr>
            <w:tcW w:w="269"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center"/>
              <w:rPr>
                <w:rFonts w:cs="仿宋_GB2312" w:asciiTheme="minorEastAsia" w:hAnsiTheme="minorEastAsia" w:eastAsiaTheme="minorEastAsia"/>
                <w:b/>
                <w:sz w:val="22"/>
                <w:szCs w:val="22"/>
                <w:highlight w:val="none"/>
              </w:rPr>
            </w:pPr>
          </w:p>
        </w:tc>
        <w:tc>
          <w:tcPr>
            <w:tcW w:w="2078" w:type="pct"/>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38" w:lineRule="auto"/>
              <w:jc w:val="left"/>
              <w:rPr>
                <w:rFonts w:cs="仿宋_GB2312" w:asciiTheme="minorEastAsia" w:hAnsiTheme="minorEastAsia" w:eastAsiaTheme="minorEastAsia"/>
                <w:sz w:val="22"/>
                <w:szCs w:val="22"/>
                <w:highlight w:val="none"/>
              </w:rPr>
            </w:pPr>
          </w:p>
        </w:tc>
        <w:tc>
          <w:tcPr>
            <w:tcW w:w="248"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签名</w:t>
            </w:r>
          </w:p>
        </w:tc>
        <w:tc>
          <w:tcPr>
            <w:tcW w:w="2399" w:type="pct"/>
            <w:gridSpan w:val="4"/>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left"/>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考评人：</w:t>
            </w:r>
            <w:r>
              <w:rPr>
                <w:rFonts w:cs="仿宋_GB2312" w:asciiTheme="minorEastAsia" w:hAnsiTheme="minorEastAsia" w:eastAsiaTheme="minorEastAsia"/>
                <w:b/>
                <w:sz w:val="22"/>
                <w:szCs w:val="22"/>
                <w:highlight w:val="none"/>
                <w:lang w:bidi="ar"/>
              </w:rPr>
              <w:t xml:space="preserve">              </w:t>
            </w:r>
            <w:r>
              <w:rPr>
                <w:rFonts w:hint="eastAsia" w:cs="仿宋_GB2312" w:asciiTheme="minorEastAsia" w:hAnsiTheme="minorEastAsia" w:eastAsiaTheme="minorEastAsia"/>
                <w:b/>
                <w:sz w:val="22"/>
                <w:szCs w:val="22"/>
                <w:highlight w:val="none"/>
                <w:lang w:bidi="ar"/>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000" w:type="pct"/>
            <w:gridSpan w:val="8"/>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38" w:lineRule="auto"/>
              <w:jc w:val="center"/>
              <w:textAlignment w:val="center"/>
              <w:rPr>
                <w:rFonts w:cs="仿宋_GB2312" w:asciiTheme="minorEastAsia" w:hAnsiTheme="minorEastAsia" w:eastAsiaTheme="minorEastAsia"/>
                <w:b/>
                <w:sz w:val="22"/>
                <w:szCs w:val="22"/>
                <w:highlight w:val="none"/>
              </w:rPr>
            </w:pPr>
            <w:r>
              <w:rPr>
                <w:rFonts w:hint="eastAsia" w:cs="仿宋_GB2312" w:asciiTheme="minorEastAsia" w:hAnsiTheme="minorEastAsia" w:eastAsiaTheme="minorEastAsia"/>
                <w:b/>
                <w:sz w:val="22"/>
                <w:szCs w:val="22"/>
                <w:highlight w:val="none"/>
                <w:lang w:bidi="ar"/>
              </w:rPr>
              <w:t>注：</w:t>
            </w:r>
            <w:r>
              <w:rPr>
                <w:rFonts w:cs="仿宋_GB2312" w:asciiTheme="minorEastAsia" w:hAnsiTheme="minorEastAsia" w:eastAsiaTheme="minorEastAsia"/>
                <w:b/>
                <w:sz w:val="22"/>
                <w:szCs w:val="22"/>
                <w:highlight w:val="none"/>
                <w:lang w:bidi="ar"/>
              </w:rPr>
              <w:t>1、每考核项目的标准分扣完即止；</w:t>
            </w:r>
            <w:r>
              <w:rPr>
                <w:rFonts w:cs="仿宋_GB2312" w:asciiTheme="minorEastAsia" w:hAnsiTheme="minorEastAsia" w:eastAsiaTheme="minorEastAsia"/>
                <w:b/>
                <w:sz w:val="22"/>
                <w:szCs w:val="22"/>
                <w:highlight w:val="none"/>
                <w:lang w:bidi="ar"/>
              </w:rPr>
              <w:br w:type="textWrapping"/>
            </w:r>
            <w:r>
              <w:rPr>
                <w:rFonts w:cs="仿宋_GB2312" w:asciiTheme="minorEastAsia" w:hAnsiTheme="minorEastAsia" w:eastAsiaTheme="minorEastAsia"/>
                <w:b/>
                <w:sz w:val="22"/>
                <w:szCs w:val="22"/>
                <w:highlight w:val="none"/>
                <w:lang w:bidi="ar"/>
              </w:rPr>
              <w:t xml:space="preserve">    2、</w:t>
            </w:r>
            <w:r>
              <w:rPr>
                <w:rFonts w:hint="eastAsia" w:cs="仿宋_GB2312" w:asciiTheme="minorEastAsia" w:hAnsiTheme="minorEastAsia" w:eastAsiaTheme="minorEastAsia"/>
                <w:b/>
                <w:sz w:val="22"/>
                <w:szCs w:val="22"/>
                <w:highlight w:val="none"/>
                <w:lang w:bidi="ar"/>
              </w:rPr>
              <w:t>本考核表</w:t>
            </w:r>
            <w:r>
              <w:rPr>
                <w:rFonts w:cs="仿宋_GB2312" w:asciiTheme="minorEastAsia" w:hAnsiTheme="minorEastAsia" w:eastAsiaTheme="minorEastAsia"/>
                <w:b/>
                <w:sz w:val="22"/>
                <w:szCs w:val="22"/>
                <w:highlight w:val="none"/>
                <w:lang w:bidi="ar"/>
              </w:rPr>
              <w:t>95分以上为优秀，85-95分（不含）为良好，70-85分（不含）合格，70分以下不合格；</w:t>
            </w:r>
            <w:r>
              <w:rPr>
                <w:rFonts w:cs="仿宋_GB2312" w:asciiTheme="minorEastAsia" w:hAnsiTheme="minorEastAsia" w:eastAsiaTheme="minorEastAsia"/>
                <w:b/>
                <w:sz w:val="22"/>
                <w:szCs w:val="22"/>
                <w:highlight w:val="none"/>
                <w:lang w:bidi="ar"/>
              </w:rPr>
              <w:br w:type="textWrapping"/>
            </w:r>
            <w:r>
              <w:rPr>
                <w:rFonts w:cs="仿宋_GB2312" w:asciiTheme="minorEastAsia" w:hAnsiTheme="minorEastAsia" w:eastAsiaTheme="minorEastAsia"/>
                <w:b/>
                <w:sz w:val="22"/>
                <w:szCs w:val="22"/>
                <w:highlight w:val="none"/>
                <w:lang w:bidi="ar"/>
              </w:rPr>
              <w:t xml:space="preserve">    3、</w:t>
            </w:r>
            <w:r>
              <w:rPr>
                <w:rFonts w:hint="eastAsia" w:cs="仿宋_GB2312" w:asciiTheme="minorEastAsia" w:hAnsiTheme="minorEastAsia" w:eastAsiaTheme="minorEastAsia"/>
                <w:b/>
                <w:sz w:val="22"/>
                <w:szCs w:val="22"/>
                <w:highlight w:val="none"/>
                <w:lang w:bidi="ar"/>
              </w:rPr>
              <w:t>不合格项目需</w:t>
            </w:r>
            <w:r>
              <w:rPr>
                <w:rFonts w:cs="仿宋_GB2312" w:asciiTheme="minorEastAsia" w:hAnsiTheme="minorEastAsia" w:eastAsiaTheme="minorEastAsia"/>
                <w:b/>
                <w:sz w:val="22"/>
                <w:szCs w:val="22"/>
                <w:highlight w:val="none"/>
                <w:lang w:bidi="ar"/>
              </w:rPr>
              <w:t>1周内完成整改，并提交相关书面整改措施</w:t>
            </w:r>
            <w:r>
              <w:rPr>
                <w:rFonts w:hint="eastAsia" w:cs="仿宋_GB2312" w:asciiTheme="minorEastAsia" w:hAnsiTheme="minorEastAsia" w:eastAsiaTheme="minorEastAsia"/>
                <w:b/>
                <w:sz w:val="22"/>
                <w:szCs w:val="22"/>
                <w:highlight w:val="none"/>
                <w:lang w:bidi="ar"/>
              </w:rPr>
              <w:t>。</w:t>
            </w:r>
          </w:p>
        </w:tc>
      </w:tr>
    </w:tbl>
    <w:p>
      <w:pPr>
        <w:pStyle w:val="2"/>
        <w:ind w:left="0" w:leftChars="0"/>
        <w:rPr>
          <w:highlight w:val="none"/>
        </w:rPr>
      </w:pPr>
    </w:p>
    <w:p>
      <w:pPr>
        <w:rPr>
          <w:sz w:val="22"/>
          <w:szCs w:val="22"/>
          <w:highlight w:val="none"/>
        </w:rPr>
        <w:sectPr>
          <w:pgSz w:w="16838" w:h="11906" w:orient="landscape"/>
          <w:pgMar w:top="1531" w:right="1531" w:bottom="1531" w:left="1531" w:header="935" w:footer="964" w:gutter="0"/>
          <w:paperSrc w:first="7" w:other="7"/>
          <w:pgNumType w:fmt="decimal"/>
          <w:cols w:space="0" w:num="1"/>
          <w:titlePg/>
          <w:docGrid w:linePitch="312" w:charSpace="0"/>
        </w:sectPr>
      </w:pPr>
    </w:p>
    <w:p>
      <w:pPr>
        <w:rPr>
          <w:rFonts w:ascii="宋体" w:hAnsi="宋体"/>
          <w:b/>
          <w:spacing w:val="20"/>
          <w:kern w:val="2"/>
          <w:sz w:val="22"/>
          <w:szCs w:val="22"/>
          <w:highlight w:val="none"/>
        </w:rPr>
      </w:pPr>
    </w:p>
    <w:p>
      <w:pPr>
        <w:widowControl/>
        <w:jc w:val="left"/>
        <w:rPr>
          <w:rFonts w:ascii="宋体" w:hAnsi="宋体" w:cs="宋体"/>
          <w:kern w:val="2"/>
          <w:sz w:val="22"/>
          <w:szCs w:val="22"/>
          <w:highlight w:val="none"/>
        </w:rPr>
      </w:pPr>
    </w:p>
    <w:p>
      <w:pPr>
        <w:snapToGrid w:val="0"/>
        <w:spacing w:line="440" w:lineRule="exact"/>
        <w:ind w:firstLine="440" w:firstLineChars="200"/>
        <w:jc w:val="left"/>
        <w:rPr>
          <w:rFonts w:ascii="宋体" w:hAnsi="宋体" w:cs="宋体"/>
          <w:kern w:val="2"/>
          <w:sz w:val="22"/>
          <w:szCs w:val="22"/>
          <w:highlight w:val="none"/>
        </w:rPr>
      </w:pPr>
    </w:p>
    <w:p>
      <w:pPr>
        <w:pStyle w:val="148"/>
        <w:keepNext w:val="0"/>
        <w:spacing w:after="0" w:line="440" w:lineRule="exact"/>
        <w:ind w:firstLine="442" w:firstLineChars="200"/>
        <w:rPr>
          <w:rFonts w:ascii="宋体" w:hAnsi="宋体" w:cs="宋体"/>
          <w:b/>
          <w:bCs/>
          <w:sz w:val="22"/>
          <w:szCs w:val="22"/>
          <w:highlight w:val="none"/>
        </w:rPr>
      </w:pPr>
    </w:p>
    <w:p>
      <w:pPr>
        <w:pStyle w:val="5"/>
        <w:spacing w:before="0" w:after="0" w:line="240" w:lineRule="auto"/>
        <w:jc w:val="both"/>
        <w:rPr>
          <w:rFonts w:ascii="宋体" w:hAnsi="宋体"/>
          <w:spacing w:val="20"/>
          <w:szCs w:val="44"/>
          <w:highlight w:val="none"/>
        </w:rPr>
      </w:pPr>
    </w:p>
    <w:p>
      <w:pPr>
        <w:pStyle w:val="2"/>
        <w:ind w:left="400" w:firstLine="963"/>
        <w:rPr>
          <w:rFonts w:ascii="宋体" w:hAnsi="宋体"/>
          <w:b/>
          <w:spacing w:val="20"/>
          <w:sz w:val="44"/>
          <w:szCs w:val="44"/>
          <w:highlight w:val="none"/>
        </w:rPr>
      </w:pPr>
    </w:p>
    <w:p>
      <w:pPr>
        <w:pStyle w:val="2"/>
        <w:ind w:left="400" w:firstLine="963"/>
        <w:rPr>
          <w:rFonts w:ascii="宋体" w:hAnsi="宋体"/>
          <w:b/>
          <w:spacing w:val="20"/>
          <w:sz w:val="44"/>
          <w:szCs w:val="44"/>
          <w:highlight w:val="none"/>
        </w:rPr>
      </w:pPr>
    </w:p>
    <w:p>
      <w:pPr>
        <w:pStyle w:val="2"/>
        <w:ind w:left="400" w:firstLine="963"/>
        <w:rPr>
          <w:rFonts w:ascii="宋体" w:hAnsi="宋体"/>
          <w:b/>
          <w:spacing w:val="20"/>
          <w:sz w:val="44"/>
          <w:szCs w:val="44"/>
          <w:highlight w:val="none"/>
        </w:rPr>
      </w:pPr>
    </w:p>
    <w:p>
      <w:pPr>
        <w:pStyle w:val="2"/>
        <w:ind w:left="400" w:firstLine="963"/>
        <w:rPr>
          <w:rFonts w:ascii="宋体" w:hAnsi="宋体"/>
          <w:b/>
          <w:spacing w:val="20"/>
          <w:sz w:val="44"/>
          <w:szCs w:val="44"/>
          <w:highlight w:val="none"/>
        </w:rPr>
      </w:pPr>
    </w:p>
    <w:p>
      <w:pPr>
        <w:pStyle w:val="2"/>
        <w:ind w:left="400" w:firstLine="963"/>
        <w:rPr>
          <w:rFonts w:ascii="宋体" w:hAnsi="宋体"/>
          <w:b/>
          <w:spacing w:val="20"/>
          <w:sz w:val="44"/>
          <w:szCs w:val="44"/>
          <w:highlight w:val="none"/>
        </w:rPr>
      </w:pPr>
    </w:p>
    <w:p>
      <w:pPr>
        <w:pStyle w:val="2"/>
        <w:ind w:left="400" w:firstLine="963"/>
        <w:rPr>
          <w:rFonts w:ascii="宋体" w:hAnsi="宋体"/>
          <w:b/>
          <w:spacing w:val="20"/>
          <w:sz w:val="44"/>
          <w:szCs w:val="44"/>
          <w:highlight w:val="none"/>
        </w:rPr>
      </w:pPr>
    </w:p>
    <w:p>
      <w:pPr>
        <w:pStyle w:val="2"/>
        <w:ind w:left="400" w:firstLine="963"/>
        <w:jc w:val="center"/>
        <w:rPr>
          <w:rFonts w:ascii="宋体" w:hAnsi="宋体"/>
          <w:b/>
          <w:spacing w:val="20"/>
          <w:sz w:val="44"/>
          <w:szCs w:val="44"/>
          <w:highlight w:val="none"/>
        </w:rPr>
      </w:pPr>
    </w:p>
    <w:p>
      <w:pPr>
        <w:pStyle w:val="2"/>
        <w:ind w:left="0" w:leftChars="0" w:firstLine="0" w:firstLineChars="0"/>
        <w:jc w:val="center"/>
        <w:rPr>
          <w:rFonts w:ascii="宋体" w:hAnsi="宋体"/>
          <w:b/>
          <w:spacing w:val="20"/>
          <w:sz w:val="44"/>
          <w:szCs w:val="44"/>
          <w:highlight w:val="none"/>
        </w:rPr>
      </w:pPr>
    </w:p>
    <w:p>
      <w:pPr>
        <w:pStyle w:val="2"/>
        <w:spacing w:after="0" w:line="360" w:lineRule="auto"/>
        <w:ind w:left="0" w:leftChars="0" w:firstLine="0" w:firstLineChars="0"/>
        <w:jc w:val="center"/>
        <w:outlineLvl w:val="1"/>
        <w:rPr>
          <w:rFonts w:ascii="宋体" w:hAnsi="宋体"/>
          <w:b/>
          <w:spacing w:val="20"/>
          <w:sz w:val="44"/>
          <w:szCs w:val="44"/>
          <w:highlight w:val="none"/>
        </w:rPr>
      </w:pPr>
      <w:bookmarkStart w:id="7" w:name="_Toc4355"/>
      <w:r>
        <w:rPr>
          <w:rFonts w:hint="eastAsia" w:ascii="宋体" w:hAnsi="宋体"/>
          <w:b/>
          <w:spacing w:val="20"/>
          <w:sz w:val="44"/>
          <w:szCs w:val="44"/>
          <w:highlight w:val="none"/>
        </w:rPr>
        <w:t>第五部分</w:t>
      </w:r>
      <w:r>
        <w:rPr>
          <w:rFonts w:ascii="宋体" w:hAnsi="宋体"/>
          <w:b/>
          <w:spacing w:val="20"/>
          <w:sz w:val="44"/>
          <w:szCs w:val="44"/>
          <w:highlight w:val="none"/>
        </w:rPr>
        <w:t xml:space="preserve">  </w:t>
      </w:r>
      <w:bookmarkEnd w:id="7"/>
      <w:r>
        <w:rPr>
          <w:rFonts w:hint="eastAsia" w:ascii="宋体" w:hAnsi="宋体"/>
          <w:b/>
          <w:spacing w:val="20"/>
          <w:sz w:val="44"/>
          <w:szCs w:val="44"/>
          <w:highlight w:val="none"/>
        </w:rPr>
        <w:t>投标文件</w:t>
      </w:r>
    </w:p>
    <w:p>
      <w:pPr>
        <w:widowControl/>
        <w:jc w:val="left"/>
        <w:rPr>
          <w:rFonts w:ascii="宋体" w:hAnsi="宋体"/>
          <w:b/>
          <w:sz w:val="28"/>
          <w:szCs w:val="28"/>
          <w:highlight w:val="none"/>
        </w:rPr>
      </w:pPr>
      <w:r>
        <w:rPr>
          <w:rFonts w:ascii="宋体" w:hAnsi="宋体"/>
          <w:b/>
          <w:spacing w:val="20"/>
          <w:sz w:val="44"/>
          <w:szCs w:val="44"/>
          <w:highlight w:val="none"/>
        </w:rPr>
        <w:br w:type="page"/>
      </w:r>
      <w:bookmarkStart w:id="8" w:name="_Toc46502799"/>
      <w:bookmarkStart w:id="9" w:name="_Toc3995262"/>
      <w:bookmarkStart w:id="10" w:name="_Toc3140"/>
    </w:p>
    <w:bookmarkEnd w:id="8"/>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highlight w:val="none"/>
        </w:rPr>
      </w:pPr>
      <w:r>
        <w:rPr>
          <w:rFonts w:ascii="宋体" w:hAnsi="宋体"/>
          <w:b/>
          <w:sz w:val="22"/>
          <w:szCs w:val="22"/>
          <w:highlight w:val="none"/>
        </w:rPr>
        <w:t>1</w:t>
      </w:r>
      <w:r>
        <w:rPr>
          <w:rFonts w:hint="eastAsia" w:ascii="宋体" w:hAnsi="宋体"/>
          <w:b/>
          <w:sz w:val="22"/>
          <w:szCs w:val="22"/>
          <w:highlight w:val="none"/>
        </w:rPr>
        <w:t>、投标报价一览表</w:t>
      </w:r>
    </w:p>
    <w:p>
      <w:pPr>
        <w:pStyle w:val="23"/>
        <w:spacing w:line="360" w:lineRule="auto"/>
        <w:jc w:val="left"/>
        <w:rPr>
          <w:rFonts w:hAnsi="宋体"/>
          <w:sz w:val="22"/>
          <w:szCs w:val="22"/>
          <w:highlight w:val="none"/>
        </w:rPr>
      </w:pPr>
    </w:p>
    <w:p>
      <w:pPr>
        <w:pStyle w:val="23"/>
        <w:spacing w:line="360" w:lineRule="auto"/>
        <w:jc w:val="left"/>
        <w:rPr>
          <w:rFonts w:hAnsi="宋体"/>
          <w:sz w:val="22"/>
          <w:szCs w:val="22"/>
          <w:highlight w:val="none"/>
        </w:rPr>
      </w:pPr>
      <w:r>
        <w:rPr>
          <w:rFonts w:hint="eastAsia" w:hAnsi="宋体"/>
          <w:sz w:val="22"/>
          <w:szCs w:val="22"/>
          <w:highlight w:val="none"/>
        </w:rPr>
        <w:t>项目名称：东莞巴士有限公司充电服务资格供应商采购项目</w:t>
      </w:r>
      <w:r>
        <w:rPr>
          <w:rFonts w:hAnsi="宋体"/>
          <w:sz w:val="22"/>
          <w:szCs w:val="22"/>
          <w:highlight w:val="none"/>
        </w:rPr>
        <w:t xml:space="preserve">      </w:t>
      </w:r>
      <w:r>
        <w:rPr>
          <w:rFonts w:hint="eastAsia" w:hAnsi="宋体"/>
          <w:sz w:val="22"/>
          <w:szCs w:val="22"/>
          <w:highlight w:val="none"/>
        </w:rPr>
        <w:t>项目编号：</w:t>
      </w:r>
      <w:r>
        <w:rPr>
          <w:rFonts w:hAnsi="宋体"/>
          <w:sz w:val="22"/>
          <w:szCs w:val="22"/>
          <w:highlight w:val="none"/>
        </w:rPr>
        <w:t xml:space="preserve">BS-CG2020045   </w:t>
      </w:r>
    </w:p>
    <w:p>
      <w:pPr>
        <w:pStyle w:val="23"/>
        <w:spacing w:line="360" w:lineRule="auto"/>
        <w:jc w:val="left"/>
        <w:rPr>
          <w:rFonts w:hAnsi="宋体"/>
          <w:sz w:val="22"/>
          <w:szCs w:val="22"/>
          <w:highlight w:val="none"/>
        </w:rPr>
      </w:pPr>
      <w:r>
        <w:rPr>
          <w:rFonts w:hAnsi="宋体"/>
          <w:sz w:val="22"/>
          <w:szCs w:val="22"/>
          <w:highlight w:val="none"/>
        </w:rPr>
        <w:t xml:space="preserve">                     </w:t>
      </w:r>
    </w:p>
    <w:p>
      <w:pPr>
        <w:pStyle w:val="23"/>
        <w:spacing w:line="360" w:lineRule="auto"/>
        <w:jc w:val="right"/>
        <w:rPr>
          <w:rFonts w:hAnsi="宋体"/>
          <w:sz w:val="22"/>
          <w:szCs w:val="22"/>
          <w:highlight w:val="none"/>
        </w:rPr>
      </w:pPr>
      <w:r>
        <w:rPr>
          <w:rFonts w:hAnsi="宋体"/>
          <w:sz w:val="22"/>
          <w:szCs w:val="22"/>
          <w:highlight w:val="none"/>
        </w:rPr>
        <w:t>[货币单位：人民币元]</w:t>
      </w:r>
    </w:p>
    <w:tbl>
      <w:tblPr>
        <w:tblStyle w:val="44"/>
        <w:tblW w:w="9918" w:type="dxa"/>
        <w:tblInd w:w="-28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0"/>
        <w:gridCol w:w="2803"/>
        <w:gridCol w:w="2060"/>
        <w:gridCol w:w="1713"/>
        <w:gridCol w:w="1276"/>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highlight w:val="none"/>
                <w:lang w:val="zh-CN"/>
              </w:rPr>
            </w:pPr>
            <w:r>
              <w:rPr>
                <w:rFonts w:hint="eastAsia" w:ascii="宋体" w:hAnsi="宋体"/>
                <w:b/>
                <w:sz w:val="22"/>
                <w:szCs w:val="22"/>
                <w:highlight w:val="none"/>
                <w:lang w:val="zh-CN"/>
              </w:rPr>
              <w:t>序号</w:t>
            </w:r>
          </w:p>
        </w:tc>
        <w:tc>
          <w:tcPr>
            <w:tcW w:w="28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highlight w:val="none"/>
                <w:lang w:val="zh-CN"/>
              </w:rPr>
            </w:pPr>
            <w:r>
              <w:rPr>
                <w:rFonts w:hint="eastAsia" w:ascii="宋体" w:hAnsi="宋体"/>
                <w:b/>
                <w:sz w:val="22"/>
                <w:szCs w:val="22"/>
                <w:highlight w:val="none"/>
                <w:lang w:val="zh-CN"/>
              </w:rPr>
              <w:t>项目名称</w:t>
            </w:r>
          </w:p>
        </w:tc>
        <w:tc>
          <w:tcPr>
            <w:tcW w:w="20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2"/>
                <w:szCs w:val="22"/>
                <w:highlight w:val="none"/>
              </w:rPr>
            </w:pPr>
            <w:r>
              <w:rPr>
                <w:rFonts w:hint="eastAsia" w:ascii="宋体" w:hAnsi="宋体"/>
                <w:b/>
                <w:sz w:val="22"/>
                <w:szCs w:val="22"/>
                <w:highlight w:val="none"/>
              </w:rPr>
              <w:t>投标</w:t>
            </w:r>
            <w:r>
              <w:rPr>
                <w:rFonts w:ascii="宋体" w:hAnsi="宋体"/>
                <w:b/>
                <w:sz w:val="22"/>
                <w:szCs w:val="22"/>
                <w:highlight w:val="none"/>
              </w:rPr>
              <w:t>单价</w:t>
            </w:r>
          </w:p>
          <w:p>
            <w:pPr>
              <w:pStyle w:val="2"/>
              <w:ind w:left="0" w:leftChars="0" w:firstLine="0" w:firstLineChars="0"/>
              <w:jc w:val="center"/>
              <w:rPr>
                <w:sz w:val="22"/>
                <w:szCs w:val="22"/>
                <w:highlight w:val="none"/>
              </w:rPr>
            </w:pPr>
            <w:r>
              <w:rPr>
                <w:rFonts w:hint="eastAsia"/>
                <w:sz w:val="22"/>
                <w:szCs w:val="22"/>
                <w:highlight w:val="none"/>
              </w:rPr>
              <w:t>（</w:t>
            </w:r>
            <w:r>
              <w:rPr>
                <w:rFonts w:hint="eastAsia" w:asciiTheme="minorEastAsia" w:hAnsiTheme="minorEastAsia" w:eastAsiaTheme="minorEastAsia"/>
                <w:sz w:val="22"/>
                <w:szCs w:val="22"/>
                <w:highlight w:val="none"/>
                <w:lang w:val="zh-CN"/>
              </w:rPr>
              <w:t>元</w:t>
            </w:r>
            <w:r>
              <w:rPr>
                <w:rFonts w:asciiTheme="minorEastAsia" w:hAnsiTheme="minorEastAsia" w:eastAsiaTheme="minorEastAsia"/>
                <w:sz w:val="22"/>
                <w:szCs w:val="22"/>
                <w:highlight w:val="none"/>
                <w:lang w:val="zh-CN"/>
              </w:rPr>
              <w:t>/Kw·h</w:t>
            </w:r>
            <w:r>
              <w:rPr>
                <w:rFonts w:hint="eastAsia"/>
                <w:sz w:val="22"/>
                <w:szCs w:val="22"/>
                <w:highlight w:val="none"/>
              </w:rPr>
              <w:t>）</w:t>
            </w:r>
          </w:p>
        </w:tc>
        <w:tc>
          <w:tcPr>
            <w:tcW w:w="17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sz w:val="22"/>
                <w:szCs w:val="22"/>
                <w:highlight w:val="none"/>
              </w:rPr>
            </w:pPr>
            <w:r>
              <w:rPr>
                <w:rFonts w:hint="eastAsia" w:ascii="宋体" w:hAnsi="宋体"/>
                <w:b/>
                <w:sz w:val="22"/>
                <w:szCs w:val="22"/>
                <w:highlight w:val="none"/>
              </w:rPr>
              <w:t>停车费</w:t>
            </w:r>
          </w:p>
          <w:p>
            <w:pPr>
              <w:spacing w:line="360" w:lineRule="auto"/>
              <w:jc w:val="center"/>
              <w:rPr>
                <w:rFonts w:ascii="宋体" w:hAnsi="宋体"/>
                <w:sz w:val="22"/>
                <w:szCs w:val="22"/>
                <w:highlight w:val="none"/>
              </w:rPr>
            </w:pPr>
            <w:r>
              <w:rPr>
                <w:rFonts w:ascii="宋体" w:hAnsi="宋体"/>
                <w:sz w:val="22"/>
                <w:szCs w:val="22"/>
                <w:highlight w:val="none"/>
              </w:rPr>
              <w:t>（</w:t>
            </w:r>
            <w:r>
              <w:rPr>
                <w:rFonts w:hint="eastAsia" w:ascii="宋体" w:hAnsi="宋体"/>
                <w:sz w:val="22"/>
                <w:szCs w:val="22"/>
                <w:highlight w:val="none"/>
              </w:rPr>
              <w:t>元</w:t>
            </w:r>
            <w:r>
              <w:rPr>
                <w:rFonts w:ascii="宋体" w:hAnsi="宋体"/>
                <w:sz w:val="22"/>
                <w:szCs w:val="22"/>
                <w:highlight w:val="none"/>
              </w:rPr>
              <w:t>/辆/月）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highlight w:val="none"/>
                <w:lang w:val="zh-CN"/>
              </w:rPr>
            </w:pPr>
            <w:r>
              <w:rPr>
                <w:rFonts w:hint="eastAsia" w:ascii="宋体" w:hAnsi="宋体"/>
                <w:b/>
                <w:sz w:val="22"/>
                <w:szCs w:val="22"/>
                <w:highlight w:val="none"/>
              </w:rPr>
              <w:t>服务期限</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highlight w:val="none"/>
                <w:lang w:val="zh-CN"/>
              </w:rPr>
            </w:pPr>
            <w:r>
              <w:rPr>
                <w:rFonts w:hint="eastAsia" w:ascii="宋体" w:hAnsi="宋体"/>
                <w:b/>
                <w:sz w:val="22"/>
                <w:szCs w:val="22"/>
                <w:highlight w:val="none"/>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7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highlight w:val="none"/>
                <w:lang w:val="zh-CN"/>
              </w:rPr>
            </w:pPr>
          </w:p>
        </w:tc>
        <w:tc>
          <w:tcPr>
            <w:tcW w:w="28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highlight w:val="none"/>
              </w:rPr>
            </w:pPr>
            <w:r>
              <w:rPr>
                <w:rFonts w:hint="eastAsia" w:ascii="宋体" w:hAnsi="宋体"/>
                <w:sz w:val="22"/>
                <w:szCs w:val="22"/>
                <w:highlight w:val="none"/>
              </w:rPr>
              <w:t>东莞巴士有限公司充电服务资格供应商采购项目</w:t>
            </w:r>
          </w:p>
        </w:tc>
        <w:tc>
          <w:tcPr>
            <w:tcW w:w="20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2"/>
                <w:szCs w:val="22"/>
                <w:highlight w:val="none"/>
                <w:lang w:val="zh-CN"/>
              </w:rPr>
            </w:pPr>
          </w:p>
        </w:tc>
        <w:tc>
          <w:tcPr>
            <w:tcW w:w="17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2"/>
                <w:szCs w:val="22"/>
                <w:highlight w:val="none"/>
                <w:lang w:val="zh-C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highlight w:val="none"/>
                <w:lang w:val="zh-CN"/>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highlight w:val="none"/>
                <w:lang w:val="zh-CN"/>
              </w:rPr>
            </w:pPr>
          </w:p>
        </w:tc>
      </w:tr>
    </w:tbl>
    <w:p>
      <w:pPr>
        <w:spacing w:line="360" w:lineRule="auto"/>
        <w:ind w:left="2" w:leftChars="1"/>
        <w:rPr>
          <w:rFonts w:ascii="宋体" w:hAnsi="宋体"/>
          <w:kern w:val="2"/>
          <w:sz w:val="22"/>
          <w:szCs w:val="22"/>
          <w:highlight w:val="none"/>
          <w:lang w:val="zh-CN"/>
        </w:rPr>
      </w:pPr>
      <w:r>
        <w:rPr>
          <w:rFonts w:hint="eastAsia" w:ascii="宋体" w:hAnsi="宋体"/>
          <w:sz w:val="22"/>
          <w:szCs w:val="22"/>
          <w:highlight w:val="none"/>
          <w:lang w:val="zh-CN"/>
        </w:rPr>
        <w:t>注：</w:t>
      </w:r>
    </w:p>
    <w:p>
      <w:pPr>
        <w:pStyle w:val="20"/>
        <w:ind w:firstLine="220" w:firstLineChars="100"/>
        <w:rPr>
          <w:rFonts w:ascii="宋体" w:hAnsi="宋体"/>
          <w:sz w:val="22"/>
          <w:szCs w:val="22"/>
          <w:highlight w:val="none"/>
        </w:rPr>
      </w:pPr>
      <w:r>
        <w:rPr>
          <w:rFonts w:ascii="宋体" w:hAnsi="宋体"/>
          <w:sz w:val="22"/>
          <w:szCs w:val="22"/>
          <w:highlight w:val="none"/>
        </w:rPr>
        <w:t>1.</w:t>
      </w:r>
      <w:r>
        <w:rPr>
          <w:rFonts w:hint="eastAsia" w:ascii="宋体" w:hAnsi="宋体"/>
          <w:sz w:val="22"/>
          <w:szCs w:val="22"/>
          <w:highlight w:val="none"/>
        </w:rPr>
        <w:t>仅提供充电服务的，充电服务费预算单价定为</w:t>
      </w:r>
      <w:r>
        <w:rPr>
          <w:rFonts w:ascii="宋体" w:hAnsi="宋体"/>
          <w:sz w:val="22"/>
          <w:szCs w:val="22"/>
          <w:highlight w:val="none"/>
        </w:rPr>
        <w:t>0.60元/kwh；</w:t>
      </w:r>
      <w:r>
        <w:rPr>
          <w:rFonts w:hint="eastAsia" w:ascii="宋体" w:hAnsi="宋体"/>
          <w:sz w:val="22"/>
          <w:szCs w:val="22"/>
          <w:highlight w:val="none"/>
        </w:rPr>
        <w:t>同时提供充电服务和夜间停放场地的，充电服务费预算单价定为</w:t>
      </w:r>
      <w:r>
        <w:rPr>
          <w:rFonts w:ascii="宋体" w:hAnsi="宋体"/>
          <w:sz w:val="22"/>
          <w:szCs w:val="22"/>
          <w:highlight w:val="none"/>
        </w:rPr>
        <w:t>0.70元/kwh，停车费</w:t>
      </w:r>
      <w:r>
        <w:rPr>
          <w:rFonts w:hint="eastAsia" w:ascii="宋体" w:hAnsi="宋体"/>
          <w:sz w:val="22"/>
          <w:szCs w:val="22"/>
          <w:highlight w:val="none"/>
        </w:rPr>
        <w:t>预算</w:t>
      </w:r>
      <w:r>
        <w:rPr>
          <w:rFonts w:ascii="宋体" w:hAnsi="宋体"/>
          <w:sz w:val="22"/>
          <w:szCs w:val="22"/>
          <w:highlight w:val="none"/>
        </w:rPr>
        <w:t>单价为300元/辆/月</w:t>
      </w:r>
      <w:r>
        <w:rPr>
          <w:rFonts w:hint="eastAsia" w:ascii="宋体" w:hAnsi="宋体"/>
          <w:sz w:val="22"/>
          <w:szCs w:val="22"/>
          <w:highlight w:val="none"/>
        </w:rPr>
        <w:t>。参与本项目投标的供应商其所报单价不能超过上述预算单价，否则报价无效。</w:t>
      </w:r>
    </w:p>
    <w:p>
      <w:pPr>
        <w:overflowPunct w:val="0"/>
        <w:adjustRightInd w:val="0"/>
        <w:spacing w:line="360" w:lineRule="auto"/>
        <w:ind w:firstLine="220" w:firstLineChars="100"/>
        <w:rPr>
          <w:rFonts w:ascii="宋体" w:hAnsi="宋体"/>
          <w:sz w:val="22"/>
          <w:szCs w:val="22"/>
          <w:highlight w:val="none"/>
        </w:rPr>
      </w:pPr>
      <w:r>
        <w:rPr>
          <w:rFonts w:hAnsi="宋体"/>
          <w:sz w:val="22"/>
          <w:szCs w:val="22"/>
          <w:highlight w:val="none"/>
        </w:rPr>
        <w:t>2.</w:t>
      </w:r>
      <w:r>
        <w:rPr>
          <w:rFonts w:hint="eastAsia" w:hAnsi="宋体"/>
          <w:sz w:val="22"/>
          <w:szCs w:val="22"/>
          <w:highlight w:val="none"/>
        </w:rPr>
        <w:t>投标报价结果以人民币元为单位，保留到小数点后两位。</w:t>
      </w:r>
    </w:p>
    <w:p>
      <w:pPr>
        <w:snapToGrid w:val="0"/>
        <w:spacing w:line="360" w:lineRule="auto"/>
        <w:rPr>
          <w:rFonts w:ascii="宋体" w:hAnsi="宋体"/>
          <w:bCs/>
          <w:sz w:val="22"/>
          <w:szCs w:val="22"/>
          <w:highlight w:val="none"/>
        </w:rPr>
      </w:pPr>
    </w:p>
    <w:p>
      <w:pPr>
        <w:snapToGrid w:val="0"/>
        <w:spacing w:line="360" w:lineRule="auto"/>
        <w:rPr>
          <w:rFonts w:ascii="宋体" w:hAnsi="宋体"/>
          <w:bCs/>
          <w:sz w:val="22"/>
          <w:szCs w:val="22"/>
          <w:highlight w:val="none"/>
        </w:rPr>
      </w:pPr>
    </w:p>
    <w:p>
      <w:pPr>
        <w:pStyle w:val="55"/>
        <w:spacing w:before="720" w:beforeLines="300" w:line="360" w:lineRule="auto"/>
        <w:ind w:firstLine="3520" w:firstLineChars="1600"/>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投标人名称（加盖公章）：</w:t>
      </w:r>
      <w:r>
        <w:rPr>
          <w:rFonts w:asciiTheme="minorEastAsia" w:hAnsiTheme="minorEastAsia" w:eastAsiaTheme="minorEastAsia"/>
          <w:sz w:val="22"/>
          <w:szCs w:val="22"/>
          <w:highlight w:val="none"/>
        </w:rPr>
        <w:t xml:space="preserve"> </w:t>
      </w:r>
    </w:p>
    <w:p>
      <w:pPr>
        <w:pStyle w:val="55"/>
        <w:spacing w:line="360" w:lineRule="auto"/>
        <w:ind w:firstLine="3542" w:firstLineChars="161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投标人法定代表人或被授权人（签名或盖私章）：</w:t>
      </w:r>
    </w:p>
    <w:p>
      <w:pPr>
        <w:pStyle w:val="55"/>
        <w:spacing w:line="360" w:lineRule="auto"/>
        <w:ind w:firstLine="3542" w:firstLineChars="1610"/>
        <w:rPr>
          <w:rFonts w:ascii="宋体" w:hAnsi="宋体"/>
          <w:b/>
          <w:spacing w:val="20"/>
          <w:kern w:val="2"/>
          <w:sz w:val="28"/>
          <w:szCs w:val="28"/>
          <w:highlight w:val="none"/>
        </w:rPr>
      </w:pPr>
      <w:r>
        <w:rPr>
          <w:rFonts w:hint="eastAsia" w:asciiTheme="minorEastAsia" w:hAnsiTheme="minorEastAsia" w:eastAsiaTheme="minorEastAsia"/>
          <w:sz w:val="22"/>
          <w:szCs w:val="22"/>
          <w:highlight w:val="none"/>
        </w:rPr>
        <w:t>日期：</w:t>
      </w:r>
      <w:r>
        <w:rPr>
          <w:rFonts w:hint="eastAsia" w:asciiTheme="minorEastAsia" w:hAnsiTheme="minorEastAsia" w:eastAsiaTheme="minorEastAsia"/>
          <w:sz w:val="22"/>
          <w:szCs w:val="22"/>
          <w:highlight w:val="none"/>
          <w:lang w:val="en-US" w:eastAsia="zh-CN"/>
        </w:rPr>
        <w:t xml:space="preserve">    </w:t>
      </w:r>
      <w:r>
        <w:rPr>
          <w:rFonts w:hint="eastAsia" w:asciiTheme="minorEastAsia" w:hAnsiTheme="minorEastAsia" w:eastAsiaTheme="minorEastAsia"/>
          <w:sz w:val="22"/>
          <w:szCs w:val="22"/>
          <w:highlight w:val="none"/>
        </w:rPr>
        <w:t>年</w:t>
      </w:r>
      <w:r>
        <w:rPr>
          <w:rFonts w:hint="eastAsia" w:asciiTheme="minorEastAsia" w:hAnsiTheme="minorEastAsia" w:eastAsiaTheme="minorEastAsia"/>
          <w:sz w:val="22"/>
          <w:szCs w:val="22"/>
          <w:highlight w:val="none"/>
          <w:lang w:val="en-US" w:eastAsia="zh-CN"/>
        </w:rPr>
        <w:t xml:space="preserve">    </w:t>
      </w:r>
      <w:r>
        <w:rPr>
          <w:rFonts w:hint="eastAsia" w:asciiTheme="minorEastAsia" w:hAnsiTheme="minorEastAsia" w:eastAsiaTheme="minorEastAsia"/>
          <w:sz w:val="22"/>
          <w:szCs w:val="22"/>
          <w:highlight w:val="none"/>
        </w:rPr>
        <w:t>月</w:t>
      </w:r>
      <w:r>
        <w:rPr>
          <w:rFonts w:hint="eastAsia" w:asciiTheme="minorEastAsia" w:hAnsiTheme="minorEastAsia" w:eastAsiaTheme="minorEastAsia"/>
          <w:sz w:val="22"/>
          <w:szCs w:val="22"/>
          <w:highlight w:val="none"/>
          <w:lang w:val="en-US" w:eastAsia="zh-CN"/>
        </w:rPr>
        <w:t xml:space="preserve">    </w:t>
      </w:r>
      <w:r>
        <w:rPr>
          <w:rFonts w:hint="eastAsia" w:asciiTheme="minorEastAsia" w:hAnsiTheme="minorEastAsia" w:eastAsiaTheme="minorEastAsia"/>
          <w:sz w:val="22"/>
          <w:szCs w:val="22"/>
          <w:highlight w:val="none"/>
        </w:rPr>
        <w:t>日</w:t>
      </w:r>
    </w:p>
    <w:p>
      <w:pPr>
        <w:widowControl/>
        <w:ind w:firstLine="5459" w:firstLineChars="1700"/>
        <w:jc w:val="left"/>
        <w:rPr>
          <w:rFonts w:ascii="宋体" w:hAnsi="宋体"/>
          <w:b/>
          <w:spacing w:val="20"/>
          <w:kern w:val="2"/>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sz w:val="22"/>
          <w:szCs w:val="22"/>
          <w:highlight w:val="none"/>
        </w:rPr>
      </w:pPr>
      <w:r>
        <w:rPr>
          <w:rFonts w:ascii="宋体" w:hAnsi="宋体"/>
          <w:b/>
          <w:spacing w:val="20"/>
          <w:sz w:val="28"/>
          <w:szCs w:val="28"/>
          <w:highlight w:val="none"/>
        </w:rPr>
        <w:br w:type="page"/>
      </w:r>
      <w:r>
        <w:rPr>
          <w:rFonts w:ascii="宋体" w:hAnsi="宋体"/>
          <w:b/>
          <w:sz w:val="22"/>
          <w:szCs w:val="22"/>
          <w:highlight w:val="none"/>
        </w:rPr>
        <w:t>2</w:t>
      </w:r>
      <w:r>
        <w:rPr>
          <w:rFonts w:hint="eastAsia" w:ascii="宋体" w:hAnsi="宋体"/>
          <w:b/>
          <w:sz w:val="22"/>
          <w:szCs w:val="22"/>
          <w:highlight w:val="none"/>
        </w:rPr>
        <w:t>、投标函</w:t>
      </w:r>
      <w:bookmarkEnd w:id="9"/>
      <w:bookmarkEnd w:id="10"/>
    </w:p>
    <w:p>
      <w:pPr>
        <w:spacing w:line="360" w:lineRule="auto"/>
        <w:jc w:val="center"/>
        <w:rPr>
          <w:rFonts w:ascii="宋体" w:hAnsi="宋体"/>
          <w:b/>
          <w:sz w:val="24"/>
          <w:highlight w:val="none"/>
        </w:rPr>
      </w:pPr>
    </w:p>
    <w:p>
      <w:pPr>
        <w:pStyle w:val="172"/>
        <w:spacing w:line="560" w:lineRule="exact"/>
        <w:rPr>
          <w:rFonts w:ascii="宋体" w:eastAsia="宋体"/>
          <w:sz w:val="22"/>
          <w:szCs w:val="22"/>
          <w:highlight w:val="none"/>
        </w:rPr>
      </w:pPr>
      <w:r>
        <w:rPr>
          <w:rFonts w:hint="eastAsia" w:ascii="宋体" w:eastAsia="宋体"/>
          <w:sz w:val="22"/>
          <w:szCs w:val="22"/>
          <w:highlight w:val="none"/>
        </w:rPr>
        <w:t>致：</w:t>
      </w:r>
      <w:r>
        <w:rPr>
          <w:rFonts w:ascii="宋体" w:eastAsia="宋体"/>
          <w:sz w:val="22"/>
          <w:szCs w:val="22"/>
          <w:highlight w:val="none"/>
        </w:rPr>
        <w:t>东莞巴士有限公司</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我方确认收到贵方提供的</w:t>
      </w:r>
      <w:r>
        <w:rPr>
          <w:rFonts w:ascii="宋体" w:eastAsia="宋体"/>
          <w:sz w:val="22"/>
          <w:szCs w:val="22"/>
          <w:highlight w:val="none"/>
          <w:u w:val="single"/>
        </w:rPr>
        <w:t xml:space="preserve">  </w:t>
      </w:r>
      <w:r>
        <w:rPr>
          <w:rFonts w:hint="eastAsia" w:ascii="宋体" w:eastAsia="宋体"/>
          <w:sz w:val="22"/>
          <w:szCs w:val="22"/>
          <w:highlight w:val="none"/>
          <w:u w:val="single"/>
        </w:rPr>
        <w:t>　</w:t>
      </w:r>
      <w:r>
        <w:rPr>
          <w:rFonts w:hint="eastAsia" w:ascii="宋体" w:eastAsia="宋体"/>
          <w:i/>
          <w:sz w:val="22"/>
          <w:szCs w:val="22"/>
          <w:highlight w:val="none"/>
          <w:u w:val="single"/>
        </w:rPr>
        <w:t>（项目名称）</w:t>
      </w:r>
      <w:r>
        <w:rPr>
          <w:rFonts w:ascii="宋体" w:eastAsia="宋体"/>
          <w:i/>
          <w:sz w:val="22"/>
          <w:szCs w:val="22"/>
          <w:highlight w:val="none"/>
          <w:u w:val="single"/>
        </w:rPr>
        <w:t xml:space="preserve"> </w:t>
      </w:r>
      <w:r>
        <w:rPr>
          <w:rFonts w:ascii="宋体" w:eastAsia="宋体"/>
          <w:sz w:val="22"/>
          <w:szCs w:val="22"/>
          <w:highlight w:val="none"/>
          <w:u w:val="single"/>
        </w:rPr>
        <w:t xml:space="preserve">   </w:t>
      </w:r>
      <w:r>
        <w:rPr>
          <w:rFonts w:hint="eastAsia" w:ascii="宋体" w:eastAsia="宋体"/>
          <w:sz w:val="22"/>
          <w:szCs w:val="22"/>
          <w:highlight w:val="none"/>
        </w:rPr>
        <w:t>等相关服务的招标文件（采购编号：</w:t>
      </w:r>
      <w:r>
        <w:rPr>
          <w:rFonts w:ascii="宋体" w:eastAsia="宋体"/>
          <w:sz w:val="22"/>
          <w:szCs w:val="22"/>
          <w:highlight w:val="none"/>
          <w:u w:val="single"/>
        </w:rPr>
        <w:t xml:space="preserve">       </w:t>
      </w:r>
      <w:r>
        <w:rPr>
          <w:rFonts w:hint="eastAsia" w:ascii="宋体" w:eastAsia="宋体"/>
          <w:sz w:val="22"/>
          <w:szCs w:val="22"/>
          <w:highlight w:val="none"/>
        </w:rPr>
        <w:t>）的全部内容，我方：</w:t>
      </w:r>
      <w:r>
        <w:rPr>
          <w:rFonts w:ascii="宋体" w:eastAsia="宋体"/>
          <w:sz w:val="22"/>
          <w:szCs w:val="22"/>
          <w:highlight w:val="none"/>
          <w:u w:val="single"/>
        </w:rPr>
        <w:t xml:space="preserve">    </w:t>
      </w:r>
      <w:r>
        <w:rPr>
          <w:rFonts w:hint="eastAsia" w:ascii="宋体" w:eastAsia="宋体"/>
          <w:i/>
          <w:sz w:val="22"/>
          <w:szCs w:val="22"/>
          <w:highlight w:val="none"/>
          <w:u w:val="single"/>
        </w:rPr>
        <w:t>（投标人名称）</w:t>
      </w:r>
      <w:r>
        <w:rPr>
          <w:rFonts w:hint="eastAsia" w:ascii="宋体" w:eastAsia="宋体"/>
          <w:sz w:val="22"/>
          <w:szCs w:val="22"/>
          <w:highlight w:val="none"/>
        </w:rPr>
        <w:t>作为投标人正式委托</w:t>
      </w:r>
      <w:r>
        <w:rPr>
          <w:rFonts w:hint="eastAsia" w:ascii="宋体" w:eastAsia="宋体"/>
          <w:sz w:val="22"/>
          <w:szCs w:val="22"/>
          <w:highlight w:val="none"/>
          <w:u w:val="single"/>
        </w:rPr>
        <w:t>　</w:t>
      </w:r>
      <w:r>
        <w:rPr>
          <w:rFonts w:ascii="宋体" w:eastAsia="宋体"/>
          <w:sz w:val="22"/>
          <w:szCs w:val="22"/>
          <w:highlight w:val="none"/>
          <w:u w:val="single"/>
        </w:rPr>
        <w:t xml:space="preserve">   </w:t>
      </w:r>
      <w:r>
        <w:rPr>
          <w:rFonts w:hint="eastAsia" w:ascii="宋体" w:eastAsia="宋体"/>
          <w:i/>
          <w:sz w:val="22"/>
          <w:szCs w:val="22"/>
          <w:highlight w:val="none"/>
          <w:u w:val="single"/>
        </w:rPr>
        <w:t>（受委托人全名，职务）</w:t>
      </w:r>
      <w:r>
        <w:rPr>
          <w:rFonts w:hint="eastAsia" w:ascii="宋体" w:eastAsia="宋体"/>
          <w:sz w:val="22"/>
          <w:szCs w:val="22"/>
          <w:highlight w:val="none"/>
        </w:rPr>
        <w:t>代表我方进行有关本投标的一切事宜。</w:t>
      </w:r>
    </w:p>
    <w:p>
      <w:pPr>
        <w:pStyle w:val="55"/>
        <w:spacing w:line="560" w:lineRule="exact"/>
        <w:ind w:firstLine="440" w:firstLineChars="200"/>
        <w:rPr>
          <w:rFonts w:ascii="宋体" w:eastAsia="宋体"/>
          <w:sz w:val="22"/>
          <w:szCs w:val="22"/>
          <w:highlight w:val="none"/>
        </w:rPr>
      </w:pPr>
      <w:r>
        <w:rPr>
          <w:rFonts w:hint="eastAsia" w:ascii="宋体" w:eastAsia="宋体"/>
          <w:sz w:val="22"/>
          <w:szCs w:val="22"/>
          <w:highlight w:val="none"/>
        </w:rPr>
        <w:t>在此提交的投标文件，正本</w:t>
      </w:r>
      <w:r>
        <w:rPr>
          <w:rFonts w:ascii="宋体" w:eastAsia="宋体"/>
          <w:sz w:val="22"/>
          <w:szCs w:val="22"/>
          <w:highlight w:val="none"/>
          <w:u w:val="single"/>
        </w:rPr>
        <w:t>1</w:t>
      </w:r>
      <w:r>
        <w:rPr>
          <w:rFonts w:hint="eastAsia" w:ascii="宋体" w:eastAsia="宋体"/>
          <w:sz w:val="22"/>
          <w:szCs w:val="22"/>
          <w:highlight w:val="none"/>
        </w:rPr>
        <w:t>套，副本</w:t>
      </w:r>
      <w:r>
        <w:rPr>
          <w:rFonts w:ascii="宋体" w:eastAsia="宋体"/>
          <w:sz w:val="22"/>
          <w:szCs w:val="22"/>
          <w:highlight w:val="none"/>
          <w:u w:val="single"/>
        </w:rPr>
        <w:t>2</w:t>
      </w:r>
      <w:r>
        <w:rPr>
          <w:rFonts w:hint="eastAsia" w:ascii="宋体" w:eastAsia="宋体"/>
          <w:sz w:val="22"/>
          <w:szCs w:val="22"/>
          <w:highlight w:val="none"/>
        </w:rPr>
        <w:t>套，内含电子版投标文件。</w:t>
      </w:r>
    </w:p>
    <w:p>
      <w:pPr>
        <w:pStyle w:val="55"/>
        <w:spacing w:line="560" w:lineRule="exact"/>
        <w:ind w:firstLine="453"/>
        <w:rPr>
          <w:rFonts w:ascii="宋体" w:eastAsia="宋体"/>
          <w:sz w:val="22"/>
          <w:szCs w:val="22"/>
          <w:highlight w:val="none"/>
        </w:rPr>
      </w:pPr>
      <w:r>
        <w:rPr>
          <w:rFonts w:ascii="宋体" w:eastAsia="宋体"/>
          <w:sz w:val="22"/>
          <w:szCs w:val="22"/>
          <w:highlight w:val="none"/>
        </w:rPr>
        <w:t xml:space="preserve"> </w:t>
      </w:r>
      <w:r>
        <w:rPr>
          <w:rFonts w:hint="eastAsia" w:ascii="宋体" w:eastAsia="宋体"/>
          <w:sz w:val="22"/>
          <w:szCs w:val="22"/>
          <w:highlight w:val="none"/>
        </w:rPr>
        <w:t>我方已完全明白招标文件的所有条款要求，并重申以下几点：</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（—）我方决定参加</w:t>
      </w:r>
      <w:r>
        <w:rPr>
          <w:rFonts w:ascii="宋体" w:eastAsia="宋体"/>
          <w:sz w:val="22"/>
          <w:szCs w:val="22"/>
          <w:highlight w:val="none"/>
          <w:u w:val="single"/>
        </w:rPr>
        <w:t xml:space="preserve">  </w:t>
      </w:r>
      <w:r>
        <w:rPr>
          <w:rFonts w:hint="eastAsia" w:ascii="宋体" w:eastAsia="宋体"/>
          <w:sz w:val="22"/>
          <w:szCs w:val="22"/>
          <w:highlight w:val="none"/>
          <w:u w:val="single"/>
        </w:rPr>
        <w:t>　</w:t>
      </w:r>
      <w:r>
        <w:rPr>
          <w:rFonts w:hint="eastAsia" w:ascii="宋体" w:eastAsia="宋体"/>
          <w:i/>
          <w:sz w:val="22"/>
          <w:szCs w:val="22"/>
          <w:highlight w:val="none"/>
          <w:u w:val="single"/>
        </w:rPr>
        <w:t>（项目名称）</w:t>
      </w:r>
      <w:r>
        <w:rPr>
          <w:rFonts w:ascii="宋体" w:eastAsia="宋体"/>
          <w:i/>
          <w:sz w:val="22"/>
          <w:szCs w:val="22"/>
          <w:highlight w:val="none"/>
          <w:u w:val="single"/>
        </w:rPr>
        <w:t xml:space="preserve"> </w:t>
      </w:r>
      <w:r>
        <w:rPr>
          <w:rFonts w:ascii="宋体" w:eastAsia="宋体"/>
          <w:sz w:val="22"/>
          <w:szCs w:val="22"/>
          <w:highlight w:val="none"/>
          <w:u w:val="single"/>
        </w:rPr>
        <w:t xml:space="preserve">   </w:t>
      </w:r>
      <w:r>
        <w:rPr>
          <w:rFonts w:hint="eastAsia" w:ascii="宋体" w:eastAsia="宋体"/>
          <w:sz w:val="22"/>
          <w:szCs w:val="22"/>
          <w:highlight w:val="none"/>
        </w:rPr>
        <w:t>（采购编号：</w:t>
      </w:r>
      <w:r>
        <w:rPr>
          <w:rFonts w:ascii="宋体" w:eastAsia="宋体"/>
          <w:sz w:val="22"/>
          <w:szCs w:val="22"/>
          <w:highlight w:val="none"/>
          <w:u w:val="single"/>
        </w:rPr>
        <w:t xml:space="preserve">       </w:t>
      </w:r>
      <w:r>
        <w:rPr>
          <w:rFonts w:hint="eastAsia" w:ascii="宋体" w:eastAsia="宋体"/>
          <w:sz w:val="22"/>
          <w:szCs w:val="22"/>
          <w:highlight w:val="none"/>
        </w:rPr>
        <w:t>）投标；</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（二）本投标文件的有效期自投标截止日后</w:t>
      </w:r>
      <w:r>
        <w:rPr>
          <w:rFonts w:ascii="宋体" w:eastAsia="宋体"/>
          <w:sz w:val="22"/>
          <w:szCs w:val="22"/>
          <w:highlight w:val="none"/>
        </w:rPr>
        <w:t>90</w:t>
      </w:r>
      <w:r>
        <w:rPr>
          <w:rFonts w:hint="eastAsia" w:ascii="宋体" w:eastAsia="宋体"/>
          <w:sz w:val="22"/>
          <w:szCs w:val="22"/>
          <w:highlight w:val="none"/>
        </w:rPr>
        <w:t>天有效，如中标，有效期将延至合同终止日为止；</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（三）我方已详细研究了招标文件的所有内容包括相关资料及修正文（如果有），对本项目招标文件的所有内容已清楚，接受本招标文件的所有条款及要求，</w:t>
      </w:r>
      <w:r>
        <w:rPr>
          <w:rFonts w:ascii="宋体" w:eastAsia="宋体"/>
          <w:sz w:val="22"/>
          <w:szCs w:val="22"/>
          <w:highlight w:val="none"/>
        </w:rPr>
        <w:t>投标文件</w:t>
      </w:r>
      <w:r>
        <w:rPr>
          <w:rFonts w:hint="eastAsia" w:ascii="宋体" w:eastAsia="宋体"/>
          <w:sz w:val="22"/>
          <w:szCs w:val="22"/>
          <w:highlight w:val="none"/>
        </w:rPr>
        <w:t>中</w:t>
      </w:r>
      <w:r>
        <w:rPr>
          <w:rFonts w:ascii="宋体" w:eastAsia="宋体"/>
          <w:sz w:val="22"/>
          <w:szCs w:val="22"/>
          <w:highlight w:val="none"/>
        </w:rPr>
        <w:t>不含</w:t>
      </w:r>
      <w:r>
        <w:rPr>
          <w:rFonts w:hint="eastAsia" w:ascii="宋体" w:eastAsia="宋体"/>
          <w:sz w:val="22"/>
          <w:szCs w:val="22"/>
          <w:highlight w:val="none"/>
        </w:rPr>
        <w:t>有</w:t>
      </w:r>
      <w:r>
        <w:rPr>
          <w:rFonts w:ascii="宋体" w:eastAsia="宋体"/>
          <w:sz w:val="22"/>
          <w:szCs w:val="22"/>
          <w:highlight w:val="none"/>
        </w:rPr>
        <w:t>采购人不能接受的</w:t>
      </w:r>
      <w:r>
        <w:rPr>
          <w:rFonts w:hint="eastAsia" w:ascii="宋体" w:eastAsia="宋体"/>
          <w:sz w:val="22"/>
          <w:szCs w:val="22"/>
          <w:highlight w:val="none"/>
        </w:rPr>
        <w:t>附加</w:t>
      </w:r>
      <w:r>
        <w:rPr>
          <w:rFonts w:ascii="宋体" w:eastAsia="宋体"/>
          <w:sz w:val="22"/>
          <w:szCs w:val="22"/>
          <w:highlight w:val="none"/>
        </w:rPr>
        <w:t>条件</w:t>
      </w:r>
      <w:r>
        <w:rPr>
          <w:rFonts w:hint="eastAsia" w:ascii="宋体" w:eastAsia="宋体"/>
          <w:sz w:val="22"/>
          <w:szCs w:val="22"/>
          <w:highlight w:val="none"/>
        </w:rPr>
        <w:t>；</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（四）我方明白并同意在规定的递交投标</w:t>
      </w:r>
      <w:r>
        <w:rPr>
          <w:rFonts w:ascii="宋体" w:eastAsia="宋体"/>
          <w:sz w:val="22"/>
          <w:szCs w:val="22"/>
          <w:highlight w:val="none"/>
        </w:rPr>
        <w:t>文件截止</w:t>
      </w:r>
      <w:r>
        <w:rPr>
          <w:rFonts w:hint="eastAsia" w:ascii="宋体" w:eastAsia="宋体"/>
          <w:sz w:val="22"/>
          <w:szCs w:val="22"/>
          <w:highlight w:val="none"/>
        </w:rPr>
        <w:t>日期之后，投标有效期之内撤回投标，将被列入东莞巴士有限公司黑名单；</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（五）我方同意按照贵方可能提出的要求而提供与投标有关的任何其它数据或信息；</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（六）我方理解贵方不一定接受最低标价或任何贵方可能收到的投标；</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w:t>
      </w:r>
      <w:r>
        <w:rPr>
          <w:rFonts w:ascii="宋体" w:eastAsia="宋体"/>
          <w:sz w:val="22"/>
          <w:szCs w:val="22"/>
          <w:highlight w:val="none"/>
        </w:rPr>
        <w:t>七）</w:t>
      </w:r>
      <w:r>
        <w:rPr>
          <w:rFonts w:hint="eastAsia" w:ascii="宋体" w:eastAsia="宋体"/>
          <w:sz w:val="22"/>
          <w:szCs w:val="22"/>
          <w:highlight w:val="none"/>
        </w:rPr>
        <w:t>我方清楚理解入库资格的取得并不意味着服务机会的获得，贵方无法预计也无法保证入库服务单位所能获得的服务项目数量与金额，我方承诺不向贵方追讨任何费用；</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（八）我方如果中标，将保证履行招标文件以及招标文件修改书（如果有）中的全部责任和义务，并以投标文件或优于投标文件的要求进行服务；</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（九）所有与本投标有关的函件请发往下列地址：</w:t>
      </w:r>
    </w:p>
    <w:p>
      <w:pPr>
        <w:pStyle w:val="55"/>
        <w:spacing w:line="560" w:lineRule="exact"/>
        <w:ind w:firstLine="453"/>
        <w:rPr>
          <w:rFonts w:ascii="宋体" w:eastAsia="宋体"/>
          <w:sz w:val="22"/>
          <w:szCs w:val="22"/>
          <w:highlight w:val="none"/>
        </w:rPr>
      </w:pPr>
    </w:p>
    <w:p>
      <w:pPr>
        <w:spacing w:line="560" w:lineRule="exact"/>
        <w:rPr>
          <w:rFonts w:ascii="宋体" w:hAnsi="宋体"/>
          <w:sz w:val="22"/>
          <w:szCs w:val="22"/>
          <w:highlight w:val="none"/>
        </w:rPr>
      </w:pPr>
      <w:r>
        <w:rPr>
          <w:rFonts w:hint="eastAsia" w:ascii="宋体" w:hAnsi="宋体"/>
          <w:sz w:val="22"/>
          <w:szCs w:val="22"/>
          <w:highlight w:val="none"/>
        </w:rPr>
        <w:t>地</w:t>
      </w:r>
      <w:r>
        <w:rPr>
          <w:rFonts w:ascii="宋体" w:hAnsi="宋体"/>
          <w:sz w:val="22"/>
          <w:szCs w:val="22"/>
          <w:highlight w:val="none"/>
        </w:rPr>
        <w:t xml:space="preserve">  </w:t>
      </w:r>
      <w:r>
        <w:rPr>
          <w:rFonts w:hint="eastAsia" w:ascii="宋体" w:hAnsi="宋体"/>
          <w:sz w:val="22"/>
          <w:szCs w:val="22"/>
          <w:highlight w:val="none"/>
        </w:rPr>
        <w:t>　址：　　　　　　　　　　　</w:t>
      </w:r>
      <w:r>
        <w:rPr>
          <w:rFonts w:ascii="宋体" w:hAnsi="宋体"/>
          <w:sz w:val="22"/>
          <w:szCs w:val="22"/>
          <w:highlight w:val="none"/>
        </w:rPr>
        <w:t xml:space="preserve"> </w:t>
      </w:r>
      <w:r>
        <w:rPr>
          <w:rFonts w:hint="eastAsia" w:ascii="宋体" w:hAnsi="宋体"/>
          <w:sz w:val="22"/>
          <w:szCs w:val="22"/>
          <w:highlight w:val="none"/>
        </w:rPr>
        <w:t>邮政编码：　　　　　</w:t>
      </w:r>
    </w:p>
    <w:p>
      <w:pPr>
        <w:spacing w:line="560" w:lineRule="exact"/>
        <w:rPr>
          <w:rFonts w:ascii="宋体" w:hAnsi="宋体"/>
          <w:sz w:val="22"/>
          <w:szCs w:val="22"/>
          <w:highlight w:val="none"/>
          <w:u w:val="single"/>
        </w:rPr>
      </w:pPr>
      <w:r>
        <w:rPr>
          <w:rFonts w:hint="eastAsia" w:ascii="宋体" w:hAnsi="宋体"/>
          <w:sz w:val="22"/>
          <w:szCs w:val="22"/>
          <w:highlight w:val="none"/>
        </w:rPr>
        <w:t>联系人：</w:t>
      </w:r>
    </w:p>
    <w:p>
      <w:pPr>
        <w:spacing w:line="560" w:lineRule="exact"/>
        <w:rPr>
          <w:rFonts w:ascii="宋体" w:hAnsi="宋体"/>
          <w:sz w:val="22"/>
          <w:szCs w:val="22"/>
          <w:highlight w:val="none"/>
          <w:u w:val="single"/>
        </w:rPr>
      </w:pPr>
      <w:r>
        <w:rPr>
          <w:rFonts w:hint="eastAsia" w:ascii="宋体" w:hAnsi="宋体"/>
          <w:sz w:val="22"/>
          <w:szCs w:val="22"/>
          <w:highlight w:val="none"/>
        </w:rPr>
        <w:t>联系电话：　　　　　　　　　　</w:t>
      </w:r>
      <w:r>
        <w:rPr>
          <w:rFonts w:ascii="宋体" w:hAnsi="宋体"/>
          <w:sz w:val="22"/>
          <w:szCs w:val="22"/>
          <w:highlight w:val="none"/>
        </w:rPr>
        <w:t xml:space="preserve">   </w:t>
      </w:r>
      <w:r>
        <w:rPr>
          <w:rFonts w:hint="eastAsia" w:ascii="宋体" w:hAnsi="宋体"/>
          <w:sz w:val="22"/>
          <w:szCs w:val="22"/>
          <w:highlight w:val="none"/>
        </w:rPr>
        <w:t>传　　真：</w:t>
      </w:r>
      <w:r>
        <w:rPr>
          <w:rFonts w:hint="eastAsia" w:ascii="宋体" w:hAnsi="宋体"/>
          <w:sz w:val="22"/>
          <w:szCs w:val="22"/>
          <w:highlight w:val="none"/>
          <w:u w:val="single"/>
        </w:rPr>
        <w:t>　　　　　　</w:t>
      </w:r>
      <w:r>
        <w:rPr>
          <w:rFonts w:ascii="宋体" w:hAnsi="宋体"/>
          <w:sz w:val="22"/>
          <w:szCs w:val="22"/>
          <w:highlight w:val="none"/>
          <w:u w:val="single"/>
        </w:rPr>
        <w:t xml:space="preserve">   </w:t>
      </w:r>
    </w:p>
    <w:p>
      <w:pPr>
        <w:spacing w:line="560" w:lineRule="exact"/>
        <w:rPr>
          <w:rFonts w:ascii="宋体" w:hAnsi="宋体"/>
          <w:sz w:val="22"/>
          <w:szCs w:val="22"/>
          <w:highlight w:val="none"/>
        </w:rPr>
      </w:pPr>
    </w:p>
    <w:p>
      <w:pPr>
        <w:spacing w:line="560" w:lineRule="exact"/>
        <w:rPr>
          <w:rFonts w:ascii="宋体" w:hAnsi="宋体"/>
          <w:sz w:val="22"/>
          <w:szCs w:val="22"/>
          <w:highlight w:val="none"/>
        </w:rPr>
      </w:pPr>
    </w:p>
    <w:p>
      <w:pPr>
        <w:spacing w:line="560" w:lineRule="exact"/>
        <w:rPr>
          <w:rFonts w:ascii="宋体" w:hAnsi="宋体"/>
          <w:sz w:val="22"/>
          <w:szCs w:val="22"/>
          <w:highlight w:val="none"/>
        </w:rPr>
      </w:pPr>
    </w:p>
    <w:p>
      <w:pPr>
        <w:spacing w:line="560" w:lineRule="exact"/>
        <w:rPr>
          <w:rFonts w:ascii="宋体" w:hAnsi="宋体"/>
          <w:sz w:val="22"/>
          <w:szCs w:val="22"/>
          <w:highlight w:val="none"/>
        </w:rPr>
      </w:pPr>
    </w:p>
    <w:p>
      <w:pPr>
        <w:spacing w:line="560" w:lineRule="exact"/>
        <w:rPr>
          <w:rFonts w:ascii="宋体" w:hAnsi="宋体"/>
          <w:sz w:val="22"/>
          <w:szCs w:val="22"/>
          <w:highlight w:val="none"/>
        </w:rPr>
      </w:pPr>
      <w:r>
        <w:rPr>
          <w:rFonts w:hint="eastAsia" w:ascii="宋体" w:hAnsi="宋体"/>
          <w:sz w:val="22"/>
          <w:szCs w:val="22"/>
          <w:highlight w:val="none"/>
        </w:rPr>
        <w:t>投标人名称（公章）：</w:t>
      </w:r>
    </w:p>
    <w:p>
      <w:pPr>
        <w:spacing w:line="560" w:lineRule="exact"/>
        <w:rPr>
          <w:rFonts w:ascii="宋体" w:hAnsi="宋体"/>
          <w:sz w:val="22"/>
          <w:szCs w:val="22"/>
          <w:highlight w:val="none"/>
        </w:rPr>
      </w:pPr>
      <w:r>
        <w:rPr>
          <w:rFonts w:hint="eastAsia" w:ascii="宋体" w:hAnsi="宋体"/>
          <w:sz w:val="22"/>
          <w:szCs w:val="22"/>
          <w:highlight w:val="none"/>
        </w:rPr>
        <w:t>投标人地址：</w:t>
      </w:r>
    </w:p>
    <w:p>
      <w:pPr>
        <w:spacing w:line="560" w:lineRule="exact"/>
        <w:rPr>
          <w:rFonts w:ascii="宋体" w:hAnsi="宋体"/>
          <w:sz w:val="22"/>
          <w:szCs w:val="22"/>
          <w:highlight w:val="none"/>
        </w:rPr>
      </w:pPr>
      <w:r>
        <w:rPr>
          <w:rFonts w:hint="eastAsia" w:ascii="宋体" w:hAnsi="宋体"/>
          <w:sz w:val="22"/>
          <w:szCs w:val="22"/>
          <w:highlight w:val="none"/>
        </w:rPr>
        <w:t>投标人法定代表人或受委托人（签名或盖私章）：</w:t>
      </w:r>
    </w:p>
    <w:p>
      <w:pPr>
        <w:pStyle w:val="172"/>
        <w:spacing w:line="560" w:lineRule="exact"/>
        <w:rPr>
          <w:rFonts w:ascii="宋体" w:eastAsia="宋体"/>
          <w:sz w:val="22"/>
          <w:szCs w:val="22"/>
          <w:highlight w:val="none"/>
        </w:rPr>
      </w:pPr>
      <w:r>
        <w:rPr>
          <w:rFonts w:hint="eastAsia" w:ascii="宋体" w:eastAsia="宋体"/>
          <w:sz w:val="22"/>
          <w:szCs w:val="22"/>
          <w:highlight w:val="none"/>
        </w:rPr>
        <w:t>日　　　期：</w:t>
      </w:r>
    </w:p>
    <w:p>
      <w:pPr>
        <w:pStyle w:val="172"/>
        <w:spacing w:line="360" w:lineRule="auto"/>
        <w:rPr>
          <w:rFonts w:ascii="宋体" w:eastAsia="宋体"/>
          <w:sz w:val="21"/>
          <w:szCs w:val="21"/>
          <w:highlight w:val="none"/>
        </w:rPr>
      </w:pPr>
    </w:p>
    <w:p>
      <w:pPr>
        <w:pStyle w:val="172"/>
        <w:spacing w:line="360" w:lineRule="auto"/>
        <w:rPr>
          <w:rFonts w:ascii="宋体" w:eastAsia="宋体"/>
          <w:sz w:val="21"/>
          <w:szCs w:val="21"/>
          <w:highlight w:val="none"/>
        </w:rPr>
      </w:pPr>
    </w:p>
    <w:p>
      <w:pPr>
        <w:pStyle w:val="172"/>
        <w:spacing w:line="360" w:lineRule="auto"/>
        <w:rPr>
          <w:rFonts w:ascii="宋体" w:eastAsia="宋体"/>
          <w:sz w:val="21"/>
          <w:szCs w:val="21"/>
          <w:highlight w:val="none"/>
        </w:rPr>
      </w:pP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szCs w:val="21"/>
          <w:highlight w:val="none"/>
        </w:rPr>
      </w:pPr>
    </w:p>
    <w:p>
      <w:pPr>
        <w:pStyle w:val="2"/>
        <w:ind w:left="0" w:leftChars="0" w:firstLine="0" w:firstLineChars="0"/>
        <w:jc w:val="left"/>
        <w:rPr>
          <w:rFonts w:ascii="宋体" w:hAnsi="宋体"/>
          <w:b/>
          <w:spacing w:val="20"/>
          <w:sz w:val="28"/>
          <w:szCs w:val="28"/>
          <w:highlight w:val="none"/>
        </w:rPr>
      </w:pPr>
    </w:p>
    <w:p>
      <w:pPr>
        <w:widowControl/>
        <w:jc w:val="left"/>
        <w:rPr>
          <w:rFonts w:ascii="宋体" w:hAnsi="宋体"/>
          <w:b/>
          <w:spacing w:val="20"/>
          <w:kern w:val="2"/>
          <w:sz w:val="28"/>
          <w:szCs w:val="28"/>
          <w:highlight w:val="none"/>
        </w:rPr>
      </w:pPr>
      <w:r>
        <w:rPr>
          <w:rFonts w:ascii="宋体" w:hAnsi="宋体"/>
          <w:b/>
          <w:spacing w:val="20"/>
          <w:sz w:val="28"/>
          <w:szCs w:val="28"/>
          <w:highlight w:val="none"/>
        </w:rPr>
        <w:br w:type="page"/>
      </w:r>
    </w:p>
    <w:p>
      <w:pPr>
        <w:pStyle w:val="6"/>
        <w:adjustRightInd w:val="0"/>
        <w:snapToGrid w:val="0"/>
        <w:spacing w:line="360" w:lineRule="auto"/>
        <w:rPr>
          <w:rFonts w:ascii="宋体" w:hAnsi="宋体" w:eastAsia="宋体"/>
          <w:kern w:val="0"/>
          <w:sz w:val="22"/>
          <w:szCs w:val="22"/>
          <w:highlight w:val="none"/>
        </w:rPr>
      </w:pPr>
      <w:bookmarkStart w:id="11" w:name="_Toc46502803"/>
      <w:bookmarkStart w:id="12" w:name="_Toc441844117"/>
      <w:r>
        <w:rPr>
          <w:rFonts w:ascii="宋体" w:hAnsi="宋体" w:eastAsia="宋体"/>
          <w:kern w:val="0"/>
          <w:sz w:val="22"/>
          <w:szCs w:val="22"/>
          <w:highlight w:val="none"/>
        </w:rPr>
        <w:t>3</w:t>
      </w:r>
      <w:r>
        <w:rPr>
          <w:rFonts w:hint="eastAsia" w:ascii="宋体" w:hAnsi="宋体" w:eastAsia="宋体"/>
          <w:kern w:val="0"/>
          <w:sz w:val="22"/>
          <w:szCs w:val="22"/>
          <w:highlight w:val="none"/>
        </w:rPr>
        <w:t>、承诺书</w:t>
      </w:r>
      <w:bookmarkEnd w:id="11"/>
      <w:bookmarkEnd w:id="12"/>
    </w:p>
    <w:p>
      <w:pPr>
        <w:bidi w:val="0"/>
        <w:rPr>
          <w:highlight w:val="none"/>
        </w:rPr>
      </w:pPr>
    </w:p>
    <w:p>
      <w:pPr>
        <w:adjustRightInd w:val="0"/>
        <w:snapToGrid w:val="0"/>
        <w:spacing w:line="360" w:lineRule="auto"/>
        <w:rPr>
          <w:rFonts w:ascii="宋体" w:hAnsi="宋体"/>
          <w:sz w:val="22"/>
          <w:szCs w:val="22"/>
          <w:highlight w:val="none"/>
        </w:rPr>
      </w:pPr>
      <w:r>
        <w:rPr>
          <w:rFonts w:hint="eastAsia" w:ascii="宋体" w:hAnsi="宋体"/>
          <w:sz w:val="22"/>
          <w:szCs w:val="22"/>
          <w:highlight w:val="none"/>
        </w:rPr>
        <w:t>致：</w:t>
      </w:r>
      <w:r>
        <w:rPr>
          <w:rFonts w:hint="eastAsia" w:ascii="宋体" w:hAnsi="宋体"/>
          <w:sz w:val="22"/>
          <w:szCs w:val="22"/>
          <w:highlight w:val="none"/>
          <w:u w:val="single"/>
        </w:rPr>
        <w:t>（招标代理机构名称）</w:t>
      </w:r>
    </w:p>
    <w:p>
      <w:pPr>
        <w:adjustRightInd w:val="0"/>
        <w:snapToGrid w:val="0"/>
        <w:spacing w:line="360" w:lineRule="auto"/>
        <w:ind w:firstLine="420"/>
        <w:rPr>
          <w:rFonts w:ascii="宋体" w:hAnsi="宋体"/>
          <w:sz w:val="22"/>
          <w:szCs w:val="22"/>
          <w:highlight w:val="none"/>
        </w:rPr>
      </w:pPr>
      <w:r>
        <w:rPr>
          <w:rFonts w:hint="eastAsia" w:ascii="宋体" w:hAnsi="宋体"/>
          <w:sz w:val="22"/>
          <w:szCs w:val="22"/>
          <w:highlight w:val="none"/>
        </w:rPr>
        <w:t>我方已完整阅读了东莞巴士有限公司充电服务资格供应商采购项目（项目编号：</w:t>
      </w:r>
      <w:r>
        <w:rPr>
          <w:rFonts w:ascii="宋体" w:hAnsi="宋体" w:cs="宋体"/>
          <w:sz w:val="22"/>
          <w:szCs w:val="21"/>
          <w:highlight w:val="none"/>
        </w:rPr>
        <w:t>BS-CG2020045</w:t>
      </w:r>
      <w:r>
        <w:rPr>
          <w:rFonts w:hint="eastAsia" w:ascii="宋体" w:hAnsi="宋体"/>
          <w:sz w:val="24"/>
          <w:szCs w:val="24"/>
          <w:highlight w:val="none"/>
        </w:rPr>
        <w:t>）</w:t>
      </w:r>
      <w:r>
        <w:rPr>
          <w:rFonts w:hint="eastAsia" w:ascii="宋体" w:hAnsi="宋体"/>
          <w:sz w:val="22"/>
          <w:szCs w:val="22"/>
          <w:highlight w:val="none"/>
        </w:rPr>
        <w:t>招标文件的所有内容（包括澄清，以及所有已提供的参考资料和有关附件），并完全理解上述文件所表达的意思，该项目递交投标文件时间截止后，我方承诺不再对上述文件内容进行询问或质疑。</w:t>
      </w:r>
    </w:p>
    <w:p>
      <w:pPr>
        <w:adjustRightInd w:val="0"/>
        <w:snapToGrid w:val="0"/>
        <w:spacing w:line="360" w:lineRule="auto"/>
        <w:ind w:firstLine="420"/>
        <w:rPr>
          <w:rFonts w:ascii="宋体" w:hAnsi="宋体"/>
          <w:sz w:val="22"/>
          <w:szCs w:val="22"/>
          <w:highlight w:val="none"/>
        </w:rPr>
      </w:pPr>
    </w:p>
    <w:p>
      <w:pPr>
        <w:adjustRightInd w:val="0"/>
        <w:snapToGrid w:val="0"/>
        <w:spacing w:line="360" w:lineRule="auto"/>
        <w:ind w:firstLine="420"/>
        <w:rPr>
          <w:rFonts w:ascii="宋体" w:hAnsi="宋体"/>
          <w:sz w:val="22"/>
          <w:szCs w:val="22"/>
          <w:highlight w:val="none"/>
        </w:rPr>
      </w:pPr>
    </w:p>
    <w:p>
      <w:pPr>
        <w:adjustRightInd w:val="0"/>
        <w:snapToGrid w:val="0"/>
        <w:spacing w:line="360" w:lineRule="auto"/>
        <w:ind w:firstLine="420"/>
        <w:rPr>
          <w:rFonts w:ascii="宋体" w:hAnsi="宋体"/>
          <w:sz w:val="22"/>
          <w:szCs w:val="22"/>
          <w:highlight w:val="none"/>
        </w:rPr>
      </w:pPr>
    </w:p>
    <w:p>
      <w:pPr>
        <w:adjustRightInd w:val="0"/>
        <w:snapToGrid w:val="0"/>
        <w:spacing w:line="360" w:lineRule="auto"/>
        <w:ind w:firstLine="420"/>
        <w:rPr>
          <w:rFonts w:ascii="宋体" w:hAnsi="宋体"/>
          <w:sz w:val="22"/>
          <w:szCs w:val="22"/>
          <w:highlight w:val="none"/>
        </w:rPr>
      </w:pPr>
    </w:p>
    <w:p>
      <w:pPr>
        <w:pStyle w:val="55"/>
        <w:adjustRightInd w:val="0"/>
        <w:snapToGrid w:val="0"/>
        <w:spacing w:line="360" w:lineRule="auto"/>
        <w:ind w:firstLine="3520" w:firstLineChars="1600"/>
        <w:rPr>
          <w:rFonts w:ascii="宋体" w:eastAsia="宋体"/>
          <w:sz w:val="22"/>
          <w:szCs w:val="22"/>
          <w:highlight w:val="none"/>
        </w:rPr>
      </w:pPr>
      <w:r>
        <w:rPr>
          <w:rFonts w:hint="eastAsia" w:ascii="宋体" w:eastAsia="宋体"/>
          <w:sz w:val="22"/>
          <w:szCs w:val="22"/>
          <w:highlight w:val="none"/>
        </w:rPr>
        <w:t>投标人名称（加盖公章）：</w:t>
      </w:r>
    </w:p>
    <w:p>
      <w:pPr>
        <w:pStyle w:val="55"/>
        <w:adjustRightInd w:val="0"/>
        <w:snapToGrid w:val="0"/>
        <w:spacing w:line="360" w:lineRule="auto"/>
        <w:ind w:firstLine="3520" w:firstLineChars="1600"/>
        <w:rPr>
          <w:rFonts w:ascii="宋体" w:eastAsia="宋体"/>
          <w:sz w:val="22"/>
          <w:szCs w:val="22"/>
          <w:highlight w:val="none"/>
        </w:rPr>
      </w:pPr>
      <w:r>
        <w:rPr>
          <w:rFonts w:hint="eastAsia" w:ascii="宋体" w:eastAsia="宋体"/>
          <w:sz w:val="22"/>
          <w:szCs w:val="22"/>
          <w:highlight w:val="none"/>
        </w:rPr>
        <w:t>投标人法定代表人或被授权人（签名或盖章）：</w:t>
      </w:r>
    </w:p>
    <w:p>
      <w:pPr>
        <w:pStyle w:val="55"/>
        <w:adjustRightInd w:val="0"/>
        <w:snapToGrid w:val="0"/>
        <w:spacing w:line="360" w:lineRule="auto"/>
        <w:ind w:firstLine="3520" w:firstLineChars="1600"/>
        <w:rPr>
          <w:rFonts w:ascii="宋体" w:eastAsia="宋体"/>
          <w:sz w:val="22"/>
          <w:szCs w:val="22"/>
          <w:highlight w:val="none"/>
        </w:rPr>
      </w:pPr>
      <w:r>
        <w:rPr>
          <w:rFonts w:hint="eastAsia" w:ascii="宋体"/>
          <w:sz w:val="22"/>
          <w:szCs w:val="22"/>
          <w:highlight w:val="none"/>
        </w:rPr>
        <w:t>日期：　　年　　月　　日</w:t>
      </w:r>
    </w:p>
    <w:p>
      <w:pPr>
        <w:widowControl/>
        <w:jc w:val="left"/>
        <w:rPr>
          <w:rFonts w:ascii="宋体"/>
          <w:kern w:val="2"/>
          <w:sz w:val="22"/>
          <w:szCs w:val="22"/>
          <w:highlight w:val="none"/>
        </w:rPr>
      </w:pPr>
      <w:r>
        <w:rPr>
          <w:rFonts w:ascii="宋体"/>
          <w:sz w:val="22"/>
          <w:szCs w:val="22"/>
          <w:highlight w:val="none"/>
        </w:rPr>
        <w:br w:type="page"/>
      </w:r>
    </w:p>
    <w:p>
      <w:pPr>
        <w:pStyle w:val="6"/>
        <w:adjustRightInd w:val="0"/>
        <w:snapToGrid w:val="0"/>
        <w:spacing w:line="360" w:lineRule="auto"/>
        <w:rPr>
          <w:rFonts w:ascii="宋体" w:hAnsi="宋体" w:eastAsia="宋体"/>
          <w:kern w:val="0"/>
          <w:sz w:val="22"/>
          <w:szCs w:val="22"/>
          <w:highlight w:val="none"/>
        </w:rPr>
      </w:pPr>
      <w:r>
        <w:rPr>
          <w:rFonts w:ascii="宋体" w:hAnsi="宋体"/>
          <w:kern w:val="0"/>
          <w:sz w:val="22"/>
          <w:szCs w:val="22"/>
          <w:highlight w:val="none"/>
        </w:rPr>
        <w:t>4、</w:t>
      </w:r>
      <w:bookmarkStart w:id="13" w:name="_Toc395863122"/>
      <w:bookmarkStart w:id="14" w:name="_Toc401738103"/>
      <w:bookmarkStart w:id="15" w:name="_Toc326689517"/>
      <w:bookmarkStart w:id="16" w:name="_Toc321994782"/>
      <w:bookmarkStart w:id="17" w:name="_Toc427232351"/>
      <w:r>
        <w:rPr>
          <w:rFonts w:hint="eastAsia" w:ascii="宋体" w:hAnsi="宋体" w:eastAsia="宋体"/>
          <w:kern w:val="0"/>
          <w:sz w:val="22"/>
          <w:szCs w:val="22"/>
          <w:highlight w:val="none"/>
        </w:rPr>
        <w:t>法定代表人身份证明书</w:t>
      </w:r>
      <w:bookmarkEnd w:id="13"/>
      <w:bookmarkEnd w:id="14"/>
      <w:bookmarkEnd w:id="15"/>
      <w:bookmarkEnd w:id="16"/>
      <w:bookmarkEnd w:id="17"/>
    </w:p>
    <w:p>
      <w:pPr>
        <w:spacing w:line="560" w:lineRule="exact"/>
        <w:jc w:val="center"/>
        <w:rPr>
          <w:rFonts w:ascii="宋体" w:hAnsi="宋体"/>
          <w:b/>
          <w:sz w:val="24"/>
          <w:highlight w:val="none"/>
        </w:rPr>
      </w:pPr>
    </w:p>
    <w:p>
      <w:pPr>
        <w:pStyle w:val="172"/>
        <w:spacing w:line="560" w:lineRule="exact"/>
        <w:rPr>
          <w:rFonts w:ascii="宋体" w:eastAsia="宋体"/>
          <w:sz w:val="22"/>
          <w:szCs w:val="22"/>
          <w:highlight w:val="none"/>
        </w:rPr>
      </w:pPr>
      <w:r>
        <w:rPr>
          <w:rFonts w:hint="eastAsia" w:ascii="宋体" w:eastAsia="宋体"/>
          <w:sz w:val="22"/>
          <w:szCs w:val="22"/>
          <w:highlight w:val="none"/>
        </w:rPr>
        <w:t>致：</w:t>
      </w:r>
      <w:r>
        <w:rPr>
          <w:rFonts w:ascii="宋体" w:eastAsia="宋体"/>
          <w:sz w:val="22"/>
          <w:szCs w:val="22"/>
          <w:highlight w:val="none"/>
        </w:rPr>
        <w:t>东莞巴士有限公司</w:t>
      </w:r>
    </w:p>
    <w:p>
      <w:pPr>
        <w:pStyle w:val="55"/>
        <w:spacing w:line="560" w:lineRule="exact"/>
        <w:ind w:firstLine="563" w:firstLineChars="256"/>
        <w:rPr>
          <w:rFonts w:ascii="宋体" w:eastAsia="宋体"/>
          <w:sz w:val="22"/>
          <w:szCs w:val="22"/>
          <w:highlight w:val="none"/>
        </w:rPr>
      </w:pPr>
      <w:r>
        <w:rPr>
          <w:rFonts w:hint="eastAsia" w:ascii="宋体" w:eastAsia="宋体"/>
          <w:sz w:val="22"/>
          <w:szCs w:val="22"/>
          <w:highlight w:val="none"/>
        </w:rPr>
        <w:t>本证明书声明：注册于</w:t>
      </w:r>
      <w:r>
        <w:rPr>
          <w:rFonts w:ascii="宋体" w:eastAsia="宋体"/>
          <w:sz w:val="22"/>
          <w:szCs w:val="22"/>
          <w:highlight w:val="none"/>
          <w:u w:val="single"/>
        </w:rPr>
        <w:t xml:space="preserve">  </w:t>
      </w:r>
      <w:r>
        <w:rPr>
          <w:rFonts w:hint="eastAsia" w:ascii="宋体" w:eastAsia="宋体"/>
          <w:sz w:val="22"/>
          <w:szCs w:val="22"/>
          <w:highlight w:val="none"/>
          <w:u w:val="single"/>
        </w:rPr>
        <w:t>（国家名称）</w:t>
      </w:r>
      <w:r>
        <w:rPr>
          <w:rFonts w:ascii="宋体" w:eastAsia="宋体"/>
          <w:sz w:val="22"/>
          <w:szCs w:val="22"/>
          <w:highlight w:val="none"/>
          <w:u w:val="single"/>
        </w:rPr>
        <w:t xml:space="preserve">  </w:t>
      </w:r>
      <w:r>
        <w:rPr>
          <w:rFonts w:hint="eastAsia" w:ascii="宋体" w:eastAsia="宋体"/>
          <w:sz w:val="22"/>
          <w:szCs w:val="22"/>
          <w:highlight w:val="none"/>
        </w:rPr>
        <w:t>的</w:t>
      </w:r>
      <w:r>
        <w:rPr>
          <w:rFonts w:hint="eastAsia" w:ascii="宋体" w:eastAsia="宋体"/>
          <w:sz w:val="22"/>
          <w:szCs w:val="22"/>
          <w:highlight w:val="none"/>
          <w:u w:val="single"/>
        </w:rPr>
        <w:t>　</w:t>
      </w:r>
      <w:r>
        <w:rPr>
          <w:rFonts w:ascii="宋体" w:eastAsia="宋体"/>
          <w:sz w:val="22"/>
          <w:szCs w:val="22"/>
          <w:highlight w:val="none"/>
          <w:u w:val="single"/>
        </w:rPr>
        <w:t xml:space="preserve">     </w:t>
      </w:r>
      <w:r>
        <w:rPr>
          <w:rFonts w:ascii="宋体" w:hAnsi="Calibri" w:eastAsia="宋体"/>
          <w:i/>
          <w:sz w:val="22"/>
          <w:szCs w:val="22"/>
          <w:highlight w:val="none"/>
          <w:u w:val="single"/>
        </w:rPr>
        <w:t xml:space="preserve"> </w:t>
      </w:r>
      <w:r>
        <w:rPr>
          <w:rFonts w:hint="eastAsia" w:ascii="宋体" w:hAnsi="Calibri" w:eastAsia="宋体"/>
          <w:i/>
          <w:sz w:val="22"/>
          <w:szCs w:val="22"/>
          <w:highlight w:val="none"/>
          <w:u w:val="single"/>
        </w:rPr>
        <w:t>（投标人名称）</w:t>
      </w:r>
      <w:r>
        <w:rPr>
          <w:rFonts w:ascii="宋体" w:eastAsia="宋体"/>
          <w:sz w:val="22"/>
          <w:szCs w:val="22"/>
          <w:highlight w:val="none"/>
          <w:u w:val="single"/>
        </w:rPr>
        <w:t xml:space="preserve">   </w:t>
      </w:r>
      <w:r>
        <w:rPr>
          <w:rFonts w:hint="eastAsia" w:ascii="宋体" w:eastAsia="宋体"/>
          <w:sz w:val="22"/>
          <w:szCs w:val="22"/>
          <w:highlight w:val="none"/>
          <w:u w:val="single"/>
        </w:rPr>
        <w:t>　</w:t>
      </w:r>
      <w:r>
        <w:rPr>
          <w:rFonts w:ascii="宋体" w:eastAsia="宋体"/>
          <w:sz w:val="22"/>
          <w:szCs w:val="22"/>
          <w:highlight w:val="none"/>
          <w:u w:val="single"/>
        </w:rPr>
        <w:t xml:space="preserve">   </w:t>
      </w:r>
      <w:r>
        <w:rPr>
          <w:rFonts w:hint="eastAsia" w:ascii="宋体" w:eastAsia="宋体"/>
          <w:sz w:val="22"/>
          <w:szCs w:val="22"/>
          <w:highlight w:val="none"/>
        </w:rPr>
        <w:t>在下面签字的</w:t>
      </w:r>
      <w:r>
        <w:rPr>
          <w:rFonts w:hint="eastAsia" w:ascii="宋体" w:eastAsia="宋体"/>
          <w:sz w:val="22"/>
          <w:szCs w:val="22"/>
          <w:highlight w:val="none"/>
          <w:u w:val="single"/>
        </w:rPr>
        <w:t>　</w:t>
      </w:r>
      <w:r>
        <w:rPr>
          <w:rFonts w:hint="eastAsia" w:ascii="宋体" w:eastAsia="宋体"/>
          <w:i/>
          <w:sz w:val="22"/>
          <w:szCs w:val="22"/>
          <w:highlight w:val="none"/>
          <w:u w:val="single"/>
        </w:rPr>
        <w:t>（法定代表人姓名、职务）</w:t>
      </w:r>
      <w:r>
        <w:rPr>
          <w:rFonts w:ascii="宋体" w:eastAsia="宋体"/>
          <w:i/>
          <w:sz w:val="22"/>
          <w:szCs w:val="22"/>
          <w:highlight w:val="none"/>
          <w:u w:val="single"/>
        </w:rPr>
        <w:t xml:space="preserve">  </w:t>
      </w:r>
      <w:r>
        <w:rPr>
          <w:rFonts w:hint="eastAsia" w:ascii="宋体" w:eastAsia="宋体"/>
          <w:sz w:val="22"/>
          <w:szCs w:val="22"/>
          <w:highlight w:val="none"/>
        </w:rPr>
        <w:t>为本公司的合法代表人（</w:t>
      </w:r>
      <w:r>
        <w:rPr>
          <w:rFonts w:hint="eastAsia" w:ascii="宋体" w:eastAsia="宋体"/>
          <w:b/>
          <w:sz w:val="22"/>
          <w:szCs w:val="22"/>
          <w:highlight w:val="none"/>
        </w:rPr>
        <w:t>相关身份证复印件须附后</w:t>
      </w:r>
      <w:r>
        <w:rPr>
          <w:rFonts w:hint="eastAsia" w:ascii="宋体" w:eastAsia="宋体"/>
          <w:sz w:val="22"/>
          <w:szCs w:val="22"/>
          <w:highlight w:val="none"/>
        </w:rPr>
        <w:t>）。</w:t>
      </w:r>
    </w:p>
    <w:p>
      <w:pPr>
        <w:spacing w:line="560" w:lineRule="exact"/>
        <w:ind w:firstLine="440" w:firstLineChars="200"/>
        <w:rPr>
          <w:rFonts w:ascii="宋体" w:hAnsi="宋体"/>
          <w:sz w:val="22"/>
          <w:szCs w:val="22"/>
          <w:highlight w:val="none"/>
        </w:rPr>
      </w:pPr>
      <w:r>
        <w:rPr>
          <w:rFonts w:hint="eastAsia" w:ascii="宋体" w:hAnsi="宋体"/>
          <w:sz w:val="22"/>
          <w:szCs w:val="22"/>
          <w:highlight w:val="none"/>
        </w:rPr>
        <w:t>特此证明。</w:t>
      </w:r>
    </w:p>
    <w:p>
      <w:pPr>
        <w:spacing w:line="560" w:lineRule="exact"/>
        <w:ind w:firstLine="440" w:firstLineChars="200"/>
        <w:rPr>
          <w:rFonts w:ascii="宋体" w:hAnsi="宋体"/>
          <w:sz w:val="22"/>
          <w:szCs w:val="22"/>
          <w:highlight w:val="none"/>
        </w:rPr>
      </w:pPr>
    </w:p>
    <w:p>
      <w:pPr>
        <w:spacing w:line="560" w:lineRule="exact"/>
        <w:ind w:firstLine="440" w:firstLineChars="200"/>
        <w:rPr>
          <w:rFonts w:ascii="宋体" w:hAnsi="宋体"/>
          <w:sz w:val="22"/>
          <w:szCs w:val="22"/>
          <w:highlight w:val="none"/>
        </w:rPr>
      </w:pPr>
    </w:p>
    <w:p>
      <w:pPr>
        <w:spacing w:line="560" w:lineRule="exact"/>
        <w:ind w:left="4114" w:leftChars="2057"/>
        <w:rPr>
          <w:rFonts w:ascii="宋体" w:hAnsi="宋体"/>
          <w:sz w:val="22"/>
          <w:szCs w:val="22"/>
          <w:highlight w:val="none"/>
        </w:rPr>
      </w:pPr>
      <w:r>
        <w:rPr>
          <w:rFonts w:hint="eastAsia" w:ascii="宋体" w:hAnsi="宋体"/>
          <w:sz w:val="22"/>
          <w:szCs w:val="22"/>
          <w:highlight w:val="none"/>
        </w:rPr>
        <w:t>投标人名称（公章）：</w:t>
      </w:r>
    </w:p>
    <w:p>
      <w:pPr>
        <w:spacing w:line="560" w:lineRule="exact"/>
        <w:ind w:left="4114" w:leftChars="2057"/>
        <w:rPr>
          <w:rFonts w:ascii="宋体" w:hAnsi="宋体"/>
          <w:sz w:val="22"/>
          <w:szCs w:val="22"/>
          <w:highlight w:val="none"/>
        </w:rPr>
      </w:pPr>
      <w:r>
        <w:rPr>
          <w:rFonts w:hint="eastAsia" w:ascii="宋体" w:hAnsi="宋体"/>
          <w:sz w:val="22"/>
          <w:szCs w:val="22"/>
          <w:highlight w:val="none"/>
        </w:rPr>
        <w:t>投标人地址：</w:t>
      </w:r>
    </w:p>
    <w:p>
      <w:pPr>
        <w:spacing w:line="560" w:lineRule="exact"/>
        <w:ind w:left="4114" w:leftChars="2057"/>
        <w:rPr>
          <w:rFonts w:ascii="宋体" w:hAnsi="宋体"/>
          <w:sz w:val="22"/>
          <w:szCs w:val="22"/>
          <w:highlight w:val="none"/>
        </w:rPr>
      </w:pPr>
      <w:r>
        <w:rPr>
          <w:rFonts w:hint="eastAsia" w:ascii="宋体" w:hAnsi="宋体"/>
          <w:sz w:val="22"/>
          <w:szCs w:val="22"/>
          <w:highlight w:val="none"/>
        </w:rPr>
        <w:t>法定代表人（签字或盖私章）：</w:t>
      </w:r>
    </w:p>
    <w:p>
      <w:pPr>
        <w:spacing w:line="560" w:lineRule="exact"/>
        <w:ind w:left="4114" w:leftChars="2057"/>
        <w:rPr>
          <w:rFonts w:ascii="宋体" w:hAnsi="宋体"/>
          <w:sz w:val="22"/>
          <w:szCs w:val="22"/>
          <w:highlight w:val="none"/>
        </w:rPr>
      </w:pPr>
      <w:r>
        <w:rPr>
          <w:rFonts w:hint="eastAsia" w:ascii="宋体" w:hAnsi="宋体"/>
          <w:sz w:val="22"/>
          <w:szCs w:val="22"/>
          <w:highlight w:val="none"/>
        </w:rPr>
        <w:t>职　　　务：</w:t>
      </w:r>
    </w:p>
    <w:p>
      <w:pPr>
        <w:widowControl/>
        <w:jc w:val="left"/>
        <w:rPr>
          <w:rFonts w:ascii="宋体" w:hAnsi="宋体"/>
          <w:bCs/>
          <w:spacing w:val="20"/>
          <w:kern w:val="2"/>
          <w:sz w:val="22"/>
          <w:szCs w:val="22"/>
          <w:highlight w:val="none"/>
        </w:rPr>
      </w:pPr>
      <w:r>
        <w:rPr>
          <w:rFonts w:ascii="宋体" w:hAnsi="宋体"/>
          <w:bCs/>
          <w:spacing w:val="20"/>
          <w:kern w:val="2"/>
          <w:sz w:val="22"/>
          <w:szCs w:val="22"/>
          <w:highlight w:val="none"/>
        </w:rPr>
        <w:br w:type="page"/>
      </w:r>
    </w:p>
    <w:p>
      <w:pPr>
        <w:pStyle w:val="6"/>
        <w:adjustRightInd w:val="0"/>
        <w:snapToGrid w:val="0"/>
        <w:spacing w:line="360" w:lineRule="auto"/>
        <w:rPr>
          <w:rFonts w:ascii="宋体" w:hAnsi="宋体" w:eastAsia="宋体"/>
          <w:kern w:val="0"/>
          <w:sz w:val="22"/>
          <w:szCs w:val="22"/>
          <w:highlight w:val="none"/>
        </w:rPr>
      </w:pPr>
      <w:r>
        <w:rPr>
          <w:rFonts w:ascii="宋体" w:hAnsi="宋体" w:eastAsia="宋体"/>
          <w:kern w:val="0"/>
          <w:sz w:val="22"/>
          <w:szCs w:val="22"/>
          <w:highlight w:val="none"/>
        </w:rPr>
        <w:t>5</w:t>
      </w:r>
      <w:r>
        <w:rPr>
          <w:rFonts w:hint="eastAsia" w:ascii="宋体" w:hAnsi="宋体" w:eastAsia="宋体"/>
          <w:kern w:val="0"/>
          <w:sz w:val="22"/>
          <w:szCs w:val="22"/>
          <w:highlight w:val="none"/>
        </w:rPr>
        <w:t>、法人授权委托证明书</w:t>
      </w:r>
    </w:p>
    <w:p>
      <w:pPr>
        <w:spacing w:line="560" w:lineRule="exact"/>
        <w:jc w:val="center"/>
        <w:rPr>
          <w:rFonts w:ascii="宋体" w:hAnsi="宋体"/>
          <w:b/>
          <w:sz w:val="24"/>
          <w:highlight w:val="none"/>
        </w:rPr>
      </w:pPr>
    </w:p>
    <w:p>
      <w:pPr>
        <w:pStyle w:val="172"/>
        <w:spacing w:line="560" w:lineRule="exact"/>
        <w:rPr>
          <w:rFonts w:ascii="宋体" w:eastAsia="宋体"/>
          <w:sz w:val="22"/>
          <w:szCs w:val="22"/>
          <w:highlight w:val="none"/>
        </w:rPr>
      </w:pPr>
      <w:r>
        <w:rPr>
          <w:rFonts w:hint="eastAsia" w:ascii="宋体" w:eastAsia="宋体"/>
          <w:sz w:val="22"/>
          <w:szCs w:val="22"/>
          <w:highlight w:val="none"/>
        </w:rPr>
        <w:t>致：</w:t>
      </w:r>
      <w:r>
        <w:rPr>
          <w:rFonts w:ascii="宋体" w:eastAsia="宋体"/>
          <w:sz w:val="22"/>
          <w:szCs w:val="22"/>
          <w:highlight w:val="none"/>
        </w:rPr>
        <w:t>东莞巴士有限公司</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本委托书声明：在下面签字的</w:t>
      </w:r>
      <w:r>
        <w:rPr>
          <w:rFonts w:ascii="宋体" w:eastAsia="宋体"/>
          <w:sz w:val="22"/>
          <w:szCs w:val="22"/>
          <w:highlight w:val="none"/>
          <w:u w:val="single"/>
        </w:rPr>
        <w:t xml:space="preserve">    </w:t>
      </w:r>
      <w:r>
        <w:rPr>
          <w:rFonts w:hint="eastAsia" w:ascii="宋体" w:eastAsia="宋体"/>
          <w:sz w:val="22"/>
          <w:szCs w:val="22"/>
          <w:highlight w:val="none"/>
          <w:u w:val="single"/>
        </w:rPr>
        <w:t>（法定代表人姓名、职务）</w:t>
      </w:r>
      <w:r>
        <w:rPr>
          <w:rFonts w:hint="eastAsia" w:ascii="宋体" w:eastAsia="宋体"/>
          <w:sz w:val="22"/>
          <w:szCs w:val="22"/>
          <w:highlight w:val="none"/>
        </w:rPr>
        <w:t>代表</w:t>
      </w:r>
      <w:r>
        <w:rPr>
          <w:rFonts w:ascii="宋体" w:eastAsia="宋体"/>
          <w:sz w:val="22"/>
          <w:szCs w:val="22"/>
          <w:highlight w:val="none"/>
          <w:u w:val="single"/>
        </w:rPr>
        <w:t xml:space="preserve">     </w:t>
      </w:r>
      <w:r>
        <w:rPr>
          <w:rFonts w:hint="eastAsia" w:ascii="宋体" w:eastAsia="宋体"/>
          <w:sz w:val="22"/>
          <w:szCs w:val="22"/>
          <w:highlight w:val="none"/>
          <w:u w:val="single"/>
        </w:rPr>
        <w:t>（投标人名称）</w:t>
      </w:r>
      <w:r>
        <w:rPr>
          <w:rFonts w:hint="eastAsia" w:ascii="宋体" w:eastAsia="宋体"/>
          <w:sz w:val="22"/>
          <w:szCs w:val="22"/>
          <w:highlight w:val="none"/>
        </w:rPr>
        <w:t>委托在下面签字的</w:t>
      </w:r>
      <w:r>
        <w:rPr>
          <w:rFonts w:ascii="宋体" w:eastAsia="宋体"/>
          <w:sz w:val="22"/>
          <w:szCs w:val="22"/>
          <w:highlight w:val="none"/>
          <w:u w:val="single"/>
        </w:rPr>
        <w:t xml:space="preserve">    </w:t>
      </w:r>
      <w:r>
        <w:rPr>
          <w:rFonts w:hint="eastAsia" w:ascii="宋体" w:eastAsia="宋体"/>
          <w:sz w:val="22"/>
          <w:szCs w:val="22"/>
          <w:highlight w:val="none"/>
          <w:u w:val="single"/>
        </w:rPr>
        <w:t>（受委托人的姓名、职务）</w:t>
      </w:r>
      <w:r>
        <w:rPr>
          <w:rFonts w:hint="eastAsia" w:ascii="宋体" w:eastAsia="宋体"/>
          <w:sz w:val="22"/>
          <w:szCs w:val="22"/>
          <w:highlight w:val="none"/>
        </w:rPr>
        <w:t>为本公司的合法代表人，就</w:t>
      </w:r>
      <w:r>
        <w:rPr>
          <w:rFonts w:ascii="宋体" w:eastAsia="宋体"/>
          <w:sz w:val="22"/>
          <w:szCs w:val="22"/>
          <w:highlight w:val="none"/>
        </w:rPr>
        <w:t xml:space="preserve">  </w:t>
      </w:r>
      <w:r>
        <w:rPr>
          <w:rFonts w:ascii="宋体" w:eastAsia="宋体"/>
          <w:sz w:val="22"/>
          <w:szCs w:val="22"/>
          <w:highlight w:val="none"/>
          <w:u w:val="single"/>
        </w:rPr>
        <w:t xml:space="preserve">              </w:t>
      </w:r>
      <w:r>
        <w:rPr>
          <w:rFonts w:hint="eastAsia" w:ascii="宋体" w:eastAsia="宋体"/>
          <w:sz w:val="22"/>
          <w:szCs w:val="22"/>
          <w:highlight w:val="none"/>
          <w:u w:val="single"/>
        </w:rPr>
        <w:t>项目</w:t>
      </w:r>
      <w:r>
        <w:rPr>
          <w:rFonts w:hint="eastAsia" w:ascii="宋体" w:eastAsia="宋体"/>
          <w:sz w:val="22"/>
          <w:szCs w:val="22"/>
          <w:highlight w:val="none"/>
        </w:rPr>
        <w:t>（采购编号：</w:t>
      </w:r>
      <w:r>
        <w:rPr>
          <w:rFonts w:ascii="宋体" w:eastAsia="宋体"/>
          <w:sz w:val="22"/>
          <w:szCs w:val="22"/>
          <w:highlight w:val="none"/>
          <w:u w:val="single"/>
        </w:rPr>
        <w:t xml:space="preserve">       </w:t>
      </w:r>
      <w:r>
        <w:rPr>
          <w:rFonts w:hint="eastAsia" w:ascii="宋体" w:eastAsia="宋体"/>
          <w:sz w:val="22"/>
          <w:szCs w:val="22"/>
          <w:highlight w:val="none"/>
        </w:rPr>
        <w:t>）的投标及合同的执行，以我方的名义处理一切与之有关的事宜（</w:t>
      </w:r>
      <w:r>
        <w:rPr>
          <w:rFonts w:hint="eastAsia" w:ascii="宋体" w:eastAsia="宋体"/>
          <w:b/>
          <w:sz w:val="22"/>
          <w:szCs w:val="22"/>
          <w:highlight w:val="none"/>
        </w:rPr>
        <w:t>相关身份证复印件须附后</w:t>
      </w:r>
      <w:r>
        <w:rPr>
          <w:rFonts w:hint="eastAsia" w:ascii="宋体" w:eastAsia="宋体"/>
          <w:sz w:val="22"/>
          <w:szCs w:val="22"/>
          <w:highlight w:val="none"/>
        </w:rPr>
        <w:t>）。</w:t>
      </w:r>
    </w:p>
    <w:p>
      <w:pPr>
        <w:pStyle w:val="55"/>
        <w:spacing w:line="560" w:lineRule="exact"/>
        <w:ind w:firstLine="453"/>
        <w:rPr>
          <w:rFonts w:ascii="宋体" w:eastAsia="宋体"/>
          <w:sz w:val="22"/>
          <w:szCs w:val="22"/>
          <w:highlight w:val="none"/>
        </w:rPr>
      </w:pP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本委托书于</w:t>
      </w:r>
      <w:r>
        <w:rPr>
          <w:rFonts w:hint="eastAsia" w:ascii="宋体" w:eastAsia="宋体"/>
          <w:sz w:val="22"/>
          <w:szCs w:val="22"/>
          <w:highlight w:val="none"/>
          <w:u w:val="single"/>
        </w:rPr>
        <w:t>　</w:t>
      </w:r>
      <w:r>
        <w:rPr>
          <w:rFonts w:ascii="宋体" w:eastAsia="宋体"/>
          <w:sz w:val="22"/>
          <w:szCs w:val="22"/>
          <w:highlight w:val="none"/>
          <w:u w:val="single"/>
        </w:rPr>
        <w:t xml:space="preserve">  </w:t>
      </w:r>
      <w:r>
        <w:rPr>
          <w:rFonts w:hint="eastAsia" w:ascii="宋体" w:eastAsia="宋体"/>
          <w:sz w:val="22"/>
          <w:szCs w:val="22"/>
          <w:highlight w:val="none"/>
        </w:rPr>
        <w:t>年</w:t>
      </w:r>
      <w:r>
        <w:rPr>
          <w:rFonts w:hint="eastAsia" w:ascii="宋体" w:eastAsia="宋体"/>
          <w:sz w:val="22"/>
          <w:szCs w:val="22"/>
          <w:highlight w:val="none"/>
          <w:u w:val="single"/>
        </w:rPr>
        <w:t>　</w:t>
      </w:r>
      <w:r>
        <w:rPr>
          <w:rFonts w:ascii="宋体" w:eastAsia="宋体"/>
          <w:sz w:val="22"/>
          <w:szCs w:val="22"/>
          <w:highlight w:val="none"/>
          <w:u w:val="single"/>
        </w:rPr>
        <w:t xml:space="preserve">  </w:t>
      </w:r>
      <w:r>
        <w:rPr>
          <w:rFonts w:hint="eastAsia" w:ascii="宋体" w:eastAsia="宋体"/>
          <w:sz w:val="22"/>
          <w:szCs w:val="22"/>
          <w:highlight w:val="none"/>
        </w:rPr>
        <w:t>月</w:t>
      </w:r>
      <w:r>
        <w:rPr>
          <w:rFonts w:hint="eastAsia" w:ascii="宋体" w:eastAsia="宋体"/>
          <w:sz w:val="22"/>
          <w:szCs w:val="22"/>
          <w:highlight w:val="none"/>
          <w:u w:val="single"/>
        </w:rPr>
        <w:t>　</w:t>
      </w:r>
      <w:r>
        <w:rPr>
          <w:rFonts w:ascii="宋体" w:eastAsia="宋体"/>
          <w:sz w:val="22"/>
          <w:szCs w:val="22"/>
          <w:highlight w:val="none"/>
          <w:u w:val="single"/>
        </w:rPr>
        <w:t xml:space="preserve">  </w:t>
      </w:r>
      <w:r>
        <w:rPr>
          <w:rFonts w:hint="eastAsia" w:ascii="宋体" w:eastAsia="宋体"/>
          <w:sz w:val="22"/>
          <w:szCs w:val="22"/>
          <w:highlight w:val="none"/>
        </w:rPr>
        <w:t>日签字生效。</w:t>
      </w:r>
    </w:p>
    <w:p>
      <w:pPr>
        <w:pStyle w:val="55"/>
        <w:spacing w:line="560" w:lineRule="exact"/>
        <w:ind w:firstLine="453"/>
        <w:rPr>
          <w:rFonts w:ascii="宋体" w:eastAsia="宋体"/>
          <w:sz w:val="22"/>
          <w:szCs w:val="22"/>
          <w:highlight w:val="none"/>
        </w:rPr>
      </w:pP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投标人名称（公章）：</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投标人地址：</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法定代表人（签字或盖私章）：</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职　　　务：</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受委托人（签字或盖私章）：</w:t>
      </w:r>
    </w:p>
    <w:p>
      <w:pPr>
        <w:pStyle w:val="55"/>
        <w:spacing w:line="560" w:lineRule="exact"/>
        <w:ind w:firstLine="453"/>
        <w:rPr>
          <w:rFonts w:ascii="宋体" w:eastAsia="宋体"/>
          <w:sz w:val="22"/>
          <w:szCs w:val="22"/>
          <w:highlight w:val="none"/>
        </w:rPr>
      </w:pPr>
      <w:r>
        <w:rPr>
          <w:rFonts w:hint="eastAsia" w:ascii="宋体" w:eastAsia="宋体"/>
          <w:sz w:val="22"/>
          <w:szCs w:val="22"/>
          <w:highlight w:val="none"/>
        </w:rPr>
        <w:t>职　　　务：</w:t>
      </w:r>
    </w:p>
    <w:p>
      <w:pPr>
        <w:pStyle w:val="55"/>
        <w:spacing w:line="560" w:lineRule="exact"/>
        <w:ind w:firstLine="433"/>
        <w:rPr>
          <w:rFonts w:ascii="宋体" w:eastAsia="宋体"/>
          <w:sz w:val="21"/>
          <w:szCs w:val="21"/>
          <w:highlight w:val="none"/>
        </w:rPr>
      </w:pPr>
    </w:p>
    <w:p>
      <w:pPr>
        <w:spacing w:line="560" w:lineRule="exact"/>
        <w:rPr>
          <w:rFonts w:ascii="宋体" w:hAnsi="宋体"/>
          <w:szCs w:val="21"/>
          <w:highlight w:val="none"/>
        </w:rPr>
      </w:pPr>
      <w:r>
        <w:rPr>
          <w:rFonts w:hint="eastAsia" w:ascii="宋体" w:hAnsi="宋体"/>
          <w:szCs w:val="21"/>
          <w:highlight w:val="none"/>
        </w:rPr>
        <w:t>　　　　　　</w:t>
      </w:r>
    </w:p>
    <w:p>
      <w:pPr>
        <w:spacing w:line="560" w:lineRule="exact"/>
        <w:rPr>
          <w:rFonts w:ascii="宋体" w:hAnsi="宋体"/>
          <w:szCs w:val="21"/>
          <w:highlight w:val="none"/>
        </w:rPr>
      </w:pPr>
    </w:p>
    <w:p>
      <w:pPr>
        <w:spacing w:line="560" w:lineRule="exact"/>
        <w:rPr>
          <w:rFonts w:ascii="宋体" w:hAnsi="宋体"/>
          <w:szCs w:val="21"/>
          <w:highlight w:val="none"/>
        </w:rPr>
      </w:pPr>
    </w:p>
    <w:p>
      <w:pPr>
        <w:spacing w:line="560" w:lineRule="exact"/>
        <w:rPr>
          <w:rFonts w:ascii="宋体" w:hAnsi="宋体"/>
          <w:szCs w:val="21"/>
          <w:highlight w:val="none"/>
        </w:rPr>
      </w:pPr>
    </w:p>
    <w:p>
      <w:pPr>
        <w:spacing w:line="560" w:lineRule="exact"/>
        <w:rPr>
          <w:rFonts w:ascii="宋体" w:hAnsi="宋体"/>
          <w:szCs w:val="21"/>
          <w:highlight w:val="none"/>
        </w:rPr>
      </w:pPr>
    </w:p>
    <w:p>
      <w:pPr>
        <w:spacing w:line="560" w:lineRule="exact"/>
        <w:rPr>
          <w:rFonts w:ascii="宋体" w:hAnsi="宋体"/>
          <w:b/>
          <w:szCs w:val="21"/>
          <w:highlight w:val="none"/>
        </w:rPr>
      </w:pPr>
      <w:r>
        <w:rPr>
          <w:rFonts w:hint="eastAsia" w:ascii="宋体" w:hAnsi="宋体"/>
          <w:b/>
          <w:szCs w:val="21"/>
          <w:highlight w:val="none"/>
        </w:rPr>
        <w:t>注：如法定代表人投标不需附本表。</w:t>
      </w:r>
    </w:p>
    <w:p>
      <w:pPr>
        <w:widowControl/>
        <w:jc w:val="left"/>
        <w:rPr>
          <w:rFonts w:ascii="宋体" w:hAnsi="宋体"/>
          <w:bCs/>
          <w:spacing w:val="20"/>
          <w:kern w:val="2"/>
          <w:sz w:val="22"/>
          <w:szCs w:val="22"/>
          <w:highlight w:val="none"/>
        </w:rPr>
      </w:pPr>
      <w:r>
        <w:rPr>
          <w:rFonts w:ascii="宋体" w:hAnsi="宋体"/>
          <w:bCs/>
          <w:spacing w:val="20"/>
          <w:sz w:val="22"/>
          <w:szCs w:val="22"/>
          <w:highlight w:val="none"/>
        </w:rPr>
        <w:br w:type="page"/>
      </w:r>
    </w:p>
    <w:p>
      <w:pPr>
        <w:pStyle w:val="6"/>
        <w:adjustRightInd w:val="0"/>
        <w:snapToGrid w:val="0"/>
        <w:spacing w:line="360" w:lineRule="auto"/>
        <w:rPr>
          <w:rFonts w:ascii="宋体" w:hAnsi="宋体" w:eastAsia="宋体"/>
          <w:kern w:val="0"/>
          <w:sz w:val="22"/>
          <w:szCs w:val="22"/>
          <w:highlight w:val="none"/>
        </w:rPr>
      </w:pPr>
      <w:bookmarkStart w:id="18" w:name="_Toc46502807"/>
      <w:r>
        <w:rPr>
          <w:rFonts w:ascii="宋体" w:hAnsi="宋体" w:eastAsia="宋体"/>
          <w:kern w:val="0"/>
          <w:sz w:val="22"/>
          <w:szCs w:val="22"/>
          <w:highlight w:val="none"/>
        </w:rPr>
        <w:t>6、投标单位基本情况、简介</w:t>
      </w:r>
      <w:bookmarkEnd w:id="18"/>
    </w:p>
    <w:tbl>
      <w:tblPr>
        <w:tblStyle w:val="4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1542"/>
        <w:gridCol w:w="1869"/>
        <w:gridCol w:w="1996"/>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91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投标人全称</w:t>
            </w:r>
          </w:p>
        </w:tc>
        <w:tc>
          <w:tcPr>
            <w:tcW w:w="1883" w:type="pct"/>
            <w:gridSpan w:val="2"/>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10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企业性质</w:t>
            </w:r>
          </w:p>
        </w:tc>
        <w:tc>
          <w:tcPr>
            <w:tcW w:w="110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91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地址</w:t>
            </w:r>
          </w:p>
        </w:tc>
        <w:tc>
          <w:tcPr>
            <w:tcW w:w="1883" w:type="pct"/>
            <w:gridSpan w:val="2"/>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10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电话</w:t>
            </w:r>
            <w:r>
              <w:rPr>
                <w:rFonts w:asciiTheme="minorEastAsia" w:hAnsiTheme="minorEastAsia" w:eastAsiaTheme="minorEastAsia"/>
                <w:snapToGrid w:val="0"/>
                <w:sz w:val="22"/>
                <w:szCs w:val="22"/>
                <w:highlight w:val="none"/>
              </w:rPr>
              <w:t>/传真</w:t>
            </w:r>
          </w:p>
        </w:tc>
        <w:tc>
          <w:tcPr>
            <w:tcW w:w="110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91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成立年月</w:t>
            </w:r>
          </w:p>
        </w:tc>
        <w:tc>
          <w:tcPr>
            <w:tcW w:w="1883" w:type="pct"/>
            <w:gridSpan w:val="2"/>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102" w:type="pct"/>
            <w:vMerge w:val="restar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经营范围</w:t>
            </w:r>
          </w:p>
        </w:tc>
        <w:tc>
          <w:tcPr>
            <w:tcW w:w="1102" w:type="pct"/>
            <w:vMerge w:val="restar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91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营业执照号码</w:t>
            </w:r>
          </w:p>
        </w:tc>
        <w:tc>
          <w:tcPr>
            <w:tcW w:w="1883" w:type="pct"/>
            <w:gridSpan w:val="2"/>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10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Bidi"/>
                <w:snapToGrid w:val="0"/>
                <w:kern w:val="2"/>
                <w:sz w:val="22"/>
                <w:szCs w:val="22"/>
                <w:highlight w:val="none"/>
              </w:rPr>
            </w:pPr>
          </w:p>
        </w:tc>
        <w:tc>
          <w:tcPr>
            <w:tcW w:w="110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Bidi"/>
                <w:snapToGrid w:val="0"/>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91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注册资金</w:t>
            </w:r>
          </w:p>
        </w:tc>
        <w:tc>
          <w:tcPr>
            <w:tcW w:w="1883" w:type="pct"/>
            <w:gridSpan w:val="2"/>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10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职工人数</w:t>
            </w:r>
          </w:p>
        </w:tc>
        <w:tc>
          <w:tcPr>
            <w:tcW w:w="110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912" w:type="pct"/>
            <w:vMerge w:val="restar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公司所获证书</w:t>
            </w:r>
          </w:p>
        </w:tc>
        <w:tc>
          <w:tcPr>
            <w:tcW w:w="85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证书名称</w:t>
            </w:r>
          </w:p>
        </w:tc>
        <w:tc>
          <w:tcPr>
            <w:tcW w:w="103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发证单位</w:t>
            </w:r>
          </w:p>
        </w:tc>
        <w:tc>
          <w:tcPr>
            <w:tcW w:w="11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证书等级</w:t>
            </w:r>
          </w:p>
        </w:tc>
        <w:tc>
          <w:tcPr>
            <w:tcW w:w="11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9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Bidi"/>
                <w:snapToGrid w:val="0"/>
                <w:kern w:val="2"/>
                <w:sz w:val="22"/>
                <w:szCs w:val="22"/>
                <w:highlight w:val="none"/>
              </w:rPr>
            </w:pPr>
          </w:p>
        </w:tc>
        <w:tc>
          <w:tcPr>
            <w:tcW w:w="851"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03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10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10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9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Bidi"/>
                <w:snapToGrid w:val="0"/>
                <w:kern w:val="2"/>
                <w:sz w:val="22"/>
                <w:szCs w:val="22"/>
                <w:highlight w:val="none"/>
              </w:rPr>
            </w:pPr>
          </w:p>
        </w:tc>
        <w:tc>
          <w:tcPr>
            <w:tcW w:w="851"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03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10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10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2" w:type="pct"/>
            <w:vMerge w:val="restar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公司财务状况</w:t>
            </w:r>
          </w:p>
        </w:tc>
        <w:tc>
          <w:tcPr>
            <w:tcW w:w="85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年</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度</w:t>
            </w:r>
          </w:p>
        </w:tc>
        <w:tc>
          <w:tcPr>
            <w:tcW w:w="103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总资产（元）</w:t>
            </w:r>
          </w:p>
        </w:tc>
        <w:tc>
          <w:tcPr>
            <w:tcW w:w="11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年营业额（元）</w:t>
            </w:r>
          </w:p>
        </w:tc>
        <w:tc>
          <w:tcPr>
            <w:tcW w:w="11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年净利润（元）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9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Bidi"/>
                <w:snapToGrid w:val="0"/>
                <w:kern w:val="2"/>
                <w:sz w:val="22"/>
                <w:szCs w:val="22"/>
                <w:highlight w:val="none"/>
              </w:rPr>
            </w:pPr>
          </w:p>
        </w:tc>
        <w:tc>
          <w:tcPr>
            <w:tcW w:w="851"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03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10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10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Bidi"/>
                <w:snapToGrid w:val="0"/>
                <w:kern w:val="2"/>
                <w:sz w:val="22"/>
                <w:szCs w:val="22"/>
                <w:highlight w:val="none"/>
              </w:rPr>
            </w:pPr>
          </w:p>
        </w:tc>
        <w:tc>
          <w:tcPr>
            <w:tcW w:w="851"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03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10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c>
          <w:tcPr>
            <w:tcW w:w="110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912" w:type="pct"/>
            <w:tcBorders>
              <w:top w:val="single" w:color="auto" w:sz="4" w:space="0"/>
              <w:left w:val="single" w:color="auto" w:sz="4" w:space="0"/>
              <w:bottom w:val="single" w:color="auto" w:sz="4" w:space="0"/>
              <w:right w:val="single" w:color="auto" w:sz="4" w:space="0"/>
            </w:tcBorders>
            <w:vAlign w:val="center"/>
          </w:tcPr>
          <w:p>
            <w:pPr>
              <w:pStyle w:val="23"/>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企业简介</w:t>
            </w:r>
          </w:p>
        </w:tc>
        <w:tc>
          <w:tcPr>
            <w:tcW w:w="4087" w:type="pct"/>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2"/>
                <w:szCs w:val="22"/>
                <w:highlight w:val="none"/>
              </w:rPr>
            </w:pPr>
          </w:p>
        </w:tc>
      </w:tr>
    </w:tbl>
    <w:p>
      <w:pPr>
        <w:spacing w:line="360" w:lineRule="auto"/>
        <w:rPr>
          <w:rFonts w:ascii="宋体" w:hAnsi="宋体"/>
          <w:kern w:val="2"/>
          <w:sz w:val="22"/>
          <w:szCs w:val="22"/>
          <w:highlight w:val="none"/>
        </w:rPr>
      </w:pPr>
    </w:p>
    <w:p>
      <w:pPr>
        <w:pStyle w:val="55"/>
        <w:spacing w:before="480" w:beforeLines="200" w:line="480" w:lineRule="auto"/>
        <w:ind w:firstLine="0" w:firstLineChars="0"/>
        <w:jc w:val="left"/>
        <w:rPr>
          <w:rFonts w:asciiTheme="minorEastAsia" w:hAnsiTheme="minorEastAsia" w:eastAsiaTheme="minorEastAsia"/>
          <w:sz w:val="24"/>
          <w:szCs w:val="24"/>
          <w:highlight w:val="none"/>
          <w:u w:val="single"/>
        </w:rPr>
      </w:pPr>
      <w:r>
        <w:rPr>
          <w:rFonts w:hint="eastAsia" w:asciiTheme="minorEastAsia" w:hAnsiTheme="minorEastAsia" w:eastAsiaTheme="minorEastAsia"/>
          <w:sz w:val="24"/>
          <w:szCs w:val="24"/>
          <w:highlight w:val="none"/>
        </w:rPr>
        <w:t>投标人名称（加盖公章）：</w:t>
      </w:r>
      <w:r>
        <w:rPr>
          <w:rFonts w:asciiTheme="minorEastAsia" w:hAnsiTheme="minorEastAsia" w:eastAsiaTheme="minorEastAsia"/>
          <w:sz w:val="24"/>
          <w:szCs w:val="24"/>
          <w:highlight w:val="none"/>
        </w:rPr>
        <w:t xml:space="preserve"> </w:t>
      </w:r>
    </w:p>
    <w:p>
      <w:pPr>
        <w:spacing w:line="300" w:lineRule="auto"/>
        <w:rPr>
          <w:rFonts w:asciiTheme="minorEastAsia" w:hAnsiTheme="minorEastAsia" w:eastAsiaTheme="minorEastAsia"/>
          <w:sz w:val="24"/>
          <w:szCs w:val="24"/>
          <w:highlight w:val="none"/>
          <w:u w:val="single"/>
        </w:rPr>
      </w:pPr>
      <w:r>
        <w:rPr>
          <w:rFonts w:hint="eastAsia" w:asciiTheme="minorEastAsia" w:hAnsiTheme="minorEastAsia" w:eastAsiaTheme="minorEastAsia"/>
          <w:sz w:val="24"/>
          <w:szCs w:val="24"/>
          <w:highlight w:val="none"/>
        </w:rPr>
        <w:t>日</w:t>
      </w: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rPr>
        <w:t>期：</w:t>
      </w:r>
      <w:r>
        <w:rPr>
          <w:rFonts w:asciiTheme="minorEastAsia" w:hAnsiTheme="minorEastAsia" w:eastAsiaTheme="minorEastAsia"/>
          <w:sz w:val="24"/>
          <w:szCs w:val="24"/>
          <w:highlight w:val="none"/>
          <w:u w:val="single"/>
        </w:rPr>
        <w:t xml:space="preserve">     年        月         日</w:t>
      </w:r>
    </w:p>
    <w:p>
      <w:pPr>
        <w:widowControl/>
        <w:jc w:val="left"/>
        <w:rPr>
          <w:rFonts w:asciiTheme="minorEastAsia" w:hAnsiTheme="minorEastAsia" w:eastAsiaTheme="minorEastAsia"/>
          <w:szCs w:val="21"/>
          <w:highlight w:val="none"/>
          <w:u w:val="single"/>
        </w:rPr>
      </w:pPr>
      <w:r>
        <w:rPr>
          <w:rFonts w:asciiTheme="minorEastAsia" w:hAnsiTheme="minorEastAsia" w:eastAsiaTheme="minorEastAsia"/>
          <w:szCs w:val="21"/>
          <w:highlight w:val="none"/>
          <w:u w:val="single"/>
        </w:rPr>
        <w:br w:type="page"/>
      </w:r>
    </w:p>
    <w:p>
      <w:pPr>
        <w:pStyle w:val="6"/>
        <w:adjustRightInd w:val="0"/>
        <w:snapToGrid w:val="0"/>
        <w:spacing w:line="360" w:lineRule="auto"/>
        <w:rPr>
          <w:rFonts w:ascii="宋体" w:hAnsi="宋体" w:eastAsia="宋体"/>
          <w:kern w:val="0"/>
          <w:sz w:val="22"/>
          <w:szCs w:val="22"/>
          <w:highlight w:val="none"/>
        </w:rPr>
      </w:pPr>
      <w:bookmarkStart w:id="19" w:name="_Toc46502808"/>
      <w:bookmarkStart w:id="20" w:name="_Toc441844122"/>
      <w:bookmarkStart w:id="21" w:name="_Toc326689519"/>
      <w:bookmarkStart w:id="22" w:name="_Toc401738105"/>
      <w:bookmarkStart w:id="23" w:name="_Toc321994784"/>
      <w:bookmarkStart w:id="24" w:name="_Toc427232353"/>
      <w:bookmarkStart w:id="25" w:name="_Toc395863124"/>
      <w:r>
        <w:rPr>
          <w:rFonts w:ascii="宋体" w:hAnsi="宋体" w:eastAsia="宋体"/>
          <w:kern w:val="0"/>
          <w:sz w:val="22"/>
          <w:szCs w:val="22"/>
          <w:highlight w:val="none"/>
        </w:rPr>
        <w:t>7、投标人资格证明文件</w:t>
      </w:r>
      <w:bookmarkEnd w:id="19"/>
      <w:bookmarkEnd w:id="20"/>
      <w:bookmarkEnd w:id="21"/>
      <w:bookmarkEnd w:id="22"/>
      <w:bookmarkEnd w:id="23"/>
      <w:bookmarkEnd w:id="24"/>
      <w:bookmarkEnd w:id="25"/>
    </w:p>
    <w:p>
      <w:pPr>
        <w:spacing w:line="360" w:lineRule="auto"/>
        <w:jc w:val="center"/>
        <w:rPr>
          <w:rFonts w:ascii="宋体" w:hAnsi="宋体"/>
          <w:b/>
          <w:sz w:val="22"/>
          <w:szCs w:val="22"/>
          <w:highlight w:val="none"/>
        </w:rPr>
      </w:pPr>
    </w:p>
    <w:p>
      <w:pPr>
        <w:pStyle w:val="23"/>
        <w:spacing w:line="360" w:lineRule="auto"/>
        <w:ind w:firstLine="442" w:firstLineChars="200"/>
        <w:rPr>
          <w:rFonts w:hAnsi="宋体"/>
          <w:b/>
          <w:sz w:val="22"/>
          <w:szCs w:val="22"/>
          <w:highlight w:val="none"/>
        </w:rPr>
      </w:pPr>
      <w:r>
        <w:rPr>
          <w:rFonts w:hint="eastAsia" w:hAnsi="宋体"/>
          <w:b/>
          <w:sz w:val="22"/>
          <w:highlight w:val="none"/>
        </w:rPr>
        <w:t>投标人资格证明文件请按招标文件投标邀请函</w:t>
      </w:r>
      <w:r>
        <w:rPr>
          <w:rFonts w:hAnsi="宋体"/>
          <w:b/>
          <w:sz w:val="22"/>
          <w:highlight w:val="none"/>
        </w:rPr>
        <w:t>5.</w:t>
      </w:r>
      <w:r>
        <w:rPr>
          <w:rFonts w:hint="eastAsia" w:hAnsi="宋体"/>
          <w:b/>
          <w:sz w:val="22"/>
          <w:highlight w:val="none"/>
        </w:rPr>
        <w:t>投标人</w:t>
      </w:r>
      <w:r>
        <w:rPr>
          <w:rFonts w:hAnsi="宋体"/>
          <w:b/>
          <w:sz w:val="22"/>
          <w:highlight w:val="none"/>
        </w:rPr>
        <w:t>资格要求</w:t>
      </w:r>
      <w:r>
        <w:rPr>
          <w:rFonts w:hint="eastAsia" w:hAnsi="宋体"/>
          <w:b/>
          <w:sz w:val="22"/>
          <w:highlight w:val="none"/>
        </w:rPr>
        <w:t>所要求文件提供。</w:t>
      </w:r>
    </w:p>
    <w:p>
      <w:pPr>
        <w:widowControl/>
        <w:jc w:val="left"/>
        <w:rPr>
          <w:b/>
          <w:sz w:val="28"/>
          <w:szCs w:val="28"/>
          <w:highlight w:val="none"/>
        </w:rPr>
      </w:pPr>
      <w:r>
        <w:rPr>
          <w:rFonts w:hint="eastAsia" w:hAnsi="宋体"/>
          <w:sz w:val="22"/>
          <w:highlight w:val="none"/>
        </w:rPr>
        <w:t>注：若投标人提供虚假信息的，将按省市及东莞市交通投资集团有限公司采购管理办法相关规定严肃处理。</w:t>
      </w:r>
      <w:r>
        <w:rPr>
          <w:b/>
          <w:sz w:val="28"/>
          <w:szCs w:val="28"/>
          <w:highlight w:val="none"/>
        </w:rPr>
        <w:br w:type="page"/>
      </w:r>
    </w:p>
    <w:p>
      <w:pPr>
        <w:pStyle w:val="6"/>
        <w:adjustRightInd w:val="0"/>
        <w:snapToGrid w:val="0"/>
        <w:spacing w:line="360" w:lineRule="auto"/>
        <w:rPr>
          <w:rFonts w:ascii="宋体" w:hAnsi="宋体" w:eastAsia="宋体"/>
          <w:kern w:val="0"/>
          <w:sz w:val="22"/>
          <w:szCs w:val="22"/>
          <w:highlight w:val="none"/>
          <w:lang w:val="zh-CN"/>
        </w:rPr>
      </w:pPr>
      <w:bookmarkStart w:id="26" w:name="_Toc46502809"/>
      <w:r>
        <w:rPr>
          <w:rFonts w:ascii="宋体" w:hAnsi="宋体" w:eastAsia="宋体"/>
          <w:kern w:val="0"/>
          <w:sz w:val="22"/>
          <w:szCs w:val="22"/>
          <w:highlight w:val="none"/>
        </w:rPr>
        <w:t>8</w:t>
      </w:r>
      <w:r>
        <w:rPr>
          <w:rFonts w:hint="eastAsia" w:ascii="宋体" w:hAnsi="宋体" w:eastAsia="宋体"/>
          <w:kern w:val="0"/>
          <w:sz w:val="22"/>
          <w:szCs w:val="22"/>
          <w:highlight w:val="none"/>
        </w:rPr>
        <w:t>、</w:t>
      </w:r>
      <w:bookmarkEnd w:id="26"/>
      <w:r>
        <w:rPr>
          <w:rFonts w:hint="eastAsia" w:ascii="宋体" w:hAnsi="宋体" w:eastAsia="宋体"/>
          <w:kern w:val="0"/>
          <w:sz w:val="22"/>
          <w:szCs w:val="22"/>
          <w:highlight w:val="none"/>
          <w:lang w:val="zh-CN"/>
        </w:rPr>
        <w:t>投标人资格承诺</w:t>
      </w:r>
    </w:p>
    <w:tbl>
      <w:tblPr>
        <w:tblStyle w:val="44"/>
        <w:tblW w:w="4941"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6"/>
        <w:gridCol w:w="1891"/>
        <w:gridCol w:w="1744"/>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43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r>
              <w:rPr>
                <w:rFonts w:ascii="宋体" w:hAnsi="宋体"/>
                <w:sz w:val="22"/>
                <w:szCs w:val="22"/>
                <w:highlight w:val="none"/>
                <w:shd w:val="clear" w:color="auto" w:fill="FFFFFF"/>
              </w:rPr>
              <w:t>事项名称</w:t>
            </w:r>
          </w:p>
        </w:tc>
        <w:tc>
          <w:tcPr>
            <w:tcW w:w="105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r>
              <w:rPr>
                <w:rFonts w:hint="eastAsia" w:ascii="宋体" w:hAnsi="宋体"/>
                <w:sz w:val="22"/>
                <w:szCs w:val="22"/>
                <w:highlight w:val="none"/>
                <w:shd w:val="clear" w:color="auto" w:fill="FFFFFF"/>
              </w:rPr>
              <w:t>认定时间</w:t>
            </w:r>
          </w:p>
        </w:tc>
        <w:tc>
          <w:tcPr>
            <w:tcW w:w="974" w:type="pc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r>
              <w:rPr>
                <w:rFonts w:hint="eastAsia" w:ascii="宋体" w:hAnsi="宋体"/>
                <w:sz w:val="22"/>
                <w:szCs w:val="22"/>
                <w:highlight w:val="none"/>
                <w:shd w:val="clear" w:color="auto" w:fill="FFFFFF"/>
              </w:rPr>
              <w:t>处罚期届满</w:t>
            </w:r>
            <w:r>
              <w:rPr>
                <w:rFonts w:ascii="宋体" w:hAnsi="宋体"/>
                <w:sz w:val="22"/>
                <w:szCs w:val="22"/>
                <w:highlight w:val="none"/>
                <w:shd w:val="clear" w:color="auto" w:fill="FFFFFF"/>
              </w:rPr>
              <w:t>/异常名录信息失效时间</w:t>
            </w:r>
          </w:p>
        </w:tc>
        <w:tc>
          <w:tcPr>
            <w:tcW w:w="53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r>
              <w:rPr>
                <w:rFonts w:hint="eastAsia" w:ascii="宋体" w:hAnsi="宋体"/>
                <w:sz w:val="22"/>
                <w:szCs w:val="22"/>
                <w:highlight w:val="none"/>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432"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sz w:val="22"/>
                <w:szCs w:val="22"/>
                <w:highlight w:val="none"/>
                <w:shd w:val="clear" w:color="auto" w:fill="FFFFFF"/>
              </w:rPr>
            </w:pPr>
            <w:r>
              <w:rPr>
                <w:rFonts w:hint="eastAsia" w:ascii="宋体" w:hAnsi="宋体"/>
                <w:sz w:val="22"/>
                <w:szCs w:val="22"/>
                <w:highlight w:val="none"/>
                <w:shd w:val="clear" w:color="auto" w:fill="FFFFFF" w:themeFill="background1"/>
              </w:rPr>
              <w:t>是否被</w:t>
            </w:r>
            <w:r>
              <w:rPr>
                <w:rFonts w:ascii="宋体" w:hAnsi="宋体"/>
                <w:sz w:val="22"/>
                <w:szCs w:val="22"/>
                <w:highlight w:val="none"/>
                <w:shd w:val="clear" w:color="auto" w:fill="FFFFFF" w:themeFill="background1"/>
              </w:rPr>
              <w:t>列入“</w:t>
            </w:r>
            <w:r>
              <w:rPr>
                <w:rFonts w:hint="eastAsia" w:ascii="宋体" w:hAnsi="宋体"/>
                <w:sz w:val="22"/>
                <w:szCs w:val="22"/>
                <w:highlight w:val="none"/>
                <w:shd w:val="clear" w:color="auto" w:fill="FFFFFF" w:themeFill="background1"/>
              </w:rPr>
              <w:t>中国</w:t>
            </w:r>
            <w:r>
              <w:rPr>
                <w:rFonts w:ascii="宋体" w:hAnsi="宋体"/>
                <w:sz w:val="22"/>
                <w:szCs w:val="22"/>
                <w:highlight w:val="none"/>
                <w:shd w:val="clear" w:color="auto" w:fill="FFFFFF" w:themeFill="background1"/>
              </w:rPr>
              <w:t>执行信息公开网”</w:t>
            </w:r>
            <w:r>
              <w:rPr>
                <w:rFonts w:hint="eastAsia" w:ascii="宋体" w:hAnsi="宋体"/>
                <w:sz w:val="22"/>
                <w:szCs w:val="22"/>
                <w:highlight w:val="none"/>
                <w:shd w:val="clear" w:color="auto" w:fill="FFFFFF" w:themeFill="background1"/>
              </w:rPr>
              <w:t>被认定为失信被执行人</w:t>
            </w:r>
          </w:p>
        </w:tc>
        <w:tc>
          <w:tcPr>
            <w:tcW w:w="105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97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53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432"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sz w:val="22"/>
                <w:szCs w:val="22"/>
                <w:highlight w:val="none"/>
                <w:shd w:val="clear" w:color="auto" w:fill="FFFFFF"/>
              </w:rPr>
            </w:pPr>
            <w:r>
              <w:rPr>
                <w:rFonts w:hint="eastAsia" w:ascii="宋体" w:hAnsi="宋体"/>
                <w:sz w:val="22"/>
                <w:szCs w:val="22"/>
                <w:highlight w:val="none"/>
                <w:shd w:val="clear" w:color="auto" w:fill="FFFFFF" w:themeFill="background1"/>
              </w:rPr>
              <w:t>是否被认定为重大税收违法案件当事人名单</w:t>
            </w:r>
          </w:p>
        </w:tc>
        <w:tc>
          <w:tcPr>
            <w:tcW w:w="105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97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53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432"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sz w:val="22"/>
                <w:szCs w:val="22"/>
                <w:highlight w:val="none"/>
                <w:shd w:val="clear" w:color="auto" w:fill="FFFFFF"/>
              </w:rPr>
            </w:pPr>
            <w:r>
              <w:rPr>
                <w:rFonts w:hint="eastAsia" w:ascii="宋体" w:hAnsi="宋体"/>
                <w:sz w:val="22"/>
                <w:szCs w:val="22"/>
                <w:highlight w:val="none"/>
                <w:shd w:val="clear" w:color="auto" w:fill="FFFFFF" w:themeFill="background1"/>
              </w:rPr>
              <w:t>是否被认定为严重违法失信行为记录名单</w:t>
            </w:r>
          </w:p>
        </w:tc>
        <w:tc>
          <w:tcPr>
            <w:tcW w:w="105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97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53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432"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sz w:val="22"/>
                <w:szCs w:val="22"/>
                <w:highlight w:val="none"/>
                <w:shd w:val="clear" w:color="auto" w:fill="FFFFFF"/>
              </w:rPr>
            </w:pPr>
            <w:r>
              <w:rPr>
                <w:rFonts w:hint="eastAsia" w:ascii="宋体" w:hAnsi="宋体"/>
                <w:sz w:val="22"/>
                <w:szCs w:val="22"/>
                <w:highlight w:val="none"/>
                <w:shd w:val="clear" w:color="auto" w:fill="FFFFFF" w:themeFill="background1"/>
              </w:rPr>
              <w:t>有无受各级管理部门的处罚</w:t>
            </w:r>
          </w:p>
        </w:tc>
        <w:tc>
          <w:tcPr>
            <w:tcW w:w="105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97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53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432"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sz w:val="22"/>
                <w:szCs w:val="22"/>
                <w:highlight w:val="none"/>
                <w:shd w:val="clear" w:color="auto" w:fill="FFFFFF"/>
              </w:rPr>
            </w:pPr>
            <w:r>
              <w:rPr>
                <w:rFonts w:hint="eastAsia" w:ascii="宋体" w:hAnsi="宋体"/>
                <w:sz w:val="22"/>
                <w:szCs w:val="22"/>
                <w:highlight w:val="none"/>
                <w:shd w:val="clear" w:color="auto" w:fill="FFFFFF" w:themeFill="background1"/>
              </w:rPr>
              <w:t>是否存在大额诉讼或多宗诉讼或其他违法、违约等影响本次招标项目正常履行的情况</w:t>
            </w:r>
          </w:p>
        </w:tc>
        <w:tc>
          <w:tcPr>
            <w:tcW w:w="105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97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53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432"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sz w:val="22"/>
                <w:szCs w:val="22"/>
                <w:highlight w:val="none"/>
                <w:shd w:val="clear" w:color="auto" w:fill="FFFFFF"/>
              </w:rPr>
            </w:pPr>
            <w:r>
              <w:rPr>
                <w:rFonts w:hint="eastAsia" w:ascii="宋体" w:hAnsi="宋体"/>
                <w:sz w:val="22"/>
                <w:szCs w:val="22"/>
                <w:highlight w:val="none"/>
                <w:shd w:val="clear" w:color="auto" w:fill="FFFFFF" w:themeFill="background1"/>
              </w:rPr>
              <w:t>是否</w:t>
            </w:r>
            <w:r>
              <w:rPr>
                <w:rFonts w:ascii="宋体" w:hAnsi="宋体"/>
                <w:sz w:val="22"/>
                <w:szCs w:val="22"/>
                <w:highlight w:val="none"/>
                <w:shd w:val="clear" w:color="auto" w:fill="FFFFFF" w:themeFill="background1"/>
              </w:rPr>
              <w:t>存在</w:t>
            </w:r>
            <w:r>
              <w:rPr>
                <w:rFonts w:hint="eastAsia" w:ascii="宋体" w:hAnsi="宋体"/>
                <w:sz w:val="22"/>
                <w:szCs w:val="22"/>
                <w:highlight w:val="none"/>
                <w:shd w:val="clear" w:color="auto" w:fill="FFFFFF" w:themeFill="background1"/>
              </w:rPr>
              <w:t>与东莞市交通投资集团有限公司及其下属企业在签订合同的履约过程中，因投标人或其关联公司严重违约而致使合同变更、中止、解除的</w:t>
            </w:r>
          </w:p>
        </w:tc>
        <w:tc>
          <w:tcPr>
            <w:tcW w:w="105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97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53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432"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sz w:val="22"/>
                <w:szCs w:val="22"/>
                <w:highlight w:val="none"/>
                <w:shd w:val="clear" w:color="auto" w:fill="FFFFFF"/>
              </w:rPr>
            </w:pPr>
            <w:r>
              <w:rPr>
                <w:rFonts w:hint="eastAsia" w:ascii="宋体" w:hAnsi="宋体"/>
                <w:sz w:val="22"/>
                <w:szCs w:val="22"/>
                <w:highlight w:val="none"/>
                <w:shd w:val="clear" w:color="auto" w:fill="FFFFFF" w:themeFill="background1"/>
              </w:rPr>
              <w:t>是否正在与东莞市交通投资集团有限公司及其下属企业发生诉讼</w:t>
            </w:r>
          </w:p>
        </w:tc>
        <w:tc>
          <w:tcPr>
            <w:tcW w:w="105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97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53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432"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sz w:val="22"/>
                <w:szCs w:val="22"/>
                <w:highlight w:val="none"/>
                <w:shd w:val="clear" w:color="auto" w:fill="FFFFFF"/>
              </w:rPr>
            </w:pPr>
            <w:r>
              <w:rPr>
                <w:rFonts w:hint="eastAsia" w:ascii="宋体" w:hAnsi="宋体"/>
                <w:sz w:val="22"/>
                <w:szCs w:val="22"/>
                <w:highlight w:val="none"/>
                <w:shd w:val="clear" w:color="auto" w:fill="FFFFFF" w:themeFill="background1"/>
              </w:rPr>
              <w:t>是否存在法院判决或仲裁裁决认定投标人或其关联公司在与东莞市交通投资集团有限公司及其下属企业履约过程中存在违约责任或过失责任</w:t>
            </w:r>
          </w:p>
        </w:tc>
        <w:tc>
          <w:tcPr>
            <w:tcW w:w="105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97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c>
          <w:tcPr>
            <w:tcW w:w="53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2"/>
                <w:szCs w:val="22"/>
                <w:highlight w:val="none"/>
                <w:shd w:val="clear" w:color="auto" w:fill="FFFFFF"/>
              </w:rPr>
            </w:pPr>
          </w:p>
        </w:tc>
      </w:tr>
    </w:tbl>
    <w:p>
      <w:pPr>
        <w:snapToGrid w:val="0"/>
        <w:spacing w:line="360" w:lineRule="auto"/>
        <w:rPr>
          <w:rFonts w:ascii="宋体" w:hAnsi="宋体"/>
          <w:sz w:val="22"/>
          <w:szCs w:val="22"/>
          <w:highlight w:val="none"/>
          <w:shd w:val="clear" w:color="auto" w:fill="FFFFFF" w:themeFill="background1"/>
        </w:rPr>
      </w:pPr>
      <w:r>
        <w:rPr>
          <w:rFonts w:hint="eastAsia" w:ascii="宋体" w:hAnsi="宋体"/>
          <w:sz w:val="22"/>
          <w:szCs w:val="22"/>
          <w:highlight w:val="none"/>
          <w:shd w:val="clear" w:color="auto" w:fill="FFFFFF" w:themeFill="background1"/>
        </w:rPr>
        <w:t>注：</w:t>
      </w:r>
    </w:p>
    <w:p>
      <w:pPr>
        <w:snapToGrid w:val="0"/>
        <w:spacing w:line="360" w:lineRule="auto"/>
        <w:ind w:left="284" w:hanging="283" w:hangingChars="129"/>
        <w:rPr>
          <w:rFonts w:ascii="宋体" w:hAnsi="宋体"/>
          <w:sz w:val="22"/>
          <w:szCs w:val="22"/>
          <w:highlight w:val="none"/>
          <w:shd w:val="clear" w:color="auto" w:fill="FFFFFF" w:themeFill="background1"/>
        </w:rPr>
      </w:pPr>
      <w:r>
        <w:rPr>
          <w:rFonts w:ascii="宋体" w:hAnsi="宋体"/>
          <w:sz w:val="22"/>
          <w:szCs w:val="22"/>
          <w:highlight w:val="none"/>
          <w:shd w:val="clear" w:color="auto" w:fill="FFFFFF" w:themeFill="background1"/>
        </w:rPr>
        <w:t>1.</w:t>
      </w:r>
      <w:r>
        <w:rPr>
          <w:rFonts w:hint="eastAsia" w:ascii="宋体" w:hAnsi="宋体"/>
          <w:sz w:val="22"/>
          <w:szCs w:val="22"/>
          <w:highlight w:val="none"/>
          <w:shd w:val="clear" w:color="auto" w:fill="FFFFFF" w:themeFill="background1"/>
        </w:rPr>
        <w:t>根据投标人及其不具有独立法人资格的分支机构的实际情况自行编写，无相关事项的，在</w:t>
      </w:r>
      <w:r>
        <w:rPr>
          <w:rFonts w:ascii="宋体" w:hAnsi="宋体"/>
          <w:sz w:val="22"/>
          <w:szCs w:val="22"/>
          <w:highlight w:val="none"/>
          <w:shd w:val="clear" w:color="auto" w:fill="FFFFFF" w:themeFill="background1"/>
        </w:rPr>
        <w:t xml:space="preserve"> </w:t>
      </w:r>
      <w:r>
        <w:rPr>
          <w:rFonts w:hint="eastAsia" w:ascii="宋体" w:hAnsi="宋体"/>
          <w:sz w:val="22"/>
          <w:szCs w:val="22"/>
          <w:highlight w:val="none"/>
          <w:shd w:val="clear" w:color="auto" w:fill="FFFFFF" w:themeFill="background1"/>
        </w:rPr>
        <w:t>“认定时间”列填“无”；</w:t>
      </w:r>
    </w:p>
    <w:p>
      <w:pPr>
        <w:snapToGrid w:val="0"/>
        <w:spacing w:line="360" w:lineRule="auto"/>
        <w:ind w:left="284" w:hanging="283" w:hangingChars="129"/>
        <w:rPr>
          <w:rFonts w:ascii="宋体" w:hAnsi="宋体"/>
          <w:sz w:val="22"/>
          <w:szCs w:val="22"/>
          <w:highlight w:val="none"/>
          <w:shd w:val="clear" w:color="auto" w:fill="FFFFFF" w:themeFill="background1"/>
        </w:rPr>
      </w:pPr>
      <w:r>
        <w:rPr>
          <w:rFonts w:ascii="宋体" w:hAnsi="宋体"/>
          <w:sz w:val="22"/>
          <w:szCs w:val="22"/>
          <w:highlight w:val="none"/>
          <w:shd w:val="clear" w:color="auto" w:fill="FFFFFF" w:themeFill="background1"/>
        </w:rPr>
        <w:t>2.</w:t>
      </w:r>
      <w:r>
        <w:rPr>
          <w:rFonts w:hint="eastAsia" w:ascii="宋体" w:hAnsi="宋体"/>
          <w:sz w:val="22"/>
          <w:szCs w:val="22"/>
          <w:highlight w:val="none"/>
          <w:shd w:val="clear" w:color="auto" w:fill="FFFFFF" w:themeFill="background1"/>
        </w:rPr>
        <w:t>若受到相关处罚的应附处罚相关材料复印件，发生经济诉讼或纠纷的应附法院判决书、仲裁决议等相关材料复印件（未完结</w:t>
      </w:r>
      <w:r>
        <w:rPr>
          <w:rFonts w:ascii="宋体" w:hAnsi="宋体"/>
          <w:sz w:val="22"/>
          <w:szCs w:val="22"/>
          <w:highlight w:val="none"/>
          <w:shd w:val="clear" w:color="auto" w:fill="FFFFFF" w:themeFill="background1"/>
        </w:rPr>
        <w:t>的诉讼或纠纷除外</w:t>
      </w:r>
      <w:r>
        <w:rPr>
          <w:rFonts w:hint="eastAsia" w:ascii="宋体" w:hAnsi="宋体"/>
          <w:sz w:val="22"/>
          <w:szCs w:val="22"/>
          <w:highlight w:val="none"/>
          <w:shd w:val="clear" w:color="auto" w:fill="FFFFFF" w:themeFill="background1"/>
        </w:rPr>
        <w:t>）；</w:t>
      </w:r>
    </w:p>
    <w:p>
      <w:pPr>
        <w:snapToGrid w:val="0"/>
        <w:spacing w:line="360" w:lineRule="auto"/>
        <w:ind w:left="284" w:hanging="283" w:hangingChars="129"/>
        <w:rPr>
          <w:rFonts w:ascii="宋体" w:hAnsi="宋体"/>
          <w:sz w:val="22"/>
          <w:szCs w:val="22"/>
          <w:highlight w:val="none"/>
          <w:shd w:val="clear" w:color="auto" w:fill="FFFFFF" w:themeFill="background1"/>
        </w:rPr>
      </w:pPr>
      <w:r>
        <w:rPr>
          <w:rFonts w:ascii="宋体" w:hAnsi="宋体"/>
          <w:sz w:val="22"/>
          <w:szCs w:val="22"/>
          <w:highlight w:val="none"/>
          <w:shd w:val="clear" w:color="auto" w:fill="FFFFFF" w:themeFill="background1"/>
        </w:rPr>
        <w:t>3.</w:t>
      </w:r>
      <w:r>
        <w:rPr>
          <w:rFonts w:hint="eastAsia" w:ascii="宋体" w:hAnsi="宋体"/>
          <w:sz w:val="22"/>
          <w:szCs w:val="22"/>
          <w:highlight w:val="none"/>
          <w:shd w:val="clear" w:color="auto" w:fill="FFFFFF" w:themeFill="background1"/>
        </w:rPr>
        <w:t>如相关异常名录信息已失效，投标人需提供相关证明资料；</w:t>
      </w:r>
    </w:p>
    <w:p>
      <w:pPr>
        <w:spacing w:line="360" w:lineRule="auto"/>
        <w:rPr>
          <w:rFonts w:ascii="宋体" w:hAnsi="宋体"/>
          <w:kern w:val="2"/>
          <w:sz w:val="22"/>
          <w:szCs w:val="22"/>
          <w:highlight w:val="none"/>
          <w:shd w:val="clear" w:color="auto" w:fill="FFFFFF"/>
        </w:rPr>
      </w:pPr>
      <w:r>
        <w:rPr>
          <w:rFonts w:ascii="宋体" w:hAnsi="宋体"/>
          <w:sz w:val="22"/>
          <w:szCs w:val="22"/>
          <w:highlight w:val="none"/>
          <w:shd w:val="clear" w:color="auto" w:fill="FFFFFF" w:themeFill="background1"/>
        </w:rPr>
        <w:t>4.投标人须按</w:t>
      </w:r>
      <w:r>
        <w:rPr>
          <w:rFonts w:hint="eastAsia" w:ascii="宋体" w:hAnsi="宋体"/>
          <w:sz w:val="22"/>
          <w:szCs w:val="22"/>
          <w:highlight w:val="none"/>
          <w:shd w:val="clear" w:color="auto" w:fill="FFFFFF" w:themeFill="background1"/>
        </w:rPr>
        <w:t>其</w:t>
      </w:r>
      <w:r>
        <w:rPr>
          <w:rFonts w:ascii="宋体" w:hAnsi="宋体"/>
          <w:sz w:val="22"/>
          <w:szCs w:val="22"/>
          <w:highlight w:val="none"/>
          <w:shd w:val="clear" w:color="auto" w:fill="FFFFFF" w:themeFill="background1"/>
        </w:rPr>
        <w:t>实际情况如实填写上述承诺事宜，招标人及采购代理机构有权在开标够对投标人的上述承诺进行逐一核实，如发现投标人存在</w:t>
      </w:r>
      <w:r>
        <w:rPr>
          <w:rFonts w:hint="eastAsia" w:ascii="宋体" w:hAnsi="宋体"/>
          <w:sz w:val="22"/>
          <w:szCs w:val="22"/>
          <w:highlight w:val="none"/>
          <w:shd w:val="clear" w:color="auto" w:fill="FFFFFF" w:themeFill="background1"/>
        </w:rPr>
        <w:t>虚报</w:t>
      </w:r>
      <w:r>
        <w:rPr>
          <w:rFonts w:ascii="宋体" w:hAnsi="宋体"/>
          <w:sz w:val="22"/>
          <w:szCs w:val="22"/>
          <w:highlight w:val="none"/>
          <w:shd w:val="clear" w:color="auto" w:fill="FFFFFF" w:themeFill="background1"/>
        </w:rPr>
        <w:t>、瞒报等情况，将取消</w:t>
      </w:r>
      <w:r>
        <w:rPr>
          <w:rFonts w:hint="eastAsia" w:ascii="宋体" w:hAnsi="宋体"/>
          <w:sz w:val="22"/>
          <w:szCs w:val="22"/>
          <w:highlight w:val="none"/>
          <w:shd w:val="clear" w:color="auto" w:fill="FFFFFF" w:themeFill="background1"/>
        </w:rPr>
        <w:t>其</w:t>
      </w:r>
      <w:r>
        <w:rPr>
          <w:rFonts w:ascii="宋体" w:hAnsi="宋体"/>
          <w:sz w:val="22"/>
          <w:szCs w:val="22"/>
          <w:highlight w:val="none"/>
          <w:shd w:val="clear" w:color="auto" w:fill="FFFFFF" w:themeFill="background1"/>
        </w:rPr>
        <w:t>中标资格。</w:t>
      </w:r>
    </w:p>
    <w:p>
      <w:pPr>
        <w:spacing w:line="360" w:lineRule="auto"/>
        <w:rPr>
          <w:rFonts w:ascii="宋体" w:hAnsi="宋体"/>
          <w:sz w:val="22"/>
          <w:szCs w:val="22"/>
          <w:highlight w:val="none"/>
          <w:shd w:val="clear" w:color="auto" w:fill="FFFFFF"/>
        </w:rPr>
      </w:pPr>
    </w:p>
    <w:p>
      <w:pPr>
        <w:pStyle w:val="55"/>
        <w:spacing w:line="360" w:lineRule="auto"/>
        <w:ind w:firstLine="0" w:firstLineChars="0"/>
        <w:rPr>
          <w:rFonts w:ascii="宋体" w:eastAsia="宋体"/>
          <w:sz w:val="22"/>
          <w:szCs w:val="22"/>
          <w:highlight w:val="none"/>
        </w:rPr>
      </w:pPr>
    </w:p>
    <w:p>
      <w:pPr>
        <w:pStyle w:val="55"/>
        <w:spacing w:before="480" w:beforeLines="200" w:line="480" w:lineRule="auto"/>
        <w:ind w:firstLine="4730" w:firstLineChars="2150"/>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投标人名称（加盖公章）：</w:t>
      </w:r>
      <w:r>
        <w:rPr>
          <w:rFonts w:asciiTheme="minorEastAsia" w:hAnsiTheme="minorEastAsia" w:eastAsiaTheme="minorEastAsia"/>
          <w:sz w:val="22"/>
          <w:szCs w:val="22"/>
          <w:highlight w:val="none"/>
        </w:rPr>
        <w:t xml:space="preserve"> </w:t>
      </w:r>
    </w:p>
    <w:p>
      <w:pPr>
        <w:pStyle w:val="55"/>
        <w:spacing w:line="480" w:lineRule="auto"/>
        <w:ind w:firstLine="4730" w:firstLineChars="2150"/>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日</w:t>
      </w:r>
      <w:r>
        <w:rPr>
          <w:rFonts w:asciiTheme="minorEastAsia" w:hAnsiTheme="minorEastAsia" w:eastAsiaTheme="minorEastAsia"/>
          <w:sz w:val="22"/>
          <w:szCs w:val="22"/>
          <w:highlight w:val="none"/>
        </w:rPr>
        <w:t xml:space="preserve"> </w:t>
      </w:r>
      <w:r>
        <w:rPr>
          <w:rFonts w:hint="eastAsia" w:asciiTheme="minorEastAsia" w:hAnsiTheme="minorEastAsia" w:eastAsiaTheme="minorEastAsia"/>
          <w:sz w:val="22"/>
          <w:szCs w:val="22"/>
          <w:highlight w:val="none"/>
        </w:rPr>
        <w:t>期：</w:t>
      </w:r>
      <w:r>
        <w:rPr>
          <w:rFonts w:asciiTheme="minorEastAsia" w:hAnsiTheme="minorEastAsia" w:eastAsiaTheme="minorEastAsia"/>
          <w:sz w:val="22"/>
          <w:szCs w:val="22"/>
          <w:highlight w:val="none"/>
          <w:u w:val="single"/>
        </w:rPr>
        <w:t xml:space="preserve">     年        月         日</w:t>
      </w:r>
    </w:p>
    <w:p>
      <w:pPr>
        <w:pStyle w:val="6"/>
        <w:adjustRightInd w:val="0"/>
        <w:snapToGrid w:val="0"/>
        <w:spacing w:line="360" w:lineRule="auto"/>
        <w:rPr>
          <w:rFonts w:ascii="宋体" w:hAnsi="宋体" w:eastAsia="宋体"/>
          <w:kern w:val="0"/>
          <w:sz w:val="22"/>
          <w:szCs w:val="22"/>
          <w:highlight w:val="none"/>
        </w:rPr>
      </w:pPr>
      <w:bookmarkStart w:id="27" w:name="_Toc32310"/>
      <w:bookmarkStart w:id="28" w:name="_Toc2461"/>
      <w:bookmarkStart w:id="29" w:name="_Toc23885"/>
      <w:bookmarkStart w:id="30" w:name="_Toc22389"/>
      <w:bookmarkStart w:id="31" w:name="_Toc11396"/>
      <w:bookmarkStart w:id="32" w:name="_Toc441844124"/>
      <w:bookmarkStart w:id="33" w:name="_Toc46502810"/>
      <w:r>
        <w:rPr>
          <w:rFonts w:ascii="宋体" w:hAnsi="宋体" w:eastAsia="宋体"/>
          <w:kern w:val="0"/>
          <w:sz w:val="22"/>
          <w:szCs w:val="22"/>
          <w:highlight w:val="none"/>
        </w:rPr>
        <w:t>9</w:t>
      </w:r>
      <w:bookmarkEnd w:id="27"/>
      <w:bookmarkEnd w:id="28"/>
      <w:bookmarkEnd w:id="29"/>
      <w:bookmarkEnd w:id="30"/>
      <w:bookmarkEnd w:id="31"/>
      <w:r>
        <w:rPr>
          <w:rFonts w:hint="eastAsia" w:ascii="宋体" w:hAnsi="宋体" w:eastAsia="宋体"/>
          <w:kern w:val="0"/>
          <w:sz w:val="22"/>
          <w:szCs w:val="22"/>
          <w:highlight w:val="none"/>
        </w:rPr>
        <w:t>、</w:t>
      </w:r>
      <w:bookmarkEnd w:id="32"/>
      <w:bookmarkEnd w:id="33"/>
      <w:r>
        <w:rPr>
          <w:rFonts w:hint="eastAsia" w:ascii="宋体" w:hAnsi="宋体" w:eastAsia="宋体"/>
          <w:kern w:val="0"/>
          <w:sz w:val="22"/>
          <w:szCs w:val="22"/>
          <w:highlight w:val="none"/>
        </w:rPr>
        <w:t>运营充电设施经验的证明材料</w:t>
      </w:r>
    </w:p>
    <w:p>
      <w:pPr>
        <w:widowControl/>
        <w:jc w:val="left"/>
        <w:rPr>
          <w:rFonts w:asciiTheme="minorEastAsia" w:hAnsiTheme="minorEastAsia" w:eastAsiaTheme="minorEastAsia"/>
          <w:kern w:val="2"/>
          <w:sz w:val="21"/>
          <w:szCs w:val="21"/>
          <w:highlight w:val="none"/>
        </w:rPr>
      </w:pPr>
      <w:r>
        <w:rPr>
          <w:rFonts w:asciiTheme="minorEastAsia" w:hAnsiTheme="minorEastAsia" w:eastAsiaTheme="minorEastAsia"/>
          <w:sz w:val="21"/>
          <w:szCs w:val="21"/>
          <w:highlight w:val="none"/>
        </w:rPr>
        <w:br w:type="page"/>
      </w:r>
    </w:p>
    <w:p>
      <w:pPr>
        <w:pStyle w:val="6"/>
        <w:adjustRightInd w:val="0"/>
        <w:snapToGrid w:val="0"/>
        <w:spacing w:line="360" w:lineRule="auto"/>
        <w:rPr>
          <w:rFonts w:ascii="宋体" w:hAnsi="宋体" w:eastAsia="宋体"/>
          <w:kern w:val="0"/>
          <w:sz w:val="22"/>
          <w:szCs w:val="22"/>
          <w:highlight w:val="none"/>
        </w:rPr>
      </w:pPr>
      <w:bookmarkStart w:id="34" w:name="_Toc46502817"/>
      <w:r>
        <w:rPr>
          <w:rFonts w:ascii="宋体" w:hAnsi="宋体" w:eastAsia="宋体"/>
          <w:kern w:val="0"/>
          <w:sz w:val="22"/>
          <w:szCs w:val="22"/>
          <w:highlight w:val="none"/>
        </w:rPr>
        <w:t>10</w:t>
      </w:r>
      <w:r>
        <w:rPr>
          <w:rFonts w:hint="eastAsia" w:ascii="宋体" w:hAnsi="宋体" w:eastAsia="宋体"/>
          <w:kern w:val="0"/>
          <w:sz w:val="22"/>
          <w:szCs w:val="22"/>
          <w:highlight w:val="none"/>
        </w:rPr>
        <w:t>、中标服务费承诺书</w:t>
      </w:r>
      <w:bookmarkEnd w:id="34"/>
    </w:p>
    <w:p>
      <w:pPr>
        <w:spacing w:line="520" w:lineRule="exact"/>
        <w:ind w:left="315"/>
        <w:rPr>
          <w:rFonts w:ascii="宋体" w:hAnsi="宋体"/>
          <w:sz w:val="22"/>
          <w:szCs w:val="22"/>
          <w:highlight w:val="none"/>
        </w:rPr>
      </w:pPr>
      <w:r>
        <w:rPr>
          <w:rFonts w:hint="eastAsia" w:ascii="宋体" w:hAnsi="宋体"/>
          <w:sz w:val="22"/>
          <w:szCs w:val="22"/>
          <w:highlight w:val="none"/>
          <w:u w:val="single"/>
        </w:rPr>
        <w:t>（招标代理机构名称）</w:t>
      </w:r>
      <w:r>
        <w:rPr>
          <w:rFonts w:ascii="宋体" w:hAnsi="宋体"/>
          <w:sz w:val="22"/>
          <w:szCs w:val="22"/>
          <w:highlight w:val="none"/>
          <w:u w:val="single"/>
        </w:rPr>
        <w:t xml:space="preserve">   </w:t>
      </w:r>
      <w:r>
        <w:rPr>
          <w:rFonts w:hint="eastAsia" w:ascii="宋体" w:hAnsi="宋体"/>
          <w:sz w:val="22"/>
          <w:szCs w:val="22"/>
          <w:highlight w:val="none"/>
        </w:rPr>
        <w:t>：</w:t>
      </w:r>
    </w:p>
    <w:p>
      <w:pPr>
        <w:spacing w:line="520" w:lineRule="exact"/>
        <w:ind w:left="300" w:leftChars="150" w:firstLine="440" w:firstLineChars="200"/>
        <w:rPr>
          <w:rFonts w:ascii="宋体" w:hAnsi="宋体"/>
          <w:sz w:val="22"/>
          <w:szCs w:val="22"/>
          <w:highlight w:val="none"/>
        </w:rPr>
      </w:pPr>
      <w:r>
        <w:rPr>
          <w:rFonts w:hint="eastAsia" w:ascii="宋体" w:hAnsi="宋体"/>
          <w:sz w:val="22"/>
          <w:szCs w:val="22"/>
          <w:highlight w:val="none"/>
        </w:rPr>
        <w:t>本公司</w:t>
      </w:r>
      <w:r>
        <w:rPr>
          <w:rFonts w:ascii="宋体" w:hAnsi="宋体"/>
          <w:sz w:val="22"/>
          <w:szCs w:val="22"/>
          <w:highlight w:val="none"/>
          <w:u w:val="single"/>
        </w:rPr>
        <w:t xml:space="preserve">(投标人名称) </w:t>
      </w:r>
      <w:r>
        <w:rPr>
          <w:rFonts w:hint="eastAsia" w:ascii="宋体" w:hAnsi="宋体"/>
          <w:sz w:val="22"/>
          <w:szCs w:val="22"/>
          <w:highlight w:val="none"/>
        </w:rPr>
        <w:t>在参加在贵公司举行的项目</w:t>
      </w:r>
      <w:r>
        <w:rPr>
          <w:rFonts w:ascii="宋体" w:hAnsi="宋体"/>
          <w:sz w:val="22"/>
          <w:szCs w:val="22"/>
          <w:highlight w:val="none"/>
        </w:rPr>
        <w:t>(项目编号：)采购中如获中标，我公司保证在收到“中标通知书”后3天内，按本招标文件有关规定，向贵公司交纳“中标服务费”。</w:t>
      </w:r>
    </w:p>
    <w:p>
      <w:pPr>
        <w:spacing w:line="520" w:lineRule="exact"/>
        <w:ind w:left="300" w:leftChars="150" w:firstLine="440" w:firstLineChars="200"/>
        <w:rPr>
          <w:rFonts w:ascii="宋体" w:hAnsi="宋体"/>
          <w:sz w:val="22"/>
          <w:szCs w:val="22"/>
          <w:highlight w:val="none"/>
        </w:rPr>
      </w:pPr>
      <w:r>
        <w:rPr>
          <w:rFonts w:hint="eastAsia" w:ascii="宋体" w:hAnsi="宋体"/>
          <w:sz w:val="22"/>
          <w:szCs w:val="22"/>
          <w:highlight w:val="none"/>
        </w:rPr>
        <w:t>如我方违约，愿凭贵方开出的违约通知，按上述承付金额</w:t>
      </w:r>
      <w:r>
        <w:rPr>
          <w:rFonts w:ascii="宋体" w:hAnsi="宋体"/>
          <w:sz w:val="22"/>
          <w:szCs w:val="22"/>
          <w:highlight w:val="none"/>
        </w:rPr>
        <w:t>200%由采购人在支付给我司的合同金额中代为扣付。</w:t>
      </w:r>
    </w:p>
    <w:p>
      <w:pPr>
        <w:spacing w:line="520" w:lineRule="exact"/>
        <w:ind w:left="315"/>
        <w:rPr>
          <w:rFonts w:ascii="宋体" w:hAnsi="宋体"/>
          <w:sz w:val="22"/>
          <w:szCs w:val="22"/>
          <w:highlight w:val="none"/>
        </w:rPr>
      </w:pPr>
    </w:p>
    <w:p>
      <w:pPr>
        <w:spacing w:line="520" w:lineRule="exact"/>
        <w:ind w:firstLine="880" w:firstLineChars="400"/>
        <w:rPr>
          <w:rFonts w:ascii="宋体" w:hAnsi="宋体"/>
          <w:sz w:val="22"/>
          <w:szCs w:val="22"/>
          <w:highlight w:val="none"/>
        </w:rPr>
      </w:pPr>
      <w:r>
        <w:rPr>
          <w:rFonts w:hint="eastAsia" w:ascii="宋体" w:hAnsi="宋体"/>
          <w:sz w:val="22"/>
          <w:szCs w:val="22"/>
          <w:highlight w:val="none"/>
        </w:rPr>
        <w:t>特此承诺</w:t>
      </w:r>
      <w:r>
        <w:rPr>
          <w:rFonts w:ascii="宋体" w:hAnsi="宋体"/>
          <w:sz w:val="22"/>
          <w:szCs w:val="22"/>
          <w:highlight w:val="none"/>
        </w:rPr>
        <w:t>!</w:t>
      </w:r>
    </w:p>
    <w:p>
      <w:pPr>
        <w:spacing w:line="520" w:lineRule="exact"/>
        <w:ind w:left="315"/>
        <w:rPr>
          <w:rFonts w:ascii="宋体" w:hAnsi="宋体"/>
          <w:sz w:val="22"/>
          <w:szCs w:val="22"/>
          <w:highlight w:val="none"/>
        </w:rPr>
      </w:pPr>
    </w:p>
    <w:p>
      <w:pPr>
        <w:spacing w:line="360" w:lineRule="auto"/>
        <w:ind w:left="315"/>
        <w:rPr>
          <w:rFonts w:asciiTheme="minorEastAsia" w:hAnsiTheme="minorEastAsia" w:eastAsiaTheme="minorEastAsia"/>
          <w:sz w:val="21"/>
          <w:szCs w:val="21"/>
          <w:highlight w:val="none"/>
        </w:rPr>
      </w:pPr>
      <w:r>
        <w:rPr>
          <w:rFonts w:hint="eastAsia" w:ascii="宋体"/>
          <w:sz w:val="22"/>
          <w:szCs w:val="22"/>
          <w:highlight w:val="none"/>
        </w:rPr>
        <w:t>投标人名称(公章)：</w:t>
      </w:r>
    </w:p>
    <w:p>
      <w:pPr>
        <w:spacing w:line="360" w:lineRule="auto"/>
        <w:ind w:left="315"/>
        <w:rPr>
          <w:rFonts w:asciiTheme="minorEastAsia" w:hAnsiTheme="minorEastAsia" w:eastAsiaTheme="minorEastAsia"/>
          <w:szCs w:val="21"/>
          <w:highlight w:val="none"/>
        </w:rPr>
      </w:pPr>
      <w:r>
        <w:rPr>
          <w:rFonts w:hint="eastAsia" w:ascii="宋体"/>
          <w:sz w:val="22"/>
          <w:szCs w:val="22"/>
          <w:highlight w:val="none"/>
        </w:rPr>
        <w:t>单位地址：</w:t>
      </w:r>
    </w:p>
    <w:p>
      <w:pPr>
        <w:spacing w:line="360" w:lineRule="auto"/>
        <w:ind w:left="315"/>
        <w:rPr>
          <w:rFonts w:asciiTheme="minorEastAsia" w:hAnsiTheme="minorEastAsia" w:eastAsiaTheme="minorEastAsia"/>
          <w:szCs w:val="21"/>
          <w:highlight w:val="none"/>
        </w:rPr>
      </w:pPr>
      <w:r>
        <w:rPr>
          <w:rFonts w:hint="eastAsia" w:ascii="宋体"/>
          <w:sz w:val="22"/>
          <w:szCs w:val="22"/>
          <w:highlight w:val="none"/>
        </w:rPr>
        <w:t>电话：</w:t>
      </w:r>
    </w:p>
    <w:p>
      <w:pPr>
        <w:spacing w:line="360" w:lineRule="auto"/>
        <w:ind w:left="315"/>
        <w:rPr>
          <w:rFonts w:asciiTheme="minorEastAsia" w:hAnsiTheme="minorEastAsia" w:eastAsiaTheme="minorEastAsia"/>
          <w:szCs w:val="21"/>
          <w:highlight w:val="none"/>
        </w:rPr>
      </w:pPr>
      <w:r>
        <w:rPr>
          <w:rFonts w:hint="eastAsia" w:ascii="宋体"/>
          <w:sz w:val="22"/>
          <w:szCs w:val="22"/>
          <w:highlight w:val="none"/>
        </w:rPr>
        <w:t>传真：</w:t>
      </w:r>
    </w:p>
    <w:p>
      <w:pPr>
        <w:spacing w:line="360" w:lineRule="auto"/>
        <w:ind w:left="315"/>
        <w:rPr>
          <w:rFonts w:asciiTheme="minorEastAsia" w:hAnsiTheme="minorEastAsia" w:eastAsiaTheme="minorEastAsia"/>
          <w:szCs w:val="21"/>
          <w:highlight w:val="none"/>
        </w:rPr>
      </w:pPr>
      <w:r>
        <w:rPr>
          <w:rFonts w:hint="eastAsia" w:ascii="宋体"/>
          <w:sz w:val="22"/>
          <w:szCs w:val="22"/>
          <w:highlight w:val="none"/>
        </w:rPr>
        <w:t>投标人法定代表人或授权代表（签名或盖章）：</w:t>
      </w:r>
    </w:p>
    <w:p>
      <w:pPr>
        <w:spacing w:line="360" w:lineRule="auto"/>
        <w:ind w:left="315"/>
        <w:rPr>
          <w:rFonts w:asciiTheme="minorEastAsia" w:hAnsiTheme="minorEastAsia" w:eastAsiaTheme="minorEastAsia"/>
          <w:szCs w:val="21"/>
          <w:highlight w:val="none"/>
        </w:rPr>
      </w:pPr>
      <w:r>
        <w:rPr>
          <w:rFonts w:hint="eastAsia" w:ascii="宋体"/>
          <w:sz w:val="22"/>
          <w:szCs w:val="22"/>
          <w:highlight w:val="none"/>
        </w:rPr>
        <w:t>签署日期：</w:t>
      </w:r>
    </w:p>
    <w:p>
      <w:pPr>
        <w:pStyle w:val="55"/>
        <w:ind w:firstLine="3520" w:firstLineChars="1600"/>
        <w:rPr>
          <w:rFonts w:ascii="宋体" w:eastAsia="宋体"/>
          <w:sz w:val="22"/>
          <w:szCs w:val="22"/>
          <w:highlight w:val="none"/>
        </w:rPr>
      </w:pPr>
    </w:p>
    <w:p>
      <w:pPr>
        <w:spacing w:line="440" w:lineRule="exact"/>
        <w:rPr>
          <w:sz w:val="21"/>
          <w:szCs w:val="24"/>
          <w:highlight w:val="none"/>
        </w:rPr>
      </w:pPr>
    </w:p>
    <w:p>
      <w:pPr>
        <w:spacing w:line="440" w:lineRule="exact"/>
        <w:rPr>
          <w:highlight w:val="none"/>
        </w:rPr>
      </w:pPr>
    </w:p>
    <w:p>
      <w:pPr>
        <w:spacing w:line="440" w:lineRule="exact"/>
        <w:rPr>
          <w:highlight w:val="none"/>
        </w:rPr>
      </w:pPr>
    </w:p>
    <w:p>
      <w:pPr>
        <w:pStyle w:val="55"/>
        <w:ind w:firstLine="3520" w:firstLineChars="1600"/>
        <w:rPr>
          <w:rFonts w:ascii="宋体" w:eastAsia="宋体"/>
          <w:sz w:val="22"/>
          <w:szCs w:val="22"/>
          <w:highlight w:val="none"/>
        </w:rPr>
      </w:pPr>
    </w:p>
    <w:p>
      <w:pPr>
        <w:widowControl/>
        <w:jc w:val="left"/>
        <w:rPr>
          <w:rFonts w:ascii="宋体"/>
          <w:sz w:val="22"/>
          <w:szCs w:val="22"/>
          <w:highlight w:val="none"/>
        </w:rPr>
      </w:pPr>
      <w:r>
        <w:rPr>
          <w:rFonts w:ascii="宋体"/>
          <w:sz w:val="22"/>
          <w:szCs w:val="22"/>
          <w:highlight w:val="none"/>
        </w:rPr>
        <w:br w:type="page"/>
      </w:r>
    </w:p>
    <w:p>
      <w:pPr>
        <w:pStyle w:val="6"/>
        <w:adjustRightInd w:val="0"/>
        <w:snapToGrid w:val="0"/>
        <w:spacing w:line="360" w:lineRule="auto"/>
        <w:rPr>
          <w:rFonts w:ascii="宋体" w:hAnsi="宋体" w:eastAsia="宋体"/>
          <w:kern w:val="0"/>
          <w:sz w:val="22"/>
          <w:szCs w:val="22"/>
          <w:highlight w:val="none"/>
        </w:rPr>
      </w:pPr>
      <w:bookmarkStart w:id="35" w:name="_Toc46502818"/>
      <w:bookmarkStart w:id="36" w:name="_Toc441844134"/>
      <w:bookmarkStart w:id="37" w:name="_Toc439325729"/>
      <w:r>
        <w:rPr>
          <w:rFonts w:ascii="宋体" w:hAnsi="宋体" w:eastAsia="宋体"/>
          <w:kern w:val="0"/>
          <w:sz w:val="22"/>
          <w:szCs w:val="22"/>
          <w:highlight w:val="none"/>
        </w:rPr>
        <w:t>11</w:t>
      </w:r>
      <w:r>
        <w:rPr>
          <w:rFonts w:hint="eastAsia" w:ascii="宋体" w:hAnsi="宋体" w:eastAsia="宋体"/>
          <w:kern w:val="0"/>
          <w:sz w:val="22"/>
          <w:szCs w:val="22"/>
          <w:highlight w:val="none"/>
        </w:rPr>
        <w:t>、投标人认为需加以说明的其他内容</w:t>
      </w:r>
      <w:bookmarkEnd w:id="35"/>
      <w:bookmarkEnd w:id="36"/>
      <w:bookmarkEnd w:id="37"/>
      <w:r>
        <w:rPr>
          <w:rFonts w:hint="eastAsia" w:ascii="宋体" w:hAnsi="宋体" w:eastAsia="宋体"/>
          <w:kern w:val="0"/>
          <w:sz w:val="22"/>
          <w:szCs w:val="22"/>
          <w:highlight w:val="none"/>
        </w:rPr>
        <w:t>（如有）</w:t>
      </w:r>
    </w:p>
    <w:p>
      <w:pPr>
        <w:spacing w:after="60" w:line="360" w:lineRule="auto"/>
        <w:rPr>
          <w:rFonts w:ascii="宋体" w:hAnsi="宋体"/>
          <w:sz w:val="22"/>
          <w:szCs w:val="22"/>
          <w:highlight w:val="none"/>
        </w:rPr>
      </w:pPr>
    </w:p>
    <w:p>
      <w:pPr>
        <w:spacing w:line="360" w:lineRule="auto"/>
        <w:rPr>
          <w:rFonts w:ascii="宋体" w:hAnsi="宋体"/>
          <w:sz w:val="22"/>
          <w:szCs w:val="22"/>
          <w:highlight w:val="none"/>
        </w:rPr>
      </w:pPr>
    </w:p>
    <w:p>
      <w:pPr>
        <w:spacing w:line="360" w:lineRule="auto"/>
        <w:rPr>
          <w:rFonts w:ascii="宋体" w:hAnsi="宋体"/>
          <w:sz w:val="22"/>
          <w:szCs w:val="22"/>
          <w:highlight w:val="none"/>
        </w:rPr>
      </w:pPr>
    </w:p>
    <w:p>
      <w:pPr>
        <w:spacing w:line="360" w:lineRule="auto"/>
        <w:rPr>
          <w:rFonts w:ascii="宋体" w:hAnsi="宋体"/>
          <w:sz w:val="22"/>
          <w:szCs w:val="22"/>
          <w:highlight w:val="none"/>
        </w:rPr>
      </w:pPr>
    </w:p>
    <w:p>
      <w:pPr>
        <w:spacing w:line="360" w:lineRule="auto"/>
        <w:rPr>
          <w:rFonts w:ascii="宋体" w:hAnsi="宋体"/>
          <w:sz w:val="22"/>
          <w:szCs w:val="22"/>
          <w:highlight w:val="none"/>
        </w:rPr>
      </w:pPr>
    </w:p>
    <w:p>
      <w:pPr>
        <w:spacing w:line="360" w:lineRule="auto"/>
        <w:jc w:val="center"/>
        <w:rPr>
          <w:rFonts w:ascii="宋体" w:hAnsi="宋体"/>
          <w:sz w:val="22"/>
          <w:szCs w:val="22"/>
          <w:highlight w:val="none"/>
        </w:rPr>
      </w:pPr>
      <w:r>
        <w:rPr>
          <w:rFonts w:hint="eastAsia" w:ascii="宋体" w:hAnsi="宋体"/>
          <w:sz w:val="22"/>
          <w:szCs w:val="22"/>
          <w:highlight w:val="none"/>
        </w:rPr>
        <w:t>格</w:t>
      </w:r>
      <w:r>
        <w:rPr>
          <w:rFonts w:ascii="宋体" w:hAnsi="宋体"/>
          <w:sz w:val="22"/>
          <w:szCs w:val="22"/>
          <w:highlight w:val="none"/>
        </w:rPr>
        <w:t xml:space="preserve">  </w:t>
      </w:r>
      <w:r>
        <w:rPr>
          <w:rFonts w:hint="eastAsia" w:ascii="宋体" w:hAnsi="宋体"/>
          <w:sz w:val="22"/>
          <w:szCs w:val="22"/>
          <w:highlight w:val="none"/>
        </w:rPr>
        <w:t>式</w:t>
      </w:r>
      <w:r>
        <w:rPr>
          <w:rFonts w:ascii="宋体" w:hAnsi="宋体"/>
          <w:sz w:val="22"/>
          <w:szCs w:val="22"/>
          <w:highlight w:val="none"/>
        </w:rPr>
        <w:t xml:space="preserve">  </w:t>
      </w:r>
      <w:r>
        <w:rPr>
          <w:rFonts w:hint="eastAsia" w:ascii="宋体" w:hAnsi="宋体"/>
          <w:sz w:val="22"/>
          <w:szCs w:val="22"/>
          <w:highlight w:val="none"/>
        </w:rPr>
        <w:t>自</w:t>
      </w:r>
      <w:r>
        <w:rPr>
          <w:rFonts w:ascii="宋体" w:hAnsi="宋体"/>
          <w:sz w:val="22"/>
          <w:szCs w:val="22"/>
          <w:highlight w:val="none"/>
        </w:rPr>
        <w:t xml:space="preserve">  </w:t>
      </w:r>
      <w:r>
        <w:rPr>
          <w:rFonts w:hint="eastAsia" w:ascii="宋体" w:hAnsi="宋体"/>
          <w:sz w:val="22"/>
          <w:szCs w:val="22"/>
          <w:highlight w:val="none"/>
        </w:rPr>
        <w:t>定</w:t>
      </w:r>
    </w:p>
    <w:p>
      <w:pPr>
        <w:spacing w:line="360" w:lineRule="auto"/>
        <w:rPr>
          <w:rFonts w:ascii="宋体" w:hAnsi="宋体"/>
          <w:sz w:val="22"/>
          <w:szCs w:val="22"/>
          <w:highlight w:val="none"/>
        </w:rPr>
      </w:pPr>
    </w:p>
    <w:p>
      <w:pPr>
        <w:spacing w:line="360" w:lineRule="auto"/>
        <w:rPr>
          <w:rFonts w:ascii="宋体" w:hAnsi="宋体"/>
          <w:sz w:val="22"/>
          <w:szCs w:val="22"/>
          <w:highlight w:val="none"/>
        </w:rPr>
      </w:pPr>
    </w:p>
    <w:p>
      <w:pPr>
        <w:spacing w:line="360" w:lineRule="auto"/>
        <w:rPr>
          <w:sz w:val="22"/>
          <w:szCs w:val="22"/>
          <w:highlight w:val="none"/>
        </w:rPr>
      </w:pPr>
    </w:p>
    <w:p>
      <w:pPr>
        <w:spacing w:line="360" w:lineRule="auto"/>
        <w:rPr>
          <w:sz w:val="22"/>
          <w:szCs w:val="22"/>
          <w:highlight w:val="none"/>
        </w:rPr>
      </w:pPr>
    </w:p>
    <w:p>
      <w:pPr>
        <w:spacing w:line="360" w:lineRule="auto"/>
        <w:rPr>
          <w:sz w:val="22"/>
          <w:szCs w:val="22"/>
          <w:highlight w:val="none"/>
        </w:rPr>
      </w:pPr>
    </w:p>
    <w:p>
      <w:pPr>
        <w:spacing w:line="360" w:lineRule="auto"/>
        <w:rPr>
          <w:sz w:val="22"/>
          <w:szCs w:val="22"/>
          <w:highlight w:val="none"/>
        </w:rPr>
      </w:pPr>
    </w:p>
    <w:p>
      <w:pPr>
        <w:spacing w:line="360" w:lineRule="auto"/>
        <w:rPr>
          <w:sz w:val="22"/>
          <w:szCs w:val="22"/>
          <w:highlight w:val="none"/>
        </w:rPr>
      </w:pPr>
    </w:p>
    <w:p>
      <w:pPr>
        <w:spacing w:line="360" w:lineRule="auto"/>
        <w:rPr>
          <w:sz w:val="22"/>
          <w:szCs w:val="22"/>
          <w:highlight w:val="none"/>
        </w:rPr>
      </w:pPr>
    </w:p>
    <w:p>
      <w:pPr>
        <w:spacing w:line="360" w:lineRule="auto"/>
        <w:rPr>
          <w:sz w:val="22"/>
          <w:szCs w:val="22"/>
          <w:highlight w:val="none"/>
        </w:rPr>
      </w:pPr>
    </w:p>
    <w:p>
      <w:pPr>
        <w:spacing w:line="360" w:lineRule="auto"/>
        <w:rPr>
          <w:sz w:val="22"/>
          <w:szCs w:val="22"/>
          <w:highlight w:val="none"/>
        </w:rPr>
      </w:pPr>
    </w:p>
    <w:p>
      <w:pPr>
        <w:spacing w:line="360" w:lineRule="auto"/>
        <w:rPr>
          <w:sz w:val="22"/>
          <w:szCs w:val="22"/>
          <w:highlight w:val="none"/>
        </w:rPr>
      </w:pPr>
    </w:p>
    <w:p>
      <w:pPr>
        <w:spacing w:line="360" w:lineRule="auto"/>
        <w:rPr>
          <w:sz w:val="22"/>
          <w:szCs w:val="22"/>
          <w:highlight w:val="none"/>
        </w:rPr>
      </w:pPr>
    </w:p>
    <w:p>
      <w:pPr>
        <w:widowControl/>
        <w:jc w:val="left"/>
        <w:rPr>
          <w:sz w:val="21"/>
          <w:szCs w:val="21"/>
          <w:highlight w:val="none"/>
          <w:u w:val="single"/>
        </w:rPr>
        <w:sectPr>
          <w:pgSz w:w="11906" w:h="16838"/>
          <w:pgMar w:top="1531" w:right="1531" w:bottom="1531" w:left="1531" w:header="935" w:footer="964" w:gutter="0"/>
          <w:paperSrc w:first="7" w:other="7"/>
          <w:pgNumType w:fmt="decimal"/>
          <w:cols w:space="0" w:num="1"/>
          <w:titlePg/>
          <w:docGrid w:linePitch="312" w:charSpace="0"/>
        </w:sectPr>
      </w:pPr>
      <w:r>
        <w:rPr>
          <w:sz w:val="21"/>
          <w:szCs w:val="21"/>
          <w:highlight w:val="none"/>
          <w:u w:val="single"/>
        </w:rPr>
        <w:br w:type="page"/>
      </w:r>
    </w:p>
    <w:p>
      <w:pPr>
        <w:pStyle w:val="6"/>
        <w:adjustRightInd w:val="0"/>
        <w:snapToGrid w:val="0"/>
        <w:spacing w:line="360" w:lineRule="auto"/>
        <w:rPr>
          <w:rFonts w:ascii="宋体" w:hAnsi="宋体" w:eastAsia="宋体"/>
          <w:kern w:val="0"/>
          <w:sz w:val="22"/>
          <w:szCs w:val="22"/>
          <w:highlight w:val="none"/>
        </w:rPr>
      </w:pPr>
      <w:r>
        <w:rPr>
          <w:rFonts w:ascii="宋体" w:hAnsi="宋体" w:eastAsia="宋体"/>
          <w:kern w:val="0"/>
          <w:sz w:val="22"/>
          <w:szCs w:val="22"/>
          <w:highlight w:val="none"/>
        </w:rPr>
        <w:t>12</w:t>
      </w:r>
      <w:r>
        <w:rPr>
          <w:rFonts w:hint="eastAsia" w:ascii="宋体" w:hAnsi="宋体" w:eastAsia="宋体"/>
          <w:kern w:val="0"/>
          <w:sz w:val="22"/>
          <w:szCs w:val="22"/>
          <w:highlight w:val="none"/>
        </w:rPr>
        <w:t>、联合体协议书（针对</w:t>
      </w:r>
      <w:r>
        <w:rPr>
          <w:rFonts w:ascii="宋体" w:hAnsi="宋体" w:eastAsia="宋体"/>
          <w:kern w:val="0"/>
          <w:sz w:val="22"/>
          <w:szCs w:val="22"/>
          <w:highlight w:val="none"/>
        </w:rPr>
        <w:t>联合体投标</w:t>
      </w:r>
      <w:r>
        <w:rPr>
          <w:rFonts w:hint="eastAsia" w:ascii="宋体" w:hAnsi="宋体" w:eastAsia="宋体"/>
          <w:kern w:val="0"/>
          <w:sz w:val="22"/>
          <w:szCs w:val="22"/>
          <w:highlight w:val="none"/>
        </w:rPr>
        <w:t>的</w:t>
      </w:r>
      <w:r>
        <w:rPr>
          <w:rFonts w:ascii="宋体" w:hAnsi="宋体" w:eastAsia="宋体"/>
          <w:kern w:val="0"/>
          <w:sz w:val="22"/>
          <w:szCs w:val="22"/>
          <w:highlight w:val="none"/>
        </w:rPr>
        <w:t>供应商</w:t>
      </w:r>
      <w:r>
        <w:rPr>
          <w:rFonts w:hint="eastAsia" w:ascii="宋体" w:hAnsi="宋体" w:eastAsia="宋体"/>
          <w:kern w:val="0"/>
          <w:sz w:val="22"/>
          <w:szCs w:val="22"/>
          <w:highlight w:val="none"/>
        </w:rPr>
        <w:t>）</w:t>
      </w:r>
    </w:p>
    <w:p>
      <w:pPr>
        <w:widowControl/>
        <w:jc w:val="left"/>
        <w:rPr>
          <w:sz w:val="21"/>
          <w:szCs w:val="21"/>
          <w:highlight w:val="none"/>
          <w:u w:val="single"/>
        </w:rPr>
        <w:sectPr>
          <w:pgSz w:w="11906" w:h="16838"/>
          <w:pgMar w:top="1531" w:right="1531" w:bottom="1531" w:left="1531" w:header="935" w:footer="964" w:gutter="0"/>
          <w:paperSrc w:first="7" w:other="7"/>
          <w:pgNumType w:fmt="decimal"/>
          <w:cols w:space="0" w:num="1"/>
          <w:titlePg/>
          <w:docGrid w:linePitch="312" w:charSpace="0"/>
        </w:sectPr>
      </w:pPr>
    </w:p>
    <w:p>
      <w:pPr>
        <w:widowControl/>
        <w:jc w:val="left"/>
        <w:rPr>
          <w:sz w:val="21"/>
          <w:szCs w:val="21"/>
          <w:highlight w:val="none"/>
          <w:u w:val="single"/>
        </w:rPr>
      </w:pPr>
    </w:p>
    <w:p>
      <w:pPr>
        <w:spacing w:after="60" w:line="360" w:lineRule="auto"/>
        <w:ind w:left="2349" w:hanging="2349" w:hangingChars="500"/>
        <w:jc w:val="center"/>
        <w:outlineLvl w:val="1"/>
        <w:rPr>
          <w:b/>
          <w:bCs/>
          <w:spacing w:val="-6"/>
          <w:sz w:val="48"/>
          <w:szCs w:val="48"/>
          <w:highlight w:val="none"/>
        </w:rPr>
      </w:pPr>
      <w:bookmarkStart w:id="38" w:name="_Toc46502820"/>
      <w:r>
        <w:rPr>
          <w:rFonts w:hint="eastAsia"/>
          <w:b/>
          <w:bCs/>
          <w:spacing w:val="-6"/>
          <w:sz w:val="48"/>
          <w:szCs w:val="48"/>
          <w:highlight w:val="none"/>
        </w:rPr>
        <w:t>四、</w:t>
      </w:r>
      <w:bookmarkStart w:id="39" w:name="_Toc427232357"/>
      <w:bookmarkStart w:id="40" w:name="_Toc363828419"/>
      <w:r>
        <w:rPr>
          <w:rFonts w:hint="eastAsia"/>
          <w:b/>
          <w:bCs/>
          <w:spacing w:val="-6"/>
          <w:sz w:val="48"/>
          <w:szCs w:val="48"/>
          <w:highlight w:val="none"/>
        </w:rPr>
        <w:t>无线胶装样式</w:t>
      </w:r>
      <w:bookmarkEnd w:id="38"/>
      <w:bookmarkEnd w:id="39"/>
      <w:bookmarkEnd w:id="40"/>
    </w:p>
    <w:p>
      <w:pPr>
        <w:ind w:left="1050" w:hanging="1050"/>
        <w:rPr>
          <w:sz w:val="21"/>
          <w:szCs w:val="24"/>
          <w:highlight w:val="none"/>
        </w:rPr>
      </w:pPr>
    </w:p>
    <w:p>
      <w:pPr>
        <w:ind w:left="1050" w:hanging="1050"/>
        <w:jc w:val="center"/>
        <w:rPr>
          <w:spacing w:val="-6"/>
          <w:sz w:val="48"/>
          <w:szCs w:val="48"/>
          <w:highlight w:val="none"/>
        </w:rPr>
      </w:pPr>
      <w:r>
        <w:rPr>
          <w:highlight w:val="none"/>
        </w:rPr>
        <w:drawing>
          <wp:inline distT="0" distB="0" distL="0" distR="0">
            <wp:extent cx="5252720" cy="4029710"/>
            <wp:effectExtent l="0" t="0" r="5080" b="8890"/>
            <wp:docPr id="5" name="图片 5"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图片20130724100524_2345看图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52720" cy="4029710"/>
                    </a:xfrm>
                    <a:prstGeom prst="rect">
                      <a:avLst/>
                    </a:prstGeom>
                    <a:noFill/>
                    <a:ln>
                      <a:noFill/>
                    </a:ln>
                  </pic:spPr>
                </pic:pic>
              </a:graphicData>
            </a:graphic>
          </wp:inline>
        </w:drawing>
      </w:r>
    </w:p>
    <w:p>
      <w:pPr>
        <w:ind w:left="1050" w:hanging="1050"/>
        <w:jc w:val="center"/>
        <w:rPr>
          <w:bCs/>
          <w:spacing w:val="-6"/>
          <w:sz w:val="48"/>
          <w:szCs w:val="48"/>
          <w:highlight w:val="none"/>
        </w:rPr>
      </w:pPr>
      <w:r>
        <w:rPr>
          <w:highlight w:val="none"/>
        </w:rPr>
        <w:drawing>
          <wp:inline distT="0" distB="0" distL="0" distR="0">
            <wp:extent cx="5241925" cy="3519170"/>
            <wp:effectExtent l="0" t="0" r="0" b="5080"/>
            <wp:docPr id="4"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1307241005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41925" cy="3519170"/>
                    </a:xfrm>
                    <a:prstGeom prst="rect">
                      <a:avLst/>
                    </a:prstGeom>
                    <a:noFill/>
                    <a:ln>
                      <a:noFill/>
                    </a:ln>
                  </pic:spPr>
                </pic:pic>
              </a:graphicData>
            </a:graphic>
          </wp:inline>
        </w:drawing>
      </w:r>
    </w:p>
    <w:p>
      <w:pPr>
        <w:widowControl/>
        <w:jc w:val="left"/>
        <w:rPr>
          <w:sz w:val="22"/>
          <w:szCs w:val="22"/>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rPr>
          <w:sz w:val="21"/>
          <w:szCs w:val="21"/>
          <w:highlight w:val="none"/>
          <w:u w:val="single"/>
        </w:rPr>
      </w:pPr>
    </w:p>
    <w:p>
      <w:pPr>
        <w:pStyle w:val="2"/>
        <w:ind w:left="0" w:leftChars="0" w:firstLine="0" w:firstLineChars="0"/>
        <w:jc w:val="left"/>
        <w:rPr>
          <w:rFonts w:ascii="宋体" w:cs="宋体"/>
          <w:b/>
          <w:sz w:val="28"/>
          <w:szCs w:val="28"/>
          <w:highlight w:val="none"/>
        </w:rPr>
      </w:pPr>
      <w:r>
        <w:rPr>
          <w:rFonts w:hint="eastAsia" w:ascii="宋体" w:cs="宋体"/>
          <w:b/>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306705</wp:posOffset>
                </wp:positionV>
                <wp:extent cx="1762125" cy="552450"/>
                <wp:effectExtent l="0" t="0" r="28575" b="19050"/>
                <wp:wrapNone/>
                <wp:docPr id="2" name="直接连接符 2"/>
                <wp:cNvGraphicFramePr/>
                <a:graphic xmlns:a="http://schemas.openxmlformats.org/drawingml/2006/main">
                  <a:graphicData uri="http://schemas.microsoft.com/office/word/2010/wordprocessingShape">
                    <wps:wsp>
                      <wps:cNvCnPr/>
                      <wps:spPr>
                        <a:xfrm>
                          <a:off x="0" y="0"/>
                          <a:ext cx="1762125"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55pt;margin-top:24.15pt;height:43.5pt;width:138.75pt;z-index:251659264;mso-width-relative:page;mso-height-relative:page;" filled="f" stroked="t" coordsize="21600,21600" o:gfxdata="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0XF0c2AAAAAkBAAAPAAAAAAAAAAEAIAAAACIAAABkcnMvZG93bnJldi54bWxQSwEC&#10;FAAUAAAACACHTuJA/wzIvPQBAADYAwAADgAAAAAAAAABACAAAAAnAQAAZHJzL2Uyb0RvYy54bWxQ&#10;SwUGAAAAAAYABgBZAQAAjQUAAAAA&#10;">
                <v:fill on="f" focussize="0,0"/>
                <v:stroke color="#000000 [3200]" joinstyle="round"/>
                <v:imagedata o:title=""/>
                <o:lock v:ext="edit" aspectratio="f"/>
              </v:line>
            </w:pict>
          </mc:Fallback>
        </mc:AlternateContent>
      </w:r>
      <w:r>
        <w:rPr>
          <w:rFonts w:hint="eastAsia" w:ascii="宋体" w:cs="宋体"/>
          <w:b/>
          <w:sz w:val="28"/>
          <w:szCs w:val="28"/>
          <w:highlight w:val="none"/>
        </w:rPr>
        <w:t>资格审查格式（仅供资格审查小组审查，投标人无须填写）</w:t>
      </w:r>
    </w:p>
    <w:tbl>
      <w:tblPr>
        <w:tblStyle w:val="44"/>
        <w:tblW w:w="4997"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565"/>
        <w:gridCol w:w="1298"/>
        <w:gridCol w:w="1298"/>
        <w:gridCol w:w="1298"/>
        <w:gridCol w:w="1298"/>
        <w:gridCol w:w="129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8" w:hRule="atLeast"/>
        </w:trPr>
        <w:tc>
          <w:tcPr>
            <w:tcW w:w="1416" w:type="pct"/>
          </w:tcPr>
          <w:p>
            <w:pPr>
              <w:spacing w:line="360" w:lineRule="auto"/>
              <w:rPr>
                <w:rFonts w:eastAsia="黑体"/>
                <w:b/>
                <w:sz w:val="22"/>
                <w:szCs w:val="22"/>
                <w:highlight w:val="none"/>
              </w:rPr>
            </w:pPr>
            <w:r>
              <w:rPr>
                <w:rFonts w:eastAsia="黑体"/>
                <w:b/>
                <w:sz w:val="22"/>
                <w:szCs w:val="22"/>
                <w:highlight w:val="none"/>
              </w:rPr>
              <w:t xml:space="preserve">              </w:t>
            </w:r>
            <w:r>
              <w:rPr>
                <w:rFonts w:hint="eastAsia" w:eastAsia="黑体"/>
                <w:b/>
                <w:sz w:val="22"/>
                <w:szCs w:val="22"/>
                <w:highlight w:val="none"/>
              </w:rPr>
              <w:t>投标人</w:t>
            </w:r>
          </w:p>
          <w:p>
            <w:pPr>
              <w:pStyle w:val="2"/>
              <w:ind w:left="0" w:leftChars="0" w:firstLine="0" w:firstLineChars="0"/>
              <w:rPr>
                <w:highlight w:val="none"/>
              </w:rPr>
            </w:pPr>
            <w:r>
              <w:rPr>
                <w:rFonts w:hint="eastAsia" w:eastAsia="黑体"/>
                <w:b/>
                <w:kern w:val="0"/>
                <w:sz w:val="22"/>
                <w:szCs w:val="22"/>
                <w:highlight w:val="none"/>
              </w:rPr>
              <w:t>审查内容</w:t>
            </w:r>
          </w:p>
        </w:tc>
        <w:tc>
          <w:tcPr>
            <w:tcW w:w="716" w:type="pct"/>
          </w:tcPr>
          <w:p>
            <w:pPr>
              <w:spacing w:line="360" w:lineRule="auto"/>
              <w:rPr>
                <w:rFonts w:eastAsia="黑体"/>
                <w:b/>
                <w:sz w:val="22"/>
                <w:szCs w:val="22"/>
                <w:highlight w:val="none"/>
              </w:rPr>
            </w:pPr>
          </w:p>
        </w:tc>
        <w:tc>
          <w:tcPr>
            <w:tcW w:w="716" w:type="pct"/>
          </w:tcPr>
          <w:p>
            <w:pPr>
              <w:spacing w:line="360" w:lineRule="auto"/>
              <w:rPr>
                <w:rFonts w:eastAsia="黑体"/>
                <w:b/>
                <w:sz w:val="22"/>
                <w:szCs w:val="22"/>
                <w:highlight w:val="none"/>
              </w:rPr>
            </w:pPr>
          </w:p>
        </w:tc>
        <w:tc>
          <w:tcPr>
            <w:tcW w:w="716" w:type="pct"/>
          </w:tcPr>
          <w:p>
            <w:pPr>
              <w:spacing w:line="360" w:lineRule="auto"/>
              <w:rPr>
                <w:rFonts w:eastAsia="黑体"/>
                <w:b/>
                <w:sz w:val="22"/>
                <w:szCs w:val="22"/>
                <w:highlight w:val="none"/>
              </w:rPr>
            </w:pPr>
          </w:p>
        </w:tc>
        <w:tc>
          <w:tcPr>
            <w:tcW w:w="716" w:type="pct"/>
          </w:tcPr>
          <w:p>
            <w:pPr>
              <w:spacing w:line="360" w:lineRule="auto"/>
              <w:rPr>
                <w:rFonts w:eastAsia="黑体"/>
                <w:b/>
                <w:sz w:val="22"/>
                <w:szCs w:val="22"/>
                <w:highlight w:val="none"/>
              </w:rPr>
            </w:pPr>
          </w:p>
        </w:tc>
        <w:tc>
          <w:tcPr>
            <w:tcW w:w="716" w:type="pct"/>
          </w:tcPr>
          <w:p>
            <w:pPr>
              <w:spacing w:line="360" w:lineRule="auto"/>
              <w:rPr>
                <w:rFonts w:eastAsia="黑体"/>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1416" w:type="pct"/>
            <w:vAlign w:val="center"/>
          </w:tcPr>
          <w:p>
            <w:pPr>
              <w:rPr>
                <w:rFonts w:eastAsia="黑体"/>
                <w:b/>
                <w:sz w:val="22"/>
                <w:szCs w:val="22"/>
                <w:highlight w:val="none"/>
              </w:rPr>
            </w:pPr>
            <w:r>
              <w:rPr>
                <w:rFonts w:hint="eastAsia" w:eastAsia="黑体"/>
                <w:b/>
                <w:sz w:val="22"/>
                <w:szCs w:val="22"/>
                <w:highlight w:val="none"/>
              </w:rPr>
              <w:t>投标文件已按招标文件要求签署、盖章</w:t>
            </w: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1416" w:type="pct"/>
            <w:vAlign w:val="center"/>
          </w:tcPr>
          <w:p>
            <w:pPr>
              <w:rPr>
                <w:rFonts w:eastAsia="黑体"/>
                <w:b/>
                <w:sz w:val="22"/>
                <w:szCs w:val="22"/>
                <w:highlight w:val="none"/>
              </w:rPr>
            </w:pPr>
            <w:r>
              <w:rPr>
                <w:rFonts w:hint="eastAsia" w:eastAsia="黑体"/>
                <w:b/>
                <w:sz w:val="22"/>
                <w:szCs w:val="22"/>
                <w:highlight w:val="none"/>
              </w:rPr>
              <w:t>已提交投标函</w:t>
            </w: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52" w:hRule="atLeast"/>
        </w:trPr>
        <w:tc>
          <w:tcPr>
            <w:tcW w:w="1416" w:type="pct"/>
            <w:vAlign w:val="center"/>
          </w:tcPr>
          <w:p>
            <w:pPr>
              <w:jc w:val="left"/>
              <w:rPr>
                <w:b/>
                <w:sz w:val="28"/>
                <w:szCs w:val="28"/>
                <w:highlight w:val="none"/>
              </w:rPr>
            </w:pPr>
            <w:r>
              <w:rPr>
                <w:rFonts w:hint="eastAsia" w:eastAsia="黑体"/>
                <w:b/>
                <w:sz w:val="22"/>
                <w:szCs w:val="22"/>
                <w:highlight w:val="none"/>
              </w:rPr>
              <w:t>已提交资格证明文件</w:t>
            </w:r>
            <w:r>
              <w:rPr>
                <w:rFonts w:hint="eastAsia" w:eastAsia="黑体"/>
                <w:b/>
                <w:highlight w:val="none"/>
              </w:rPr>
              <w:t>（法人代表人身份证明书、法定代表人授权委托书（法人代表除外）、经营活动中没有重大违法记录及相关处罚的书面声明、营业执照、分支机构被授权证明书（若分支机构投标））</w:t>
            </w: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8" w:hRule="atLeast"/>
        </w:trPr>
        <w:tc>
          <w:tcPr>
            <w:tcW w:w="1416" w:type="pct"/>
            <w:vAlign w:val="center"/>
          </w:tcPr>
          <w:p>
            <w:pPr>
              <w:rPr>
                <w:rFonts w:eastAsia="黑体"/>
                <w:b/>
                <w:sz w:val="22"/>
                <w:szCs w:val="22"/>
                <w:highlight w:val="none"/>
              </w:rPr>
            </w:pPr>
            <w:r>
              <w:rPr>
                <w:rFonts w:hint="eastAsia" w:eastAsia="黑体"/>
                <w:b/>
                <w:sz w:val="22"/>
                <w:szCs w:val="22"/>
                <w:highlight w:val="none"/>
              </w:rPr>
              <w:t>运营充电设施经验</w:t>
            </w: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c>
          <w:tcPr>
            <w:tcW w:w="716" w:type="pct"/>
          </w:tcPr>
          <w:p>
            <w:pPr>
              <w:rPr>
                <w:rFonts w:eastAsia="黑体"/>
                <w:b/>
                <w:sz w:val="22"/>
                <w:szCs w:val="22"/>
                <w:highlight w:val="none"/>
              </w:rPr>
            </w:pPr>
          </w:p>
        </w:tc>
      </w:tr>
    </w:tbl>
    <w:p>
      <w:pPr>
        <w:rPr>
          <w:rFonts w:ascii="宋体" w:cs="宋体"/>
          <w:b/>
          <w:sz w:val="28"/>
          <w:szCs w:val="28"/>
          <w:highlight w:val="none"/>
        </w:rPr>
      </w:pPr>
    </w:p>
    <w:sectPr>
      <w:pgSz w:w="11906" w:h="16838"/>
      <w:pgMar w:top="1531" w:right="1531" w:bottom="1531" w:left="1531" w:header="935" w:footer="964" w:gutter="0"/>
      <w:paperSrc w:first="7" w:other="7"/>
      <w:pgNumType w:fmt="decimal"/>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康简标题宋">
    <w:altName w:val="宋体"/>
    <w:panose1 w:val="02010609000101010101"/>
    <w:charset w:val="86"/>
    <w:family w:val="modern"/>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54</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54</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宋体" w:hAnsi="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54</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8240" behindDoc="0" locked="0" layoutInCell="1" allowOverlap="1">
              <wp:simplePos x="0" y="0"/>
              <wp:positionH relativeFrom="margin">
                <wp:posOffset>2332990</wp:posOffset>
              </wp:positionH>
              <wp:positionV relativeFrom="paragraph">
                <wp:posOffset>-4445</wp:posOffset>
              </wp:positionV>
              <wp:extent cx="829945" cy="147955"/>
              <wp:effectExtent l="0" t="0" r="8255" b="0"/>
              <wp:wrapNone/>
              <wp:docPr id="3" name="文本框 8196"/>
              <wp:cNvGraphicFramePr/>
              <a:graphic xmlns:a="http://schemas.openxmlformats.org/drawingml/2006/main">
                <a:graphicData uri="http://schemas.microsoft.com/office/word/2010/wordprocessingShape">
                  <wps:wsp>
                    <wps:cNvSpPr txBox="1"/>
                    <wps:spPr>
                      <a:xfrm>
                        <a:off x="0" y="0"/>
                        <a:ext cx="829945" cy="147955"/>
                      </a:xfrm>
                      <a:prstGeom prst="rect">
                        <a:avLst/>
                      </a:prstGeom>
                      <a:noFill/>
                      <a:ln w="9525">
                        <a:noFill/>
                      </a:ln>
                      <a:effectLst/>
                    </wps:spPr>
                    <wps:txbx>
                      <w:txbxContent>
                        <w:p>
                          <w:pPr>
                            <w:pStyle w:val="28"/>
                          </w:pPr>
                          <w:r>
                            <w:rPr>
                              <w:rFonts w:hint="eastAsia"/>
                            </w:rPr>
                            <w:t>第</w:t>
                          </w:r>
                          <w:r>
                            <w:fldChar w:fldCharType="begin"/>
                          </w:r>
                          <w:r>
                            <w:instrText xml:space="preserve"> PAGE  \* MERGEFORMAT </w:instrText>
                          </w:r>
                          <w:r>
                            <w:fldChar w:fldCharType="separate"/>
                          </w:r>
                          <w:r>
                            <w:t>4</w:t>
                          </w:r>
                          <w:r>
                            <w:fldChar w:fldCharType="end"/>
                          </w:r>
                          <w:r>
                            <w:rPr>
                              <w:rFonts w:hint="eastAsia"/>
                            </w:rPr>
                            <w:t>页共</w:t>
                          </w:r>
                          <w:r>
                            <w:fldChar w:fldCharType="begin"/>
                          </w:r>
                          <w:r>
                            <w:instrText xml:space="preserve"> NUMPAGES  \* MERGEFORMAT </w:instrText>
                          </w:r>
                          <w:r>
                            <w:fldChar w:fldCharType="separate"/>
                          </w:r>
                          <w:r>
                            <w:t>57</w:t>
                          </w:r>
                          <w:r>
                            <w:fldChar w:fldCharType="end"/>
                          </w:r>
                          <w:r>
                            <w:rPr>
                              <w:rFonts w:hint="eastAsia"/>
                            </w:rPr>
                            <w:t>页</w:t>
                          </w:r>
                        </w:p>
                      </w:txbxContent>
                    </wps:txbx>
                    <wps:bodyPr wrap="square" lIns="0" tIns="0" rIns="0" bIns="0" upright="1">
                      <a:spAutoFit/>
                    </wps:bodyPr>
                  </wps:wsp>
                </a:graphicData>
              </a:graphic>
            </wp:anchor>
          </w:drawing>
        </mc:Choice>
        <mc:Fallback>
          <w:pict>
            <v:shape id="文本框 8196" o:spid="_x0000_s1026" o:spt="202" type="#_x0000_t202" style="position:absolute;left:0pt;margin-left:183.7pt;margin-top:-0.35pt;height:11.65pt;width:65.35pt;mso-position-horizontal-relative:margin;z-index:251658240;mso-width-relative:page;mso-height-relative:page;" filled="f" stroked="f" coordsize="21600,21600" o:gfxdata="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ba1SM1gAAAAgBAAAP&#10;AAAAAAAAAAEAIAAAACIAAABkcnMvZG93bnJldi54bWxQSwECFAAUAAAACACHTuJARx66+OEBAACz&#10;AwAADgAAAAAAAAABACAAAAAlAQAAZHJzL2Uyb0RvYy54bWxQSwUGAAAAAAYABgBZAQAAeAUAAAAA&#10;">
              <v:fill on="f" focussize="0,0"/>
              <v:stroke on="f"/>
              <v:imagedata o:title=""/>
              <o:lock v:ext="edit" aspectratio="f"/>
              <v:textbox inset="0mm,0mm,0mm,0mm" style="mso-fit-shape-to-text:t;">
                <w:txbxContent>
                  <w:p>
                    <w:pPr>
                      <w:pStyle w:val="28"/>
                    </w:pPr>
                    <w:r>
                      <w:rPr>
                        <w:rFonts w:hint="eastAsia"/>
                      </w:rPr>
                      <w:t>第</w:t>
                    </w:r>
                    <w:r>
                      <w:fldChar w:fldCharType="begin"/>
                    </w:r>
                    <w:r>
                      <w:instrText xml:space="preserve"> PAGE  \* MERGEFORMAT </w:instrText>
                    </w:r>
                    <w:r>
                      <w:fldChar w:fldCharType="separate"/>
                    </w:r>
                    <w:r>
                      <w:t>4</w:t>
                    </w:r>
                    <w:r>
                      <w:fldChar w:fldCharType="end"/>
                    </w:r>
                    <w:r>
                      <w:rPr>
                        <w:rFonts w:hint="eastAsia"/>
                      </w:rPr>
                      <w:t>页共</w:t>
                    </w:r>
                    <w:r>
                      <w:fldChar w:fldCharType="begin"/>
                    </w:r>
                    <w:r>
                      <w:instrText xml:space="preserve"> NUMPAGES  \* MERGEFORMAT </w:instrText>
                    </w:r>
                    <w:r>
                      <w:fldChar w:fldCharType="separate"/>
                    </w:r>
                    <w:r>
                      <w:t>57</w:t>
                    </w:r>
                    <w:r>
                      <w:fldChar w:fldCharType="end"/>
                    </w:r>
                    <w:r>
                      <w:rPr>
                        <w:rFonts w:hint="eastAsia"/>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宋体" w:hAnsi="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54</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54</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宋体" w:hAnsi="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54</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0"/>
      </w:pBdr>
      <w:jc w:val="left"/>
      <w:rPr>
        <w:rFonts w:asciiTheme="minorEastAsia" w:hAnsiTheme="minorEastAsia" w:eastAsiaTheme="minorEastAsia"/>
        <w:szCs w:val="18"/>
      </w:rPr>
    </w:pPr>
    <w:r>
      <w:rPr>
        <w:rFonts w:hint="eastAsia" w:asciiTheme="minorEastAsia" w:hAnsiTheme="minorEastAsia" w:eastAsiaTheme="minorEastAsia"/>
        <w:szCs w:val="18"/>
      </w:rPr>
      <w:t>东莞巴士有限公司充电服务资格供应商采购项目</w:t>
    </w:r>
    <w:r>
      <w:rPr>
        <w:rFonts w:hint="eastAsia" w:ascii="宋体" w:hAnsi="宋体" w:cs="宋体"/>
        <w:szCs w:val="18"/>
      </w:rPr>
      <w:t xml:space="preserve">        </w:t>
    </w:r>
    <w:r>
      <w:rPr>
        <w:rFonts w:ascii="宋体" w:hAnsi="宋体" w:cs="宋体"/>
        <w:szCs w:val="18"/>
      </w:rPr>
      <w:t xml:space="preserve">                  </w:t>
    </w:r>
    <w:r>
      <w:rPr>
        <w:rFonts w:hint="eastAsia" w:ascii="宋体" w:hAnsi="宋体" w:cs="宋体"/>
        <w:szCs w:val="18"/>
      </w:rPr>
      <w:t xml:space="preserve">   采购编号</w:t>
    </w:r>
    <w:r>
      <w:rPr>
        <w:rFonts w:ascii="宋体" w:hAnsi="宋体" w:cs="宋体"/>
        <w:szCs w:val="18"/>
      </w:rPr>
      <w:t>：BS-CG2020045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0"/>
      </w:pBdr>
      <w:jc w:val="left"/>
      <w:rPr>
        <w:rFonts w:asciiTheme="minorEastAsia" w:hAnsiTheme="minorEastAsia" w:eastAsiaTheme="minorEastAsia"/>
        <w:szCs w:val="18"/>
      </w:rPr>
    </w:pPr>
    <w:r>
      <w:rPr>
        <w:rFonts w:hint="eastAsia" w:asciiTheme="minorEastAsia" w:hAnsiTheme="minorEastAsia" w:eastAsiaTheme="minorEastAsia"/>
        <w:szCs w:val="18"/>
      </w:rPr>
      <w:t>东莞巴士有限公司充电服务资格供应商采购项目</w:t>
    </w:r>
    <w:r>
      <w:rPr>
        <w:rFonts w:hint="eastAsia" w:ascii="宋体" w:hAnsi="宋体" w:cs="宋体"/>
        <w:szCs w:val="18"/>
      </w:rPr>
      <w:t xml:space="preserve">        </w:t>
    </w:r>
    <w:r>
      <w:rPr>
        <w:rFonts w:ascii="宋体" w:hAnsi="宋体" w:cs="宋体"/>
        <w:szCs w:val="18"/>
      </w:rPr>
      <w:t xml:space="preserve">                  </w:t>
    </w:r>
    <w:r>
      <w:rPr>
        <w:rFonts w:hint="eastAsia" w:ascii="宋体" w:hAnsi="宋体" w:cs="宋体"/>
        <w:szCs w:val="18"/>
      </w:rPr>
      <w:t xml:space="preserve">   采购编号</w:t>
    </w:r>
    <w:r>
      <w:rPr>
        <w:rFonts w:ascii="宋体" w:hAnsi="宋体" w:cs="宋体"/>
        <w:szCs w:val="18"/>
      </w:rPr>
      <w:t>：BS-CG2020045</w:t>
    </w:r>
  </w:p>
  <w:p>
    <w:pPr>
      <w:pStyle w:val="29"/>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6"/>
    <w:multiLevelType w:val="multilevel"/>
    <w:tmpl w:val="00000096"/>
    <w:lvl w:ilvl="0" w:tentative="0">
      <w:start w:val="1"/>
      <w:numFmt w:val="chineseCountingThousand"/>
      <w:lvlText w:val="第%1章"/>
      <w:lvlJc w:val="left"/>
      <w:pPr>
        <w:tabs>
          <w:tab w:val="left" w:pos="1440"/>
        </w:tabs>
        <w:ind w:left="425" w:hanging="425"/>
      </w:pPr>
      <w:rPr>
        <w:rFonts w:hint="eastAsia"/>
      </w:rPr>
    </w:lvl>
    <w:lvl w:ilvl="1" w:tentative="0">
      <w:start w:val="1"/>
      <w:numFmt w:val="decimal"/>
      <w:isLgl/>
      <w:lvlText w:val="%1.%2"/>
      <w:lvlJc w:val="left"/>
      <w:pPr>
        <w:tabs>
          <w:tab w:val="left" w:pos="567"/>
        </w:tabs>
        <w:ind w:left="567" w:hanging="567"/>
      </w:pPr>
      <w:rPr>
        <w:rFonts w:hint="default" w:ascii="Arial" w:hAnsi="Arial"/>
      </w:rPr>
    </w:lvl>
    <w:lvl w:ilvl="2" w:tentative="0">
      <w:start w:val="1"/>
      <w:numFmt w:val="decimal"/>
      <w:isLgl/>
      <w:lvlText w:val="%1.%2.%3"/>
      <w:lvlJc w:val="left"/>
      <w:pPr>
        <w:tabs>
          <w:tab w:val="left" w:pos="1080"/>
        </w:tabs>
        <w:ind w:left="709" w:hanging="709"/>
      </w:pPr>
      <w:rPr>
        <w:rFonts w:hint="eastAsia"/>
        <w:b/>
        <w:i w:val="0"/>
        <w:sz w:val="24"/>
      </w:rPr>
    </w:lvl>
    <w:lvl w:ilvl="3" w:tentative="0">
      <w:start w:val="1"/>
      <w:numFmt w:val="decimal"/>
      <w:pStyle w:val="179"/>
      <w:isLgl/>
      <w:lvlText w:val="%1.%2.%3.%4"/>
      <w:lvlJc w:val="left"/>
      <w:pPr>
        <w:tabs>
          <w:tab w:val="left" w:pos="1191"/>
        </w:tabs>
        <w:ind w:left="851" w:hanging="738"/>
      </w:pPr>
      <w:rPr>
        <w:rFonts w:hint="eastAsia"/>
        <w:b/>
        <w:i w:val="0"/>
      </w:rPr>
    </w:lvl>
    <w:lvl w:ilvl="4" w:tentative="0">
      <w:start w:val="1"/>
      <w:numFmt w:val="decimal"/>
      <w:isLgl/>
      <w:lvlText w:val="%1.%2.%3.%4.%5."/>
      <w:lvlJc w:val="left"/>
      <w:pPr>
        <w:tabs>
          <w:tab w:val="left" w:pos="992"/>
        </w:tabs>
        <w:ind w:left="992" w:hanging="992"/>
      </w:pPr>
      <w:rPr>
        <w:rFonts w:hint="eastAsia"/>
      </w:rPr>
    </w:lvl>
    <w:lvl w:ilvl="5" w:tentative="0">
      <w:start w:val="1"/>
      <w:numFmt w:val="none"/>
      <w:lvlText w:val="5.4.6.5.3.2"/>
      <w:lvlJc w:val="left"/>
      <w:pPr>
        <w:tabs>
          <w:tab w:val="left" w:pos="1134"/>
        </w:tabs>
        <w:ind w:left="1134" w:hanging="1134"/>
      </w:pPr>
      <w:rPr>
        <w:rFonts w:hint="eastAsia"/>
      </w:rPr>
    </w:lvl>
    <w:lvl w:ilvl="6" w:tentative="0">
      <w:start w:val="1"/>
      <w:numFmt w:val="decimal"/>
      <w:lvlText w:val="5.4.6.5.4.%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CF29A6"/>
    <w:multiLevelType w:val="multilevel"/>
    <w:tmpl w:val="0FCF29A6"/>
    <w:lvl w:ilvl="0" w:tentative="0">
      <w:start w:val="1"/>
      <w:numFmt w:val="decimal"/>
      <w:pStyle w:val="18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17A70CCB"/>
    <w:multiLevelType w:val="multilevel"/>
    <w:tmpl w:val="17A70CCB"/>
    <w:lvl w:ilvl="0" w:tentative="0">
      <w:start w:val="1"/>
      <w:numFmt w:val="bullet"/>
      <w:pStyle w:val="152"/>
      <w:lvlText w:val=""/>
      <w:lvlJc w:val="left"/>
      <w:pPr>
        <w:tabs>
          <w:tab w:val="left" w:pos="620"/>
        </w:tabs>
        <w:ind w:left="6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F274C7C"/>
    <w:multiLevelType w:val="multilevel"/>
    <w:tmpl w:val="1F274C7C"/>
    <w:lvl w:ilvl="0" w:tentative="0">
      <w:start w:val="1"/>
      <w:numFmt w:val="decimal"/>
      <w:pStyle w:val="160"/>
      <w:isLgl/>
      <w:lvlText w:val="%1"/>
      <w:lvlJc w:val="left"/>
      <w:pPr>
        <w:tabs>
          <w:tab w:val="left" w:pos="1205"/>
        </w:tabs>
        <w:ind w:left="1205" w:hanging="425"/>
      </w:pPr>
      <w:rPr>
        <w:rFonts w:hint="eastAsia"/>
      </w:rPr>
    </w:lvl>
    <w:lvl w:ilvl="1" w:tentative="0">
      <w:start w:val="1"/>
      <w:numFmt w:val="decimal"/>
      <w:isLgl/>
      <w:lvlText w:val="%1.%2"/>
      <w:lvlJc w:val="left"/>
      <w:pPr>
        <w:tabs>
          <w:tab w:val="left" w:pos="1772"/>
        </w:tabs>
        <w:ind w:left="1772" w:hanging="567"/>
      </w:pPr>
      <w:rPr>
        <w:rFonts w:hint="eastAsia"/>
      </w:rPr>
    </w:lvl>
    <w:lvl w:ilvl="2" w:tentative="0">
      <w:start w:val="1"/>
      <w:numFmt w:val="decimal"/>
      <w:lvlText w:val="%1.%2.%3"/>
      <w:lvlJc w:val="left"/>
      <w:pPr>
        <w:tabs>
          <w:tab w:val="left" w:pos="2198"/>
        </w:tabs>
        <w:ind w:left="2198" w:hanging="567"/>
      </w:pPr>
      <w:rPr>
        <w:rFonts w:hint="eastAsia"/>
      </w:rPr>
    </w:lvl>
    <w:lvl w:ilvl="3" w:tentative="0">
      <w:start w:val="1"/>
      <w:numFmt w:val="decimal"/>
      <w:lvlText w:val="%1.%2.%3.%4"/>
      <w:lvlJc w:val="left"/>
      <w:pPr>
        <w:tabs>
          <w:tab w:val="left" w:pos="2764"/>
        </w:tabs>
        <w:ind w:left="2764" w:hanging="708"/>
      </w:pPr>
      <w:rPr>
        <w:rFonts w:hint="eastAsia"/>
      </w:rPr>
    </w:lvl>
    <w:lvl w:ilvl="4" w:tentative="0">
      <w:start w:val="1"/>
      <w:numFmt w:val="decimal"/>
      <w:lvlText w:val="%1.%2.%3.%4.%5"/>
      <w:lvlJc w:val="left"/>
      <w:pPr>
        <w:tabs>
          <w:tab w:val="left" w:pos="3331"/>
        </w:tabs>
        <w:ind w:left="3331" w:hanging="850"/>
      </w:pPr>
      <w:rPr>
        <w:rFonts w:hint="eastAsia"/>
      </w:rPr>
    </w:lvl>
    <w:lvl w:ilvl="5" w:tentative="0">
      <w:start w:val="1"/>
      <w:numFmt w:val="decimal"/>
      <w:lvlText w:val="%1.%2.%3.%4.%5.%6"/>
      <w:lvlJc w:val="left"/>
      <w:pPr>
        <w:tabs>
          <w:tab w:val="left" w:pos="4040"/>
        </w:tabs>
        <w:ind w:left="4040" w:hanging="1134"/>
      </w:pPr>
      <w:rPr>
        <w:rFonts w:hint="eastAsia"/>
      </w:rPr>
    </w:lvl>
    <w:lvl w:ilvl="6" w:tentative="0">
      <w:start w:val="1"/>
      <w:numFmt w:val="decimal"/>
      <w:lvlText w:val="%1.%2.%3.%4.%5.%6.%7"/>
      <w:lvlJc w:val="left"/>
      <w:pPr>
        <w:tabs>
          <w:tab w:val="left" w:pos="4607"/>
        </w:tabs>
        <w:ind w:left="4607" w:hanging="1276"/>
      </w:pPr>
      <w:rPr>
        <w:rFonts w:hint="eastAsia"/>
      </w:rPr>
    </w:lvl>
    <w:lvl w:ilvl="7" w:tentative="0">
      <w:start w:val="1"/>
      <w:numFmt w:val="decimal"/>
      <w:lvlText w:val="%1.%2.%3.%4.%5.%6.%7.%8"/>
      <w:lvlJc w:val="left"/>
      <w:pPr>
        <w:tabs>
          <w:tab w:val="left" w:pos="5174"/>
        </w:tabs>
        <w:ind w:left="5174" w:hanging="1418"/>
      </w:pPr>
      <w:rPr>
        <w:rFonts w:hint="eastAsia"/>
      </w:rPr>
    </w:lvl>
    <w:lvl w:ilvl="8" w:tentative="0">
      <w:start w:val="1"/>
      <w:numFmt w:val="decimal"/>
      <w:lvlText w:val="%1.%2.%3.%4.%5.%6.%7.%8.%9"/>
      <w:lvlJc w:val="left"/>
      <w:pPr>
        <w:tabs>
          <w:tab w:val="left" w:pos="5882"/>
        </w:tabs>
        <w:ind w:left="5882" w:hanging="1700"/>
      </w:pPr>
      <w:rPr>
        <w:rFonts w:hint="eastAsia"/>
      </w:rPr>
    </w:lvl>
  </w:abstractNum>
  <w:abstractNum w:abstractNumId="4">
    <w:nsid w:val="3F5024F2"/>
    <w:multiLevelType w:val="multilevel"/>
    <w:tmpl w:val="3F5024F2"/>
    <w:lvl w:ilvl="0" w:tentative="0">
      <w:start w:val="1"/>
      <w:numFmt w:val="decimal"/>
      <w:lvlText w:val="%1."/>
      <w:lvlJc w:val="left"/>
      <w:pPr>
        <w:tabs>
          <w:tab w:val="left" w:pos="1049"/>
        </w:tabs>
        <w:ind w:left="1049" w:hanging="907"/>
      </w:pPr>
      <w:rPr>
        <w:rFonts w:hint="eastAsia" w:ascii="仿宋" w:hAnsi="仿宋" w:eastAsia="仿宋"/>
        <w:b/>
      </w:rPr>
    </w:lvl>
    <w:lvl w:ilvl="1" w:tentative="0">
      <w:start w:val="1"/>
      <w:numFmt w:val="decimal"/>
      <w:pStyle w:val="134"/>
      <w:lvlText w:val="%1.%2."/>
      <w:lvlJc w:val="left"/>
      <w:pPr>
        <w:tabs>
          <w:tab w:val="left" w:pos="2558"/>
        </w:tabs>
        <w:ind w:left="2558" w:hanging="907"/>
      </w:pPr>
      <w:rPr>
        <w:rFonts w:hint="default" w:ascii="Times New Roman" w:hAnsi="Times New Roman" w:eastAsia="仿宋" w:cs="Times New Roman"/>
        <w:b w:val="0"/>
        <w:color w:val="000000"/>
        <w:sz w:val="24"/>
        <w:szCs w:val="24"/>
      </w:rPr>
    </w:lvl>
    <w:lvl w:ilvl="2" w:tentative="0">
      <w:start w:val="1"/>
      <w:numFmt w:val="decimal"/>
      <w:lvlText w:val="%1.%2.%3."/>
      <w:lvlJc w:val="left"/>
      <w:pPr>
        <w:tabs>
          <w:tab w:val="left" w:pos="1759"/>
        </w:tabs>
        <w:ind w:left="1759" w:hanging="907"/>
      </w:pPr>
      <w:rPr>
        <w:rFonts w:hint="default" w:ascii="Times New Roman" w:hAnsi="Times New Roman" w:eastAsia="宋体" w:cs="Times New Roman"/>
        <w:b w:val="0"/>
      </w:rPr>
    </w:lvl>
    <w:lvl w:ilvl="3" w:tentative="0">
      <w:start w:val="1"/>
      <w:numFmt w:val="decimal"/>
      <w:lvlText w:val="%1.%2.%3.%4."/>
      <w:lvlJc w:val="left"/>
      <w:pPr>
        <w:tabs>
          <w:tab w:val="left" w:pos="1990"/>
        </w:tabs>
        <w:ind w:left="1990" w:hanging="907"/>
      </w:pPr>
      <w:rPr>
        <w:rFonts w:hint="eastAsia"/>
        <w:b w:val="0"/>
      </w:rPr>
    </w:lvl>
    <w:lvl w:ilvl="4" w:tentative="0">
      <w:start w:val="1"/>
      <w:numFmt w:val="decimal"/>
      <w:lvlText w:val="%1.%2.%3.%4.%5."/>
      <w:lvlJc w:val="left"/>
      <w:pPr>
        <w:tabs>
          <w:tab w:val="left" w:pos="2075"/>
        </w:tabs>
        <w:ind w:left="2075" w:hanging="992"/>
      </w:pPr>
      <w:rPr>
        <w:rFonts w:hint="eastAsia"/>
      </w:rPr>
    </w:lvl>
    <w:lvl w:ilvl="5" w:tentative="0">
      <w:start w:val="1"/>
      <w:numFmt w:val="decimal"/>
      <w:lvlText w:val="%1.%2.%3.%4.%5.%6."/>
      <w:lvlJc w:val="left"/>
      <w:pPr>
        <w:tabs>
          <w:tab w:val="left" w:pos="2217"/>
        </w:tabs>
        <w:ind w:left="2217" w:hanging="1134"/>
      </w:pPr>
      <w:rPr>
        <w:rFonts w:hint="eastAsia"/>
      </w:rPr>
    </w:lvl>
    <w:lvl w:ilvl="6" w:tentative="0">
      <w:start w:val="1"/>
      <w:numFmt w:val="decimal"/>
      <w:lvlText w:val="%1.%2.%3.%4.%5.%6.%7."/>
      <w:lvlJc w:val="left"/>
      <w:pPr>
        <w:tabs>
          <w:tab w:val="left" w:pos="2359"/>
        </w:tabs>
        <w:ind w:left="2359" w:hanging="1276"/>
      </w:pPr>
      <w:rPr>
        <w:rFonts w:hint="eastAsia"/>
      </w:rPr>
    </w:lvl>
    <w:lvl w:ilvl="7" w:tentative="0">
      <w:start w:val="1"/>
      <w:numFmt w:val="decimal"/>
      <w:lvlText w:val="%1.%2.%3.%4.%5.%6.%7.%8."/>
      <w:lvlJc w:val="left"/>
      <w:pPr>
        <w:tabs>
          <w:tab w:val="left" w:pos="2501"/>
        </w:tabs>
        <w:ind w:left="2501" w:hanging="1418"/>
      </w:pPr>
      <w:rPr>
        <w:rFonts w:hint="eastAsia"/>
      </w:rPr>
    </w:lvl>
    <w:lvl w:ilvl="8" w:tentative="0">
      <w:start w:val="1"/>
      <w:numFmt w:val="decimal"/>
      <w:lvlText w:val="%1.%2.%3.%4.%5.%6.%7.%8.%9."/>
      <w:lvlJc w:val="left"/>
      <w:pPr>
        <w:tabs>
          <w:tab w:val="left" w:pos="2642"/>
        </w:tabs>
        <w:ind w:left="2642" w:hanging="1559"/>
      </w:pPr>
      <w:rPr>
        <w:rFonts w:hint="eastAsia"/>
      </w:rPr>
    </w:lvl>
  </w:abstractNum>
  <w:abstractNum w:abstractNumId="5">
    <w:nsid w:val="3F8A5608"/>
    <w:multiLevelType w:val="multilevel"/>
    <w:tmpl w:val="3F8A5608"/>
    <w:lvl w:ilvl="0" w:tentative="0">
      <w:start w:val="1"/>
      <w:numFmt w:val="decimal"/>
      <w:pStyle w:val="34"/>
      <w:lvlText w:val="%1、"/>
      <w:lvlJc w:val="left"/>
      <w:pPr>
        <w:tabs>
          <w:tab w:val="left" w:pos="420"/>
        </w:tabs>
        <w:ind w:left="840" w:hanging="420"/>
      </w:pPr>
      <w:rPr>
        <w:rFonts w:hint="eastAsia"/>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decimal"/>
      <w:lvlText w:val="%3."/>
      <w:lvlJc w:val="left"/>
      <w:pPr>
        <w:tabs>
          <w:tab w:val="left" w:pos="1745"/>
        </w:tabs>
        <w:ind w:left="1745" w:hanging="705"/>
      </w:pPr>
      <w:rPr>
        <w:rFonts w:hint="default"/>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6">
    <w:nsid w:val="4E7107F0"/>
    <w:multiLevelType w:val="multilevel"/>
    <w:tmpl w:val="4E7107F0"/>
    <w:lvl w:ilvl="0" w:tentative="0">
      <w:start w:val="1"/>
      <w:numFmt w:val="bullet"/>
      <w:pStyle w:val="120"/>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lvl>
    <w:lvl w:ilvl="2" w:tentative="0">
      <w:start w:val="1"/>
      <w:numFmt w:val="decimal"/>
      <w:suff w:val="nothing"/>
      <w:lvlText w:val="%1.%2.%3 "/>
      <w:lvlJc w:val="left"/>
      <w:pPr>
        <w:ind w:left="420" w:firstLine="0"/>
      </w:pPr>
    </w:lvl>
    <w:lvl w:ilvl="3" w:tentative="0">
      <w:start w:val="1"/>
      <w:numFmt w:val="decimal"/>
      <w:suff w:val="nothing"/>
      <w:lvlText w:val="%1.%2.%3.%4 "/>
      <w:lvlJc w:val="left"/>
      <w:pPr>
        <w:ind w:left="420" w:firstLine="0"/>
      </w:pPr>
    </w:lvl>
    <w:lvl w:ilvl="4" w:tentative="0">
      <w:start w:val="1"/>
      <w:numFmt w:val="decimal"/>
      <w:suff w:val="nothing"/>
      <w:lvlText w:val="%1.%2.%3.%4.%5 "/>
      <w:lvlJc w:val="left"/>
      <w:pPr>
        <w:ind w:left="420" w:firstLine="0"/>
      </w:pPr>
    </w:lvl>
    <w:lvl w:ilvl="5" w:tentative="0">
      <w:start w:val="1"/>
      <w:numFmt w:val="decimal"/>
      <w:suff w:val="nothing"/>
      <w:lvlText w:val="%1.%2.%3.%4.%5.%6 "/>
      <w:lvlJc w:val="left"/>
      <w:pPr>
        <w:ind w:left="420" w:firstLine="0"/>
      </w:pPr>
    </w:lvl>
    <w:lvl w:ilvl="6" w:tentative="0">
      <w:start w:val="1"/>
      <w:numFmt w:val="decimal"/>
      <w:suff w:val="nothing"/>
      <w:lvlText w:val="%7."/>
      <w:lvlJc w:val="left"/>
      <w:pPr>
        <w:ind w:left="420" w:firstLine="0"/>
      </w:pPr>
    </w:lvl>
    <w:lvl w:ilvl="7" w:tentative="0">
      <w:start w:val="1"/>
      <w:numFmt w:val="none"/>
      <w:suff w:val="nothing"/>
      <w:lvlText w:val=""/>
      <w:lvlJc w:val="left"/>
      <w:pPr>
        <w:ind w:left="420" w:firstLine="0"/>
      </w:pPr>
    </w:lvl>
    <w:lvl w:ilvl="8" w:tentative="0">
      <w:start w:val="1"/>
      <w:numFmt w:val="none"/>
      <w:suff w:val="nothing"/>
      <w:lvlText w:val=""/>
      <w:lvlJc w:val="left"/>
      <w:pPr>
        <w:ind w:left="420" w:firstLine="0"/>
      </w:pPr>
    </w:lvl>
  </w:abstractNum>
  <w:abstractNum w:abstractNumId="7">
    <w:nsid w:val="5495164A"/>
    <w:multiLevelType w:val="multilevel"/>
    <w:tmpl w:val="5495164A"/>
    <w:lvl w:ilvl="0" w:tentative="0">
      <w:start w:val="1"/>
      <w:numFmt w:val="bullet"/>
      <w:pStyle w:val="177"/>
      <w:lvlText w:val=""/>
      <w:lvlJc w:val="left"/>
      <w:pPr>
        <w:tabs>
          <w:tab w:val="left" w:pos="820"/>
        </w:tabs>
        <w:ind w:left="8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F004E6E"/>
    <w:multiLevelType w:val="multilevel"/>
    <w:tmpl w:val="5F004E6E"/>
    <w:lvl w:ilvl="0" w:tentative="0">
      <w:start w:val="1"/>
      <w:numFmt w:val="decimal"/>
      <w:pStyle w:val="147"/>
      <w:lvlText w:val="%1)."/>
      <w:lvlJc w:val="left"/>
      <w:pPr>
        <w:tabs>
          <w:tab w:val="left" w:pos="900"/>
        </w:tabs>
        <w:ind w:left="900" w:hanging="420"/>
      </w:pPr>
    </w:lvl>
    <w:lvl w:ilvl="1" w:tentative="0">
      <w:start w:val="4"/>
      <w:numFmt w:val="decimal"/>
      <w:lvlText w:val="（%2）"/>
      <w:lvlJc w:val="left"/>
      <w:pPr>
        <w:tabs>
          <w:tab w:val="left" w:pos="1680"/>
        </w:tabs>
        <w:ind w:left="1680" w:hanging="78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621D3DF3"/>
    <w:multiLevelType w:val="multilevel"/>
    <w:tmpl w:val="621D3DF3"/>
    <w:lvl w:ilvl="0" w:tentative="0">
      <w:start w:val="1"/>
      <w:numFmt w:val="bullet"/>
      <w:pStyle w:val="178"/>
      <w:lvlText w:val=""/>
      <w:lvlJc w:val="left"/>
      <w:pPr>
        <w:tabs>
          <w:tab w:val="left" w:pos="720"/>
        </w:tabs>
        <w:ind w:left="7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78651FAF"/>
    <w:multiLevelType w:val="singleLevel"/>
    <w:tmpl w:val="78651FAF"/>
    <w:lvl w:ilvl="0" w:tentative="0">
      <w:start w:val="1"/>
      <w:numFmt w:val="decimal"/>
      <w:pStyle w:val="156"/>
      <w:lvlText w:val="5.%1"/>
      <w:legacy w:legacy="1" w:legacySpace="0" w:legacyIndent="425"/>
      <w:lvlJc w:val="left"/>
      <w:pPr>
        <w:ind w:left="0" w:firstLine="0"/>
      </w:pPr>
    </w:lvl>
  </w:abstractNum>
  <w:num w:numId="1">
    <w:abstractNumId w:val="5"/>
  </w:num>
  <w:num w:numId="2">
    <w:abstractNumId w:val="6"/>
  </w:num>
  <w:num w:numId="3">
    <w:abstractNumId w:val="4"/>
  </w:num>
  <w:num w:numId="4">
    <w:abstractNumId w:val="8"/>
  </w:num>
  <w:num w:numId="5">
    <w:abstractNumId w:val="2"/>
  </w:num>
  <w:num w:numId="6">
    <w:abstractNumId w:val="10"/>
  </w:num>
  <w:num w:numId="7">
    <w:abstractNumId w:val="3"/>
  </w:num>
  <w:num w:numId="8">
    <w:abstractNumId w:val="7"/>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200"/>
  <w:drawingGridVerticalSpacing w:val="-794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2C"/>
    <w:rsid w:val="000008A8"/>
    <w:rsid w:val="00001003"/>
    <w:rsid w:val="000017C0"/>
    <w:rsid w:val="00001DC8"/>
    <w:rsid w:val="00003792"/>
    <w:rsid w:val="00003A5D"/>
    <w:rsid w:val="00003B11"/>
    <w:rsid w:val="000052E1"/>
    <w:rsid w:val="000056EE"/>
    <w:rsid w:val="00010532"/>
    <w:rsid w:val="000111CA"/>
    <w:rsid w:val="0001167D"/>
    <w:rsid w:val="00012708"/>
    <w:rsid w:val="00014346"/>
    <w:rsid w:val="00014CEF"/>
    <w:rsid w:val="00015A5F"/>
    <w:rsid w:val="00016A3F"/>
    <w:rsid w:val="00016DB2"/>
    <w:rsid w:val="00020EA2"/>
    <w:rsid w:val="0002169D"/>
    <w:rsid w:val="00021752"/>
    <w:rsid w:val="00022261"/>
    <w:rsid w:val="00022676"/>
    <w:rsid w:val="00022D55"/>
    <w:rsid w:val="00023235"/>
    <w:rsid w:val="000250B7"/>
    <w:rsid w:val="000258DA"/>
    <w:rsid w:val="00025D42"/>
    <w:rsid w:val="00026C14"/>
    <w:rsid w:val="00027400"/>
    <w:rsid w:val="00031525"/>
    <w:rsid w:val="0003231B"/>
    <w:rsid w:val="00034147"/>
    <w:rsid w:val="00034560"/>
    <w:rsid w:val="00034E5C"/>
    <w:rsid w:val="000357F0"/>
    <w:rsid w:val="000363DE"/>
    <w:rsid w:val="0003695A"/>
    <w:rsid w:val="0004336D"/>
    <w:rsid w:val="0004472D"/>
    <w:rsid w:val="00046A5B"/>
    <w:rsid w:val="000470AB"/>
    <w:rsid w:val="00047831"/>
    <w:rsid w:val="00050274"/>
    <w:rsid w:val="00050966"/>
    <w:rsid w:val="00050A79"/>
    <w:rsid w:val="00051576"/>
    <w:rsid w:val="00051910"/>
    <w:rsid w:val="00051B0C"/>
    <w:rsid w:val="000527DE"/>
    <w:rsid w:val="00053B18"/>
    <w:rsid w:val="00053E78"/>
    <w:rsid w:val="0005431F"/>
    <w:rsid w:val="0005625E"/>
    <w:rsid w:val="00060E1C"/>
    <w:rsid w:val="00060E25"/>
    <w:rsid w:val="000617A0"/>
    <w:rsid w:val="00061D89"/>
    <w:rsid w:val="00063227"/>
    <w:rsid w:val="000636DF"/>
    <w:rsid w:val="000711D3"/>
    <w:rsid w:val="00071A68"/>
    <w:rsid w:val="0007225F"/>
    <w:rsid w:val="00077131"/>
    <w:rsid w:val="00077765"/>
    <w:rsid w:val="00080F8B"/>
    <w:rsid w:val="00082A4F"/>
    <w:rsid w:val="00083893"/>
    <w:rsid w:val="00083BE9"/>
    <w:rsid w:val="00085B76"/>
    <w:rsid w:val="00085C0B"/>
    <w:rsid w:val="000862BD"/>
    <w:rsid w:val="0008693B"/>
    <w:rsid w:val="0008747A"/>
    <w:rsid w:val="00087854"/>
    <w:rsid w:val="0009009A"/>
    <w:rsid w:val="00093410"/>
    <w:rsid w:val="0009622A"/>
    <w:rsid w:val="00096744"/>
    <w:rsid w:val="00097120"/>
    <w:rsid w:val="000972F5"/>
    <w:rsid w:val="000A0A33"/>
    <w:rsid w:val="000A2488"/>
    <w:rsid w:val="000A315A"/>
    <w:rsid w:val="000A4CF4"/>
    <w:rsid w:val="000A6038"/>
    <w:rsid w:val="000A60EA"/>
    <w:rsid w:val="000A6290"/>
    <w:rsid w:val="000A6BAF"/>
    <w:rsid w:val="000A72EB"/>
    <w:rsid w:val="000A76CF"/>
    <w:rsid w:val="000A7D57"/>
    <w:rsid w:val="000B05F7"/>
    <w:rsid w:val="000B0CAD"/>
    <w:rsid w:val="000B13EA"/>
    <w:rsid w:val="000B1B36"/>
    <w:rsid w:val="000B33DD"/>
    <w:rsid w:val="000B3636"/>
    <w:rsid w:val="000B3BC9"/>
    <w:rsid w:val="000B45EA"/>
    <w:rsid w:val="000B5C66"/>
    <w:rsid w:val="000B74D5"/>
    <w:rsid w:val="000B7AA5"/>
    <w:rsid w:val="000C1DCC"/>
    <w:rsid w:val="000C23C3"/>
    <w:rsid w:val="000C4BF0"/>
    <w:rsid w:val="000C4EF0"/>
    <w:rsid w:val="000C5B19"/>
    <w:rsid w:val="000C676D"/>
    <w:rsid w:val="000C6FF6"/>
    <w:rsid w:val="000D000B"/>
    <w:rsid w:val="000D01E8"/>
    <w:rsid w:val="000D01F3"/>
    <w:rsid w:val="000D222D"/>
    <w:rsid w:val="000D3271"/>
    <w:rsid w:val="000D7461"/>
    <w:rsid w:val="000D76FE"/>
    <w:rsid w:val="000D7797"/>
    <w:rsid w:val="000E1505"/>
    <w:rsid w:val="000E1E23"/>
    <w:rsid w:val="000E213D"/>
    <w:rsid w:val="000E26D4"/>
    <w:rsid w:val="000E42AA"/>
    <w:rsid w:val="000E66FC"/>
    <w:rsid w:val="000E724C"/>
    <w:rsid w:val="000E7B01"/>
    <w:rsid w:val="000F0B60"/>
    <w:rsid w:val="000F0CC8"/>
    <w:rsid w:val="000F12E1"/>
    <w:rsid w:val="000F2F60"/>
    <w:rsid w:val="000F3E0C"/>
    <w:rsid w:val="000F403C"/>
    <w:rsid w:val="000F5A50"/>
    <w:rsid w:val="000F663C"/>
    <w:rsid w:val="0010134B"/>
    <w:rsid w:val="001027C3"/>
    <w:rsid w:val="0010378C"/>
    <w:rsid w:val="00103E29"/>
    <w:rsid w:val="00104079"/>
    <w:rsid w:val="001057E5"/>
    <w:rsid w:val="00105BEE"/>
    <w:rsid w:val="00106C93"/>
    <w:rsid w:val="00110125"/>
    <w:rsid w:val="00110FAF"/>
    <w:rsid w:val="00111691"/>
    <w:rsid w:val="001117CD"/>
    <w:rsid w:val="00111988"/>
    <w:rsid w:val="001125C6"/>
    <w:rsid w:val="00112E1D"/>
    <w:rsid w:val="00114779"/>
    <w:rsid w:val="00114E4F"/>
    <w:rsid w:val="00116809"/>
    <w:rsid w:val="0011686C"/>
    <w:rsid w:val="00116BE1"/>
    <w:rsid w:val="00120903"/>
    <w:rsid w:val="001209A6"/>
    <w:rsid w:val="001209B3"/>
    <w:rsid w:val="00120BBB"/>
    <w:rsid w:val="001215DD"/>
    <w:rsid w:val="00121DE3"/>
    <w:rsid w:val="001220D2"/>
    <w:rsid w:val="00122CD4"/>
    <w:rsid w:val="00122EFC"/>
    <w:rsid w:val="00123D31"/>
    <w:rsid w:val="0012401D"/>
    <w:rsid w:val="001248FC"/>
    <w:rsid w:val="001304EC"/>
    <w:rsid w:val="00133B34"/>
    <w:rsid w:val="00135555"/>
    <w:rsid w:val="00135927"/>
    <w:rsid w:val="00136413"/>
    <w:rsid w:val="00136743"/>
    <w:rsid w:val="00136914"/>
    <w:rsid w:val="001376DB"/>
    <w:rsid w:val="00140DD9"/>
    <w:rsid w:val="00140F95"/>
    <w:rsid w:val="00141678"/>
    <w:rsid w:val="00142891"/>
    <w:rsid w:val="00142BF8"/>
    <w:rsid w:val="00144B51"/>
    <w:rsid w:val="0014519B"/>
    <w:rsid w:val="001463BA"/>
    <w:rsid w:val="001465B4"/>
    <w:rsid w:val="001467AA"/>
    <w:rsid w:val="00146BFD"/>
    <w:rsid w:val="00147420"/>
    <w:rsid w:val="0015077D"/>
    <w:rsid w:val="0015133D"/>
    <w:rsid w:val="0015275F"/>
    <w:rsid w:val="00154EF1"/>
    <w:rsid w:val="00155109"/>
    <w:rsid w:val="0015650E"/>
    <w:rsid w:val="00157C51"/>
    <w:rsid w:val="0016018E"/>
    <w:rsid w:val="00160D1F"/>
    <w:rsid w:val="00161B99"/>
    <w:rsid w:val="00165333"/>
    <w:rsid w:val="001706DC"/>
    <w:rsid w:val="001710F7"/>
    <w:rsid w:val="00171F88"/>
    <w:rsid w:val="001729F5"/>
    <w:rsid w:val="00173062"/>
    <w:rsid w:val="001744AD"/>
    <w:rsid w:val="00174749"/>
    <w:rsid w:val="00174783"/>
    <w:rsid w:val="00176C1C"/>
    <w:rsid w:val="0017702B"/>
    <w:rsid w:val="00181FEB"/>
    <w:rsid w:val="00183692"/>
    <w:rsid w:val="001836BE"/>
    <w:rsid w:val="00185811"/>
    <w:rsid w:val="00186316"/>
    <w:rsid w:val="0018763F"/>
    <w:rsid w:val="00190097"/>
    <w:rsid w:val="00191154"/>
    <w:rsid w:val="00191564"/>
    <w:rsid w:val="00191A67"/>
    <w:rsid w:val="00193960"/>
    <w:rsid w:val="00194D9D"/>
    <w:rsid w:val="0019507D"/>
    <w:rsid w:val="001A2147"/>
    <w:rsid w:val="001A285E"/>
    <w:rsid w:val="001A31B1"/>
    <w:rsid w:val="001A3EF3"/>
    <w:rsid w:val="001A55A9"/>
    <w:rsid w:val="001A6D09"/>
    <w:rsid w:val="001A7229"/>
    <w:rsid w:val="001A7B8A"/>
    <w:rsid w:val="001A7C28"/>
    <w:rsid w:val="001B057B"/>
    <w:rsid w:val="001B0779"/>
    <w:rsid w:val="001B087F"/>
    <w:rsid w:val="001B1389"/>
    <w:rsid w:val="001B2E4F"/>
    <w:rsid w:val="001B30F2"/>
    <w:rsid w:val="001B4C15"/>
    <w:rsid w:val="001B4D4D"/>
    <w:rsid w:val="001B57C7"/>
    <w:rsid w:val="001B69E0"/>
    <w:rsid w:val="001B6C8D"/>
    <w:rsid w:val="001B7004"/>
    <w:rsid w:val="001B7123"/>
    <w:rsid w:val="001C0B58"/>
    <w:rsid w:val="001C192C"/>
    <w:rsid w:val="001C19D1"/>
    <w:rsid w:val="001C4060"/>
    <w:rsid w:val="001C4ACF"/>
    <w:rsid w:val="001C53C2"/>
    <w:rsid w:val="001C6875"/>
    <w:rsid w:val="001C6F1B"/>
    <w:rsid w:val="001C77BD"/>
    <w:rsid w:val="001D04ED"/>
    <w:rsid w:val="001D16DE"/>
    <w:rsid w:val="001D328C"/>
    <w:rsid w:val="001D44E0"/>
    <w:rsid w:val="001D45E2"/>
    <w:rsid w:val="001D4894"/>
    <w:rsid w:val="001D4A4B"/>
    <w:rsid w:val="001D5E85"/>
    <w:rsid w:val="001D6658"/>
    <w:rsid w:val="001E00CF"/>
    <w:rsid w:val="001E064B"/>
    <w:rsid w:val="001E152F"/>
    <w:rsid w:val="001E21E4"/>
    <w:rsid w:val="001E2B1E"/>
    <w:rsid w:val="001E4C3A"/>
    <w:rsid w:val="001E4DFE"/>
    <w:rsid w:val="001E5C54"/>
    <w:rsid w:val="001E6091"/>
    <w:rsid w:val="001E636D"/>
    <w:rsid w:val="001E699C"/>
    <w:rsid w:val="001E6FED"/>
    <w:rsid w:val="001E7A93"/>
    <w:rsid w:val="001E7FAA"/>
    <w:rsid w:val="001F085C"/>
    <w:rsid w:val="001F08A5"/>
    <w:rsid w:val="001F0E5B"/>
    <w:rsid w:val="001F195F"/>
    <w:rsid w:val="001F2975"/>
    <w:rsid w:val="001F3A54"/>
    <w:rsid w:val="001F3B08"/>
    <w:rsid w:val="001F3FBC"/>
    <w:rsid w:val="001F4CF1"/>
    <w:rsid w:val="001F4EE8"/>
    <w:rsid w:val="001F588C"/>
    <w:rsid w:val="001F6130"/>
    <w:rsid w:val="001F664D"/>
    <w:rsid w:val="001F7092"/>
    <w:rsid w:val="001F73BA"/>
    <w:rsid w:val="00200343"/>
    <w:rsid w:val="002021FF"/>
    <w:rsid w:val="00202A84"/>
    <w:rsid w:val="00202F6B"/>
    <w:rsid w:val="00203BB0"/>
    <w:rsid w:val="00203ECC"/>
    <w:rsid w:val="00204B3F"/>
    <w:rsid w:val="002062EE"/>
    <w:rsid w:val="00206852"/>
    <w:rsid w:val="00206C6E"/>
    <w:rsid w:val="00207100"/>
    <w:rsid w:val="002077A0"/>
    <w:rsid w:val="00213043"/>
    <w:rsid w:val="002136E3"/>
    <w:rsid w:val="0021441F"/>
    <w:rsid w:val="002154FA"/>
    <w:rsid w:val="0021570C"/>
    <w:rsid w:val="00215CB8"/>
    <w:rsid w:val="00216194"/>
    <w:rsid w:val="002166BC"/>
    <w:rsid w:val="002206FE"/>
    <w:rsid w:val="00220D88"/>
    <w:rsid w:val="002238DA"/>
    <w:rsid w:val="00224F54"/>
    <w:rsid w:val="0023007B"/>
    <w:rsid w:val="00230D3D"/>
    <w:rsid w:val="00230E61"/>
    <w:rsid w:val="00230F3F"/>
    <w:rsid w:val="00232543"/>
    <w:rsid w:val="00232CA8"/>
    <w:rsid w:val="00232D55"/>
    <w:rsid w:val="00232D62"/>
    <w:rsid w:val="00235B59"/>
    <w:rsid w:val="00240D6A"/>
    <w:rsid w:val="00241271"/>
    <w:rsid w:val="00242244"/>
    <w:rsid w:val="00242791"/>
    <w:rsid w:val="00243D51"/>
    <w:rsid w:val="00244B99"/>
    <w:rsid w:val="00245448"/>
    <w:rsid w:val="00246A14"/>
    <w:rsid w:val="0025117C"/>
    <w:rsid w:val="002523F0"/>
    <w:rsid w:val="00252A78"/>
    <w:rsid w:val="00256453"/>
    <w:rsid w:val="00261CBF"/>
    <w:rsid w:val="00262643"/>
    <w:rsid w:val="002627F3"/>
    <w:rsid w:val="0026337C"/>
    <w:rsid w:val="00265229"/>
    <w:rsid w:val="002658F1"/>
    <w:rsid w:val="0026663C"/>
    <w:rsid w:val="0026724F"/>
    <w:rsid w:val="00267473"/>
    <w:rsid w:val="002674B8"/>
    <w:rsid w:val="00270811"/>
    <w:rsid w:val="00271A90"/>
    <w:rsid w:val="00272350"/>
    <w:rsid w:val="002726E3"/>
    <w:rsid w:val="0027329B"/>
    <w:rsid w:val="00273564"/>
    <w:rsid w:val="00274A03"/>
    <w:rsid w:val="00274D93"/>
    <w:rsid w:val="00276313"/>
    <w:rsid w:val="002768AD"/>
    <w:rsid w:val="00277A54"/>
    <w:rsid w:val="0028020C"/>
    <w:rsid w:val="00281E61"/>
    <w:rsid w:val="00284231"/>
    <w:rsid w:val="00284792"/>
    <w:rsid w:val="002867F2"/>
    <w:rsid w:val="00292F24"/>
    <w:rsid w:val="00293AD2"/>
    <w:rsid w:val="00293E45"/>
    <w:rsid w:val="0029421C"/>
    <w:rsid w:val="00294CD7"/>
    <w:rsid w:val="00294D0C"/>
    <w:rsid w:val="002959B3"/>
    <w:rsid w:val="00295CBC"/>
    <w:rsid w:val="00295FE0"/>
    <w:rsid w:val="00296504"/>
    <w:rsid w:val="0029797B"/>
    <w:rsid w:val="002A1087"/>
    <w:rsid w:val="002A270A"/>
    <w:rsid w:val="002A38F2"/>
    <w:rsid w:val="002A3F2F"/>
    <w:rsid w:val="002A42CB"/>
    <w:rsid w:val="002A4421"/>
    <w:rsid w:val="002A5C70"/>
    <w:rsid w:val="002A6434"/>
    <w:rsid w:val="002B0291"/>
    <w:rsid w:val="002B2282"/>
    <w:rsid w:val="002B228E"/>
    <w:rsid w:val="002B3011"/>
    <w:rsid w:val="002B3802"/>
    <w:rsid w:val="002B3F30"/>
    <w:rsid w:val="002B4DC5"/>
    <w:rsid w:val="002B5714"/>
    <w:rsid w:val="002B588E"/>
    <w:rsid w:val="002B6E6C"/>
    <w:rsid w:val="002C1140"/>
    <w:rsid w:val="002C150B"/>
    <w:rsid w:val="002C2EF0"/>
    <w:rsid w:val="002C3348"/>
    <w:rsid w:val="002C4ED4"/>
    <w:rsid w:val="002C64A1"/>
    <w:rsid w:val="002C64E0"/>
    <w:rsid w:val="002C69B3"/>
    <w:rsid w:val="002C7400"/>
    <w:rsid w:val="002C7ACF"/>
    <w:rsid w:val="002C7E5E"/>
    <w:rsid w:val="002D014B"/>
    <w:rsid w:val="002D0B4A"/>
    <w:rsid w:val="002D20D2"/>
    <w:rsid w:val="002D35CB"/>
    <w:rsid w:val="002D4114"/>
    <w:rsid w:val="002D419E"/>
    <w:rsid w:val="002D4C2A"/>
    <w:rsid w:val="002D4CD0"/>
    <w:rsid w:val="002D6386"/>
    <w:rsid w:val="002D69EA"/>
    <w:rsid w:val="002D7B2B"/>
    <w:rsid w:val="002E0389"/>
    <w:rsid w:val="002E0471"/>
    <w:rsid w:val="002E0A8A"/>
    <w:rsid w:val="002E10CF"/>
    <w:rsid w:val="002E147C"/>
    <w:rsid w:val="002E14AB"/>
    <w:rsid w:val="002E1D07"/>
    <w:rsid w:val="002E261A"/>
    <w:rsid w:val="002E2B82"/>
    <w:rsid w:val="002E3833"/>
    <w:rsid w:val="002E405E"/>
    <w:rsid w:val="002E51C9"/>
    <w:rsid w:val="002E5AD7"/>
    <w:rsid w:val="002E60BF"/>
    <w:rsid w:val="002E6C15"/>
    <w:rsid w:val="002F08B0"/>
    <w:rsid w:val="002F10E1"/>
    <w:rsid w:val="002F241D"/>
    <w:rsid w:val="002F2A2F"/>
    <w:rsid w:val="002F331C"/>
    <w:rsid w:val="002F3968"/>
    <w:rsid w:val="002F59E8"/>
    <w:rsid w:val="002F5E50"/>
    <w:rsid w:val="002F6F36"/>
    <w:rsid w:val="002F6FB4"/>
    <w:rsid w:val="0030247E"/>
    <w:rsid w:val="00302C01"/>
    <w:rsid w:val="00302C2C"/>
    <w:rsid w:val="00302E28"/>
    <w:rsid w:val="00302E85"/>
    <w:rsid w:val="0030342B"/>
    <w:rsid w:val="0030356A"/>
    <w:rsid w:val="0030381E"/>
    <w:rsid w:val="00303F53"/>
    <w:rsid w:val="00304D45"/>
    <w:rsid w:val="0030500F"/>
    <w:rsid w:val="0030538D"/>
    <w:rsid w:val="003054F9"/>
    <w:rsid w:val="00306DB5"/>
    <w:rsid w:val="00307EFF"/>
    <w:rsid w:val="00310378"/>
    <w:rsid w:val="003103BC"/>
    <w:rsid w:val="003113F8"/>
    <w:rsid w:val="00312AB4"/>
    <w:rsid w:val="0031303B"/>
    <w:rsid w:val="003132E0"/>
    <w:rsid w:val="00313B7C"/>
    <w:rsid w:val="0031431E"/>
    <w:rsid w:val="0031494B"/>
    <w:rsid w:val="00314A00"/>
    <w:rsid w:val="00314DEA"/>
    <w:rsid w:val="003178F4"/>
    <w:rsid w:val="00320217"/>
    <w:rsid w:val="003214B7"/>
    <w:rsid w:val="003215E0"/>
    <w:rsid w:val="00322790"/>
    <w:rsid w:val="0032594D"/>
    <w:rsid w:val="00325D1D"/>
    <w:rsid w:val="00325EB2"/>
    <w:rsid w:val="00330BF8"/>
    <w:rsid w:val="003313A4"/>
    <w:rsid w:val="003329C3"/>
    <w:rsid w:val="00333024"/>
    <w:rsid w:val="003342E0"/>
    <w:rsid w:val="00337776"/>
    <w:rsid w:val="00340848"/>
    <w:rsid w:val="00342C2C"/>
    <w:rsid w:val="003436DC"/>
    <w:rsid w:val="00344CFA"/>
    <w:rsid w:val="00344F0F"/>
    <w:rsid w:val="0035050F"/>
    <w:rsid w:val="00350DB1"/>
    <w:rsid w:val="00353326"/>
    <w:rsid w:val="003534AC"/>
    <w:rsid w:val="00353B6B"/>
    <w:rsid w:val="00353D63"/>
    <w:rsid w:val="00355169"/>
    <w:rsid w:val="0035582D"/>
    <w:rsid w:val="00355F77"/>
    <w:rsid w:val="00356216"/>
    <w:rsid w:val="00356617"/>
    <w:rsid w:val="00356D9B"/>
    <w:rsid w:val="00363885"/>
    <w:rsid w:val="00364B51"/>
    <w:rsid w:val="00365040"/>
    <w:rsid w:val="00366452"/>
    <w:rsid w:val="00366AFD"/>
    <w:rsid w:val="00366F0F"/>
    <w:rsid w:val="0037004A"/>
    <w:rsid w:val="00370363"/>
    <w:rsid w:val="0037050B"/>
    <w:rsid w:val="00370FA7"/>
    <w:rsid w:val="003735FE"/>
    <w:rsid w:val="00374AD6"/>
    <w:rsid w:val="00375587"/>
    <w:rsid w:val="003763ED"/>
    <w:rsid w:val="00376C8A"/>
    <w:rsid w:val="00377EA5"/>
    <w:rsid w:val="003800E1"/>
    <w:rsid w:val="0038055F"/>
    <w:rsid w:val="00380843"/>
    <w:rsid w:val="00381CD4"/>
    <w:rsid w:val="003824D8"/>
    <w:rsid w:val="00383838"/>
    <w:rsid w:val="003845F0"/>
    <w:rsid w:val="00384C2D"/>
    <w:rsid w:val="003851B4"/>
    <w:rsid w:val="00385353"/>
    <w:rsid w:val="003864EF"/>
    <w:rsid w:val="00386D4A"/>
    <w:rsid w:val="00386D98"/>
    <w:rsid w:val="003905FD"/>
    <w:rsid w:val="00390CA2"/>
    <w:rsid w:val="00391E8B"/>
    <w:rsid w:val="003933A0"/>
    <w:rsid w:val="00393796"/>
    <w:rsid w:val="00395036"/>
    <w:rsid w:val="0039542B"/>
    <w:rsid w:val="00395798"/>
    <w:rsid w:val="00395D4F"/>
    <w:rsid w:val="00396723"/>
    <w:rsid w:val="003977B3"/>
    <w:rsid w:val="003A0309"/>
    <w:rsid w:val="003A15CF"/>
    <w:rsid w:val="003A1FCB"/>
    <w:rsid w:val="003A3D9A"/>
    <w:rsid w:val="003A45FD"/>
    <w:rsid w:val="003A5CFF"/>
    <w:rsid w:val="003A6733"/>
    <w:rsid w:val="003A697C"/>
    <w:rsid w:val="003A7950"/>
    <w:rsid w:val="003B00AA"/>
    <w:rsid w:val="003B0C76"/>
    <w:rsid w:val="003B12DB"/>
    <w:rsid w:val="003B176E"/>
    <w:rsid w:val="003B224E"/>
    <w:rsid w:val="003B2B87"/>
    <w:rsid w:val="003B2D0B"/>
    <w:rsid w:val="003B3591"/>
    <w:rsid w:val="003B3869"/>
    <w:rsid w:val="003B3B00"/>
    <w:rsid w:val="003B3B1E"/>
    <w:rsid w:val="003B441A"/>
    <w:rsid w:val="003B4D36"/>
    <w:rsid w:val="003B5BA6"/>
    <w:rsid w:val="003B642A"/>
    <w:rsid w:val="003B6B6F"/>
    <w:rsid w:val="003C3428"/>
    <w:rsid w:val="003C4784"/>
    <w:rsid w:val="003C48DB"/>
    <w:rsid w:val="003C5D6D"/>
    <w:rsid w:val="003C695E"/>
    <w:rsid w:val="003C71CE"/>
    <w:rsid w:val="003C7368"/>
    <w:rsid w:val="003D16CB"/>
    <w:rsid w:val="003D2627"/>
    <w:rsid w:val="003D2A45"/>
    <w:rsid w:val="003D3047"/>
    <w:rsid w:val="003D5BF4"/>
    <w:rsid w:val="003D5D8D"/>
    <w:rsid w:val="003E0676"/>
    <w:rsid w:val="003E0FE8"/>
    <w:rsid w:val="003E157A"/>
    <w:rsid w:val="003E28B8"/>
    <w:rsid w:val="003E3053"/>
    <w:rsid w:val="003E3517"/>
    <w:rsid w:val="003E4370"/>
    <w:rsid w:val="003E783C"/>
    <w:rsid w:val="003E79AA"/>
    <w:rsid w:val="003F11C6"/>
    <w:rsid w:val="003F1992"/>
    <w:rsid w:val="003F3A29"/>
    <w:rsid w:val="003F3B76"/>
    <w:rsid w:val="003F3D54"/>
    <w:rsid w:val="003F5172"/>
    <w:rsid w:val="003F5963"/>
    <w:rsid w:val="003F6267"/>
    <w:rsid w:val="003F63B3"/>
    <w:rsid w:val="003F64F5"/>
    <w:rsid w:val="003F6D66"/>
    <w:rsid w:val="003F7A9D"/>
    <w:rsid w:val="003F7B1D"/>
    <w:rsid w:val="004010DD"/>
    <w:rsid w:val="00401400"/>
    <w:rsid w:val="00402937"/>
    <w:rsid w:val="00402B00"/>
    <w:rsid w:val="004033BE"/>
    <w:rsid w:val="00404702"/>
    <w:rsid w:val="00404D1E"/>
    <w:rsid w:val="00405DA5"/>
    <w:rsid w:val="00407283"/>
    <w:rsid w:val="00407E70"/>
    <w:rsid w:val="00410C2E"/>
    <w:rsid w:val="00411557"/>
    <w:rsid w:val="00411FB7"/>
    <w:rsid w:val="0041261B"/>
    <w:rsid w:val="00413261"/>
    <w:rsid w:val="0041543E"/>
    <w:rsid w:val="0041620D"/>
    <w:rsid w:val="00416D2D"/>
    <w:rsid w:val="00420B6A"/>
    <w:rsid w:val="00421321"/>
    <w:rsid w:val="004215FE"/>
    <w:rsid w:val="0042202C"/>
    <w:rsid w:val="0042350E"/>
    <w:rsid w:val="00423B09"/>
    <w:rsid w:val="004248EF"/>
    <w:rsid w:val="004250C5"/>
    <w:rsid w:val="00425D67"/>
    <w:rsid w:val="00426182"/>
    <w:rsid w:val="00426717"/>
    <w:rsid w:val="00426B9F"/>
    <w:rsid w:val="004272E8"/>
    <w:rsid w:val="004308C9"/>
    <w:rsid w:val="00430D70"/>
    <w:rsid w:val="0043208B"/>
    <w:rsid w:val="004335F3"/>
    <w:rsid w:val="0043452C"/>
    <w:rsid w:val="00434C5C"/>
    <w:rsid w:val="004356D9"/>
    <w:rsid w:val="00435E48"/>
    <w:rsid w:val="004361B9"/>
    <w:rsid w:val="004365A6"/>
    <w:rsid w:val="00437DEE"/>
    <w:rsid w:val="00440198"/>
    <w:rsid w:val="00441F55"/>
    <w:rsid w:val="00442160"/>
    <w:rsid w:val="004436AA"/>
    <w:rsid w:val="00443F5F"/>
    <w:rsid w:val="004441A6"/>
    <w:rsid w:val="0044430A"/>
    <w:rsid w:val="00444926"/>
    <w:rsid w:val="00447064"/>
    <w:rsid w:val="004472AF"/>
    <w:rsid w:val="0044760D"/>
    <w:rsid w:val="0044773E"/>
    <w:rsid w:val="0045227F"/>
    <w:rsid w:val="00452564"/>
    <w:rsid w:val="0045498F"/>
    <w:rsid w:val="00455C8C"/>
    <w:rsid w:val="00456BE9"/>
    <w:rsid w:val="0045779B"/>
    <w:rsid w:val="00457BD5"/>
    <w:rsid w:val="00460E05"/>
    <w:rsid w:val="00461408"/>
    <w:rsid w:val="00461696"/>
    <w:rsid w:val="00462D4E"/>
    <w:rsid w:val="0046304A"/>
    <w:rsid w:val="00464069"/>
    <w:rsid w:val="0046489A"/>
    <w:rsid w:val="00464F5E"/>
    <w:rsid w:val="00465D94"/>
    <w:rsid w:val="00466641"/>
    <w:rsid w:val="004672B5"/>
    <w:rsid w:val="004678BE"/>
    <w:rsid w:val="00467F1E"/>
    <w:rsid w:val="00470A45"/>
    <w:rsid w:val="00470FD5"/>
    <w:rsid w:val="00471A94"/>
    <w:rsid w:val="00473905"/>
    <w:rsid w:val="00475B98"/>
    <w:rsid w:val="004762A9"/>
    <w:rsid w:val="00476AA6"/>
    <w:rsid w:val="00476EA3"/>
    <w:rsid w:val="0047711E"/>
    <w:rsid w:val="0047795A"/>
    <w:rsid w:val="004806C0"/>
    <w:rsid w:val="00480B15"/>
    <w:rsid w:val="00480ED1"/>
    <w:rsid w:val="00481EED"/>
    <w:rsid w:val="004849DE"/>
    <w:rsid w:val="00484E7E"/>
    <w:rsid w:val="00485CF7"/>
    <w:rsid w:val="0048794F"/>
    <w:rsid w:val="00491ADF"/>
    <w:rsid w:val="00492403"/>
    <w:rsid w:val="004926D2"/>
    <w:rsid w:val="00492FE0"/>
    <w:rsid w:val="00493EF0"/>
    <w:rsid w:val="00494AD8"/>
    <w:rsid w:val="00494DAF"/>
    <w:rsid w:val="00495552"/>
    <w:rsid w:val="004956AD"/>
    <w:rsid w:val="004966E4"/>
    <w:rsid w:val="00497420"/>
    <w:rsid w:val="004A1137"/>
    <w:rsid w:val="004A1395"/>
    <w:rsid w:val="004A17F7"/>
    <w:rsid w:val="004A1CE5"/>
    <w:rsid w:val="004A1D74"/>
    <w:rsid w:val="004A2349"/>
    <w:rsid w:val="004A28AD"/>
    <w:rsid w:val="004A389A"/>
    <w:rsid w:val="004A487F"/>
    <w:rsid w:val="004A5DD1"/>
    <w:rsid w:val="004A67D2"/>
    <w:rsid w:val="004B1E09"/>
    <w:rsid w:val="004B3653"/>
    <w:rsid w:val="004B41D1"/>
    <w:rsid w:val="004B56F7"/>
    <w:rsid w:val="004B5933"/>
    <w:rsid w:val="004B6582"/>
    <w:rsid w:val="004B681C"/>
    <w:rsid w:val="004B6862"/>
    <w:rsid w:val="004B720D"/>
    <w:rsid w:val="004C0CAD"/>
    <w:rsid w:val="004C31B6"/>
    <w:rsid w:val="004C3331"/>
    <w:rsid w:val="004C51DA"/>
    <w:rsid w:val="004C5582"/>
    <w:rsid w:val="004C569B"/>
    <w:rsid w:val="004C6F09"/>
    <w:rsid w:val="004C7549"/>
    <w:rsid w:val="004D037F"/>
    <w:rsid w:val="004D2E8F"/>
    <w:rsid w:val="004D3C35"/>
    <w:rsid w:val="004D493E"/>
    <w:rsid w:val="004D4F65"/>
    <w:rsid w:val="004D4FAE"/>
    <w:rsid w:val="004D5629"/>
    <w:rsid w:val="004D5D45"/>
    <w:rsid w:val="004D5D78"/>
    <w:rsid w:val="004D61C6"/>
    <w:rsid w:val="004D650B"/>
    <w:rsid w:val="004D70B0"/>
    <w:rsid w:val="004E1948"/>
    <w:rsid w:val="004E254B"/>
    <w:rsid w:val="004E35A7"/>
    <w:rsid w:val="004E480A"/>
    <w:rsid w:val="004E6561"/>
    <w:rsid w:val="004E6599"/>
    <w:rsid w:val="004E65AB"/>
    <w:rsid w:val="004E65C7"/>
    <w:rsid w:val="004E6603"/>
    <w:rsid w:val="004E6EB0"/>
    <w:rsid w:val="004E7731"/>
    <w:rsid w:val="004F02C1"/>
    <w:rsid w:val="004F04C2"/>
    <w:rsid w:val="004F1AB6"/>
    <w:rsid w:val="004F4254"/>
    <w:rsid w:val="004F44AB"/>
    <w:rsid w:val="004F665F"/>
    <w:rsid w:val="004F6BD9"/>
    <w:rsid w:val="004F7912"/>
    <w:rsid w:val="004F794E"/>
    <w:rsid w:val="004F7E18"/>
    <w:rsid w:val="00500575"/>
    <w:rsid w:val="00500DBA"/>
    <w:rsid w:val="00500F13"/>
    <w:rsid w:val="005023DC"/>
    <w:rsid w:val="00502DA8"/>
    <w:rsid w:val="00503D9B"/>
    <w:rsid w:val="00504362"/>
    <w:rsid w:val="00504AA2"/>
    <w:rsid w:val="005051D6"/>
    <w:rsid w:val="0051290A"/>
    <w:rsid w:val="0051317C"/>
    <w:rsid w:val="005134BD"/>
    <w:rsid w:val="00513567"/>
    <w:rsid w:val="00514364"/>
    <w:rsid w:val="00514673"/>
    <w:rsid w:val="005155B4"/>
    <w:rsid w:val="005178F1"/>
    <w:rsid w:val="00517A52"/>
    <w:rsid w:val="005216E9"/>
    <w:rsid w:val="005223E5"/>
    <w:rsid w:val="005231E3"/>
    <w:rsid w:val="005236B7"/>
    <w:rsid w:val="00523AC6"/>
    <w:rsid w:val="00523EDB"/>
    <w:rsid w:val="00524877"/>
    <w:rsid w:val="00526178"/>
    <w:rsid w:val="00527C44"/>
    <w:rsid w:val="0053138B"/>
    <w:rsid w:val="00531B80"/>
    <w:rsid w:val="00531D04"/>
    <w:rsid w:val="005321F4"/>
    <w:rsid w:val="00532748"/>
    <w:rsid w:val="00532B88"/>
    <w:rsid w:val="00533C16"/>
    <w:rsid w:val="00533DB4"/>
    <w:rsid w:val="00533EBE"/>
    <w:rsid w:val="005347AC"/>
    <w:rsid w:val="00535F86"/>
    <w:rsid w:val="0053685B"/>
    <w:rsid w:val="00537F14"/>
    <w:rsid w:val="00537F94"/>
    <w:rsid w:val="0054004D"/>
    <w:rsid w:val="005420A7"/>
    <w:rsid w:val="00542300"/>
    <w:rsid w:val="0054516B"/>
    <w:rsid w:val="005454C8"/>
    <w:rsid w:val="00545EBF"/>
    <w:rsid w:val="00546115"/>
    <w:rsid w:val="0055020E"/>
    <w:rsid w:val="00551C3F"/>
    <w:rsid w:val="005524EF"/>
    <w:rsid w:val="00552912"/>
    <w:rsid w:val="00553AF0"/>
    <w:rsid w:val="00555538"/>
    <w:rsid w:val="00555AF6"/>
    <w:rsid w:val="00555D56"/>
    <w:rsid w:val="00555D66"/>
    <w:rsid w:val="00556234"/>
    <w:rsid w:val="0055678A"/>
    <w:rsid w:val="005573B0"/>
    <w:rsid w:val="005576AA"/>
    <w:rsid w:val="00557A55"/>
    <w:rsid w:val="005605BE"/>
    <w:rsid w:val="005606E3"/>
    <w:rsid w:val="0056113A"/>
    <w:rsid w:val="0056205A"/>
    <w:rsid w:val="00562567"/>
    <w:rsid w:val="0056264C"/>
    <w:rsid w:val="00562702"/>
    <w:rsid w:val="005631BD"/>
    <w:rsid w:val="00563558"/>
    <w:rsid w:val="005647A9"/>
    <w:rsid w:val="005666A1"/>
    <w:rsid w:val="00566D3E"/>
    <w:rsid w:val="00567D2F"/>
    <w:rsid w:val="005710D6"/>
    <w:rsid w:val="00571520"/>
    <w:rsid w:val="005720A1"/>
    <w:rsid w:val="00572370"/>
    <w:rsid w:val="005723DB"/>
    <w:rsid w:val="00573AF4"/>
    <w:rsid w:val="00573BA3"/>
    <w:rsid w:val="0057479D"/>
    <w:rsid w:val="00575D94"/>
    <w:rsid w:val="0057613F"/>
    <w:rsid w:val="00576C9A"/>
    <w:rsid w:val="00580056"/>
    <w:rsid w:val="00581E54"/>
    <w:rsid w:val="00582EE5"/>
    <w:rsid w:val="00582F5B"/>
    <w:rsid w:val="005835A5"/>
    <w:rsid w:val="00584112"/>
    <w:rsid w:val="00585A35"/>
    <w:rsid w:val="00585D28"/>
    <w:rsid w:val="005862B2"/>
    <w:rsid w:val="00586527"/>
    <w:rsid w:val="00586EE3"/>
    <w:rsid w:val="0058789F"/>
    <w:rsid w:val="00590E32"/>
    <w:rsid w:val="005916EB"/>
    <w:rsid w:val="0059187B"/>
    <w:rsid w:val="005928BE"/>
    <w:rsid w:val="0059424A"/>
    <w:rsid w:val="00594F0D"/>
    <w:rsid w:val="0059581D"/>
    <w:rsid w:val="005959D6"/>
    <w:rsid w:val="00595A54"/>
    <w:rsid w:val="00597878"/>
    <w:rsid w:val="005A1A97"/>
    <w:rsid w:val="005A21B8"/>
    <w:rsid w:val="005A262F"/>
    <w:rsid w:val="005A2B2D"/>
    <w:rsid w:val="005A2E57"/>
    <w:rsid w:val="005A3373"/>
    <w:rsid w:val="005A3483"/>
    <w:rsid w:val="005A4229"/>
    <w:rsid w:val="005A49BF"/>
    <w:rsid w:val="005A5181"/>
    <w:rsid w:val="005A5F27"/>
    <w:rsid w:val="005A6F0D"/>
    <w:rsid w:val="005A731A"/>
    <w:rsid w:val="005A7612"/>
    <w:rsid w:val="005B01E6"/>
    <w:rsid w:val="005B09ED"/>
    <w:rsid w:val="005B33A7"/>
    <w:rsid w:val="005B4A3A"/>
    <w:rsid w:val="005B5750"/>
    <w:rsid w:val="005B584C"/>
    <w:rsid w:val="005B5CB6"/>
    <w:rsid w:val="005B5EF8"/>
    <w:rsid w:val="005B70C5"/>
    <w:rsid w:val="005B7AFA"/>
    <w:rsid w:val="005C0B45"/>
    <w:rsid w:val="005C1E5A"/>
    <w:rsid w:val="005C1FE4"/>
    <w:rsid w:val="005C44B1"/>
    <w:rsid w:val="005C454E"/>
    <w:rsid w:val="005C5C0F"/>
    <w:rsid w:val="005C7210"/>
    <w:rsid w:val="005D01A2"/>
    <w:rsid w:val="005D19D7"/>
    <w:rsid w:val="005D1E5A"/>
    <w:rsid w:val="005D36FD"/>
    <w:rsid w:val="005D4034"/>
    <w:rsid w:val="005D5AC7"/>
    <w:rsid w:val="005D6A22"/>
    <w:rsid w:val="005D6C54"/>
    <w:rsid w:val="005E0377"/>
    <w:rsid w:val="005E0A4B"/>
    <w:rsid w:val="005E15E0"/>
    <w:rsid w:val="005E1C28"/>
    <w:rsid w:val="005E27F4"/>
    <w:rsid w:val="005E38F4"/>
    <w:rsid w:val="005E3910"/>
    <w:rsid w:val="005E488F"/>
    <w:rsid w:val="005E51E6"/>
    <w:rsid w:val="005E581C"/>
    <w:rsid w:val="005E5BFF"/>
    <w:rsid w:val="005E7AB7"/>
    <w:rsid w:val="005F148A"/>
    <w:rsid w:val="005F22B2"/>
    <w:rsid w:val="005F2D5D"/>
    <w:rsid w:val="005F3069"/>
    <w:rsid w:val="005F4806"/>
    <w:rsid w:val="005F4816"/>
    <w:rsid w:val="005F5083"/>
    <w:rsid w:val="005F5998"/>
    <w:rsid w:val="005F6ADD"/>
    <w:rsid w:val="005F6ED4"/>
    <w:rsid w:val="005F7737"/>
    <w:rsid w:val="006004B8"/>
    <w:rsid w:val="0060051B"/>
    <w:rsid w:val="00601538"/>
    <w:rsid w:val="0060284B"/>
    <w:rsid w:val="00603846"/>
    <w:rsid w:val="00603856"/>
    <w:rsid w:val="00605437"/>
    <w:rsid w:val="00606348"/>
    <w:rsid w:val="00606B35"/>
    <w:rsid w:val="00611288"/>
    <w:rsid w:val="00611A4A"/>
    <w:rsid w:val="00611B15"/>
    <w:rsid w:val="00611BEE"/>
    <w:rsid w:val="006138EC"/>
    <w:rsid w:val="00613AF5"/>
    <w:rsid w:val="006159B7"/>
    <w:rsid w:val="006178DD"/>
    <w:rsid w:val="00623DC1"/>
    <w:rsid w:val="00624B17"/>
    <w:rsid w:val="006255C3"/>
    <w:rsid w:val="00626645"/>
    <w:rsid w:val="006266A5"/>
    <w:rsid w:val="00631029"/>
    <w:rsid w:val="00632AD2"/>
    <w:rsid w:val="00633773"/>
    <w:rsid w:val="006348A6"/>
    <w:rsid w:val="00634DB4"/>
    <w:rsid w:val="006401EA"/>
    <w:rsid w:val="006406B0"/>
    <w:rsid w:val="0064176C"/>
    <w:rsid w:val="00641C53"/>
    <w:rsid w:val="00643661"/>
    <w:rsid w:val="00645DEF"/>
    <w:rsid w:val="00646906"/>
    <w:rsid w:val="0065086B"/>
    <w:rsid w:val="00650DDE"/>
    <w:rsid w:val="0065118B"/>
    <w:rsid w:val="0065187D"/>
    <w:rsid w:val="00651C77"/>
    <w:rsid w:val="0065465D"/>
    <w:rsid w:val="00654C67"/>
    <w:rsid w:val="0065519F"/>
    <w:rsid w:val="006556DD"/>
    <w:rsid w:val="006562DF"/>
    <w:rsid w:val="00661A99"/>
    <w:rsid w:val="00661C27"/>
    <w:rsid w:val="00661ED6"/>
    <w:rsid w:val="00663827"/>
    <w:rsid w:val="00663B3D"/>
    <w:rsid w:val="00664127"/>
    <w:rsid w:val="00664D24"/>
    <w:rsid w:val="00664DB5"/>
    <w:rsid w:val="00665614"/>
    <w:rsid w:val="00666083"/>
    <w:rsid w:val="00666579"/>
    <w:rsid w:val="006672F4"/>
    <w:rsid w:val="00667BA1"/>
    <w:rsid w:val="006719AE"/>
    <w:rsid w:val="00671C62"/>
    <w:rsid w:val="0067364A"/>
    <w:rsid w:val="006738C6"/>
    <w:rsid w:val="006744B5"/>
    <w:rsid w:val="00674ABD"/>
    <w:rsid w:val="006752DE"/>
    <w:rsid w:val="0067570C"/>
    <w:rsid w:val="006760F8"/>
    <w:rsid w:val="00676875"/>
    <w:rsid w:val="00677698"/>
    <w:rsid w:val="00680FF7"/>
    <w:rsid w:val="00681B9B"/>
    <w:rsid w:val="0068314E"/>
    <w:rsid w:val="0068339C"/>
    <w:rsid w:val="00683546"/>
    <w:rsid w:val="00683EA6"/>
    <w:rsid w:val="00686493"/>
    <w:rsid w:val="00686A31"/>
    <w:rsid w:val="00687ADB"/>
    <w:rsid w:val="00687B31"/>
    <w:rsid w:val="00690AE5"/>
    <w:rsid w:val="0069108F"/>
    <w:rsid w:val="00691B22"/>
    <w:rsid w:val="00693325"/>
    <w:rsid w:val="00693EEF"/>
    <w:rsid w:val="00694362"/>
    <w:rsid w:val="00694C56"/>
    <w:rsid w:val="00695DD1"/>
    <w:rsid w:val="006962F2"/>
    <w:rsid w:val="0069692C"/>
    <w:rsid w:val="00696AA7"/>
    <w:rsid w:val="00696C04"/>
    <w:rsid w:val="00696E80"/>
    <w:rsid w:val="006A1098"/>
    <w:rsid w:val="006A2103"/>
    <w:rsid w:val="006A3957"/>
    <w:rsid w:val="006A42EC"/>
    <w:rsid w:val="006A4946"/>
    <w:rsid w:val="006A676B"/>
    <w:rsid w:val="006A6790"/>
    <w:rsid w:val="006A7D93"/>
    <w:rsid w:val="006B0D8B"/>
    <w:rsid w:val="006B0E70"/>
    <w:rsid w:val="006B16F1"/>
    <w:rsid w:val="006B2071"/>
    <w:rsid w:val="006B28AB"/>
    <w:rsid w:val="006B3D4A"/>
    <w:rsid w:val="006B3EDA"/>
    <w:rsid w:val="006B59D5"/>
    <w:rsid w:val="006B5E19"/>
    <w:rsid w:val="006B612A"/>
    <w:rsid w:val="006B6A03"/>
    <w:rsid w:val="006B6AE0"/>
    <w:rsid w:val="006B6EB7"/>
    <w:rsid w:val="006B72F1"/>
    <w:rsid w:val="006C1288"/>
    <w:rsid w:val="006C1398"/>
    <w:rsid w:val="006C20CE"/>
    <w:rsid w:val="006C23F1"/>
    <w:rsid w:val="006C2C34"/>
    <w:rsid w:val="006C35D5"/>
    <w:rsid w:val="006C3A23"/>
    <w:rsid w:val="006C3B99"/>
    <w:rsid w:val="006C4E3F"/>
    <w:rsid w:val="006C5DDE"/>
    <w:rsid w:val="006D007D"/>
    <w:rsid w:val="006D02C3"/>
    <w:rsid w:val="006D06C5"/>
    <w:rsid w:val="006D0BE9"/>
    <w:rsid w:val="006D107A"/>
    <w:rsid w:val="006D126F"/>
    <w:rsid w:val="006D1C44"/>
    <w:rsid w:val="006D1E80"/>
    <w:rsid w:val="006D2E19"/>
    <w:rsid w:val="006D38BB"/>
    <w:rsid w:val="006D4446"/>
    <w:rsid w:val="006D607A"/>
    <w:rsid w:val="006D628C"/>
    <w:rsid w:val="006D628E"/>
    <w:rsid w:val="006D6B73"/>
    <w:rsid w:val="006D79D7"/>
    <w:rsid w:val="006D7FA1"/>
    <w:rsid w:val="006E02C1"/>
    <w:rsid w:val="006E05E1"/>
    <w:rsid w:val="006E0D0F"/>
    <w:rsid w:val="006E0ED3"/>
    <w:rsid w:val="006E13D7"/>
    <w:rsid w:val="006E1AF2"/>
    <w:rsid w:val="006E1E51"/>
    <w:rsid w:val="006E2B9F"/>
    <w:rsid w:val="006E3448"/>
    <w:rsid w:val="006E3711"/>
    <w:rsid w:val="006E4227"/>
    <w:rsid w:val="006E5037"/>
    <w:rsid w:val="006E6A52"/>
    <w:rsid w:val="006E7C33"/>
    <w:rsid w:val="006F0656"/>
    <w:rsid w:val="006F0C05"/>
    <w:rsid w:val="006F3136"/>
    <w:rsid w:val="006F33E0"/>
    <w:rsid w:val="006F53B2"/>
    <w:rsid w:val="006F5FBF"/>
    <w:rsid w:val="006F686B"/>
    <w:rsid w:val="006F73E5"/>
    <w:rsid w:val="00701875"/>
    <w:rsid w:val="00703F07"/>
    <w:rsid w:val="00705A8B"/>
    <w:rsid w:val="00706148"/>
    <w:rsid w:val="00706972"/>
    <w:rsid w:val="00706BF7"/>
    <w:rsid w:val="00706E44"/>
    <w:rsid w:val="00707F6B"/>
    <w:rsid w:val="00710053"/>
    <w:rsid w:val="00710773"/>
    <w:rsid w:val="00710DFC"/>
    <w:rsid w:val="007138F7"/>
    <w:rsid w:val="0071395E"/>
    <w:rsid w:val="00713C36"/>
    <w:rsid w:val="00713F40"/>
    <w:rsid w:val="00714655"/>
    <w:rsid w:val="00714C7E"/>
    <w:rsid w:val="0071568B"/>
    <w:rsid w:val="00722076"/>
    <w:rsid w:val="00722803"/>
    <w:rsid w:val="007233CF"/>
    <w:rsid w:val="00723C03"/>
    <w:rsid w:val="00724191"/>
    <w:rsid w:val="00724235"/>
    <w:rsid w:val="007248D4"/>
    <w:rsid w:val="00724BA0"/>
    <w:rsid w:val="007250C5"/>
    <w:rsid w:val="00726123"/>
    <w:rsid w:val="00726BAB"/>
    <w:rsid w:val="00726F12"/>
    <w:rsid w:val="00727B94"/>
    <w:rsid w:val="007302CA"/>
    <w:rsid w:val="00730395"/>
    <w:rsid w:val="00730848"/>
    <w:rsid w:val="007317BD"/>
    <w:rsid w:val="007325F6"/>
    <w:rsid w:val="007341C1"/>
    <w:rsid w:val="0073478D"/>
    <w:rsid w:val="00734F1D"/>
    <w:rsid w:val="007360B6"/>
    <w:rsid w:val="007367C7"/>
    <w:rsid w:val="00737562"/>
    <w:rsid w:val="007418A0"/>
    <w:rsid w:val="00741E09"/>
    <w:rsid w:val="00742EA6"/>
    <w:rsid w:val="00743D23"/>
    <w:rsid w:val="00743F18"/>
    <w:rsid w:val="007450FE"/>
    <w:rsid w:val="0074557C"/>
    <w:rsid w:val="00746BA7"/>
    <w:rsid w:val="0074709A"/>
    <w:rsid w:val="00747790"/>
    <w:rsid w:val="00747A3F"/>
    <w:rsid w:val="00747E93"/>
    <w:rsid w:val="007508C0"/>
    <w:rsid w:val="00750B40"/>
    <w:rsid w:val="00751094"/>
    <w:rsid w:val="00751179"/>
    <w:rsid w:val="0075120D"/>
    <w:rsid w:val="007515BA"/>
    <w:rsid w:val="00752971"/>
    <w:rsid w:val="00754026"/>
    <w:rsid w:val="007547BA"/>
    <w:rsid w:val="00754831"/>
    <w:rsid w:val="007549FA"/>
    <w:rsid w:val="0075589F"/>
    <w:rsid w:val="00755EBA"/>
    <w:rsid w:val="00756347"/>
    <w:rsid w:val="0075783B"/>
    <w:rsid w:val="007624C4"/>
    <w:rsid w:val="00764B63"/>
    <w:rsid w:val="007653EC"/>
    <w:rsid w:val="00765B94"/>
    <w:rsid w:val="0076678D"/>
    <w:rsid w:val="007669CA"/>
    <w:rsid w:val="00766C58"/>
    <w:rsid w:val="00766C96"/>
    <w:rsid w:val="00766D3C"/>
    <w:rsid w:val="00770847"/>
    <w:rsid w:val="0077178C"/>
    <w:rsid w:val="00771DA9"/>
    <w:rsid w:val="00772316"/>
    <w:rsid w:val="00773D4E"/>
    <w:rsid w:val="00773F28"/>
    <w:rsid w:val="00774034"/>
    <w:rsid w:val="007749B3"/>
    <w:rsid w:val="00776281"/>
    <w:rsid w:val="00776512"/>
    <w:rsid w:val="00776573"/>
    <w:rsid w:val="00776C7A"/>
    <w:rsid w:val="00780128"/>
    <w:rsid w:val="00780180"/>
    <w:rsid w:val="00780856"/>
    <w:rsid w:val="007809B2"/>
    <w:rsid w:val="00781096"/>
    <w:rsid w:val="00781305"/>
    <w:rsid w:val="00781B67"/>
    <w:rsid w:val="00782CCF"/>
    <w:rsid w:val="0078337C"/>
    <w:rsid w:val="00784685"/>
    <w:rsid w:val="00784EBC"/>
    <w:rsid w:val="0078539F"/>
    <w:rsid w:val="007859A5"/>
    <w:rsid w:val="00786A8C"/>
    <w:rsid w:val="00786AAD"/>
    <w:rsid w:val="00790FA8"/>
    <w:rsid w:val="00792F47"/>
    <w:rsid w:val="00793608"/>
    <w:rsid w:val="00793756"/>
    <w:rsid w:val="00793C67"/>
    <w:rsid w:val="00794209"/>
    <w:rsid w:val="007950E1"/>
    <w:rsid w:val="00795494"/>
    <w:rsid w:val="0079610A"/>
    <w:rsid w:val="00796471"/>
    <w:rsid w:val="00797C35"/>
    <w:rsid w:val="007A0522"/>
    <w:rsid w:val="007A0B23"/>
    <w:rsid w:val="007A1037"/>
    <w:rsid w:val="007A156A"/>
    <w:rsid w:val="007A2196"/>
    <w:rsid w:val="007A2C03"/>
    <w:rsid w:val="007A3660"/>
    <w:rsid w:val="007A370E"/>
    <w:rsid w:val="007A47A5"/>
    <w:rsid w:val="007A48CC"/>
    <w:rsid w:val="007A4A30"/>
    <w:rsid w:val="007A4B0E"/>
    <w:rsid w:val="007A694B"/>
    <w:rsid w:val="007A72DD"/>
    <w:rsid w:val="007A7A6B"/>
    <w:rsid w:val="007A7E32"/>
    <w:rsid w:val="007B0D30"/>
    <w:rsid w:val="007B1CFC"/>
    <w:rsid w:val="007B26C1"/>
    <w:rsid w:val="007B2A0E"/>
    <w:rsid w:val="007B5023"/>
    <w:rsid w:val="007B7466"/>
    <w:rsid w:val="007B75B1"/>
    <w:rsid w:val="007B76C1"/>
    <w:rsid w:val="007C0132"/>
    <w:rsid w:val="007C03C7"/>
    <w:rsid w:val="007C0828"/>
    <w:rsid w:val="007C0915"/>
    <w:rsid w:val="007C14FE"/>
    <w:rsid w:val="007C254D"/>
    <w:rsid w:val="007C4D5D"/>
    <w:rsid w:val="007C5122"/>
    <w:rsid w:val="007C58C2"/>
    <w:rsid w:val="007C60F1"/>
    <w:rsid w:val="007C6C38"/>
    <w:rsid w:val="007C7195"/>
    <w:rsid w:val="007D0F9F"/>
    <w:rsid w:val="007D1968"/>
    <w:rsid w:val="007D1D6D"/>
    <w:rsid w:val="007D2477"/>
    <w:rsid w:val="007D2DCC"/>
    <w:rsid w:val="007D39AF"/>
    <w:rsid w:val="007D39C3"/>
    <w:rsid w:val="007D4853"/>
    <w:rsid w:val="007E00A0"/>
    <w:rsid w:val="007E07BD"/>
    <w:rsid w:val="007E0EDD"/>
    <w:rsid w:val="007E1108"/>
    <w:rsid w:val="007E163B"/>
    <w:rsid w:val="007E3B91"/>
    <w:rsid w:val="007E3E8B"/>
    <w:rsid w:val="007E3EA8"/>
    <w:rsid w:val="007E4299"/>
    <w:rsid w:val="007E4B1F"/>
    <w:rsid w:val="007E4BCA"/>
    <w:rsid w:val="007E57AB"/>
    <w:rsid w:val="007E73B7"/>
    <w:rsid w:val="007E744E"/>
    <w:rsid w:val="007E7F43"/>
    <w:rsid w:val="007F1338"/>
    <w:rsid w:val="007F1EFE"/>
    <w:rsid w:val="007F2D0B"/>
    <w:rsid w:val="007F43B1"/>
    <w:rsid w:val="007F465F"/>
    <w:rsid w:val="007F557D"/>
    <w:rsid w:val="007F56BA"/>
    <w:rsid w:val="007F6873"/>
    <w:rsid w:val="007F7145"/>
    <w:rsid w:val="007F7D6A"/>
    <w:rsid w:val="00800941"/>
    <w:rsid w:val="0080204E"/>
    <w:rsid w:val="00802546"/>
    <w:rsid w:val="0080298C"/>
    <w:rsid w:val="00803A7B"/>
    <w:rsid w:val="00803C34"/>
    <w:rsid w:val="00803E4C"/>
    <w:rsid w:val="00804CD4"/>
    <w:rsid w:val="0080524B"/>
    <w:rsid w:val="0080620B"/>
    <w:rsid w:val="008065F9"/>
    <w:rsid w:val="00806E3B"/>
    <w:rsid w:val="0081042A"/>
    <w:rsid w:val="00811AFC"/>
    <w:rsid w:val="008120F6"/>
    <w:rsid w:val="0081270B"/>
    <w:rsid w:val="00812712"/>
    <w:rsid w:val="008130EA"/>
    <w:rsid w:val="00813EE6"/>
    <w:rsid w:val="00814068"/>
    <w:rsid w:val="008142FD"/>
    <w:rsid w:val="008151F8"/>
    <w:rsid w:val="0081613A"/>
    <w:rsid w:val="00820509"/>
    <w:rsid w:val="00820DA1"/>
    <w:rsid w:val="008212BB"/>
    <w:rsid w:val="00821750"/>
    <w:rsid w:val="00821BCB"/>
    <w:rsid w:val="00822DAA"/>
    <w:rsid w:val="008259CE"/>
    <w:rsid w:val="00826AAF"/>
    <w:rsid w:val="008278BE"/>
    <w:rsid w:val="00827C23"/>
    <w:rsid w:val="00830EE3"/>
    <w:rsid w:val="00831E6C"/>
    <w:rsid w:val="00832316"/>
    <w:rsid w:val="008338A2"/>
    <w:rsid w:val="00834887"/>
    <w:rsid w:val="00834CA5"/>
    <w:rsid w:val="00835F7E"/>
    <w:rsid w:val="008362A7"/>
    <w:rsid w:val="00836756"/>
    <w:rsid w:val="00836E7F"/>
    <w:rsid w:val="008377D3"/>
    <w:rsid w:val="00837949"/>
    <w:rsid w:val="008406C5"/>
    <w:rsid w:val="0084090A"/>
    <w:rsid w:val="00840A7A"/>
    <w:rsid w:val="008410E7"/>
    <w:rsid w:val="00842517"/>
    <w:rsid w:val="00843CAD"/>
    <w:rsid w:val="00844FD6"/>
    <w:rsid w:val="0084590D"/>
    <w:rsid w:val="0084696E"/>
    <w:rsid w:val="00850A3A"/>
    <w:rsid w:val="008512B5"/>
    <w:rsid w:val="008536C9"/>
    <w:rsid w:val="008537D8"/>
    <w:rsid w:val="00853FB9"/>
    <w:rsid w:val="00855A45"/>
    <w:rsid w:val="00860144"/>
    <w:rsid w:val="0086016D"/>
    <w:rsid w:val="00860F60"/>
    <w:rsid w:val="00861881"/>
    <w:rsid w:val="008625B0"/>
    <w:rsid w:val="00862846"/>
    <w:rsid w:val="0086348B"/>
    <w:rsid w:val="00863FDE"/>
    <w:rsid w:val="0086435C"/>
    <w:rsid w:val="00865AD1"/>
    <w:rsid w:val="0086670D"/>
    <w:rsid w:val="00867F9C"/>
    <w:rsid w:val="00871CC6"/>
    <w:rsid w:val="00871F0E"/>
    <w:rsid w:val="0087392C"/>
    <w:rsid w:val="00874044"/>
    <w:rsid w:val="00874289"/>
    <w:rsid w:val="00875539"/>
    <w:rsid w:val="00877CC4"/>
    <w:rsid w:val="0088054E"/>
    <w:rsid w:val="008814E4"/>
    <w:rsid w:val="0088412F"/>
    <w:rsid w:val="00885661"/>
    <w:rsid w:val="00886731"/>
    <w:rsid w:val="00887673"/>
    <w:rsid w:val="00890060"/>
    <w:rsid w:val="00891E9E"/>
    <w:rsid w:val="008926EA"/>
    <w:rsid w:val="008946D8"/>
    <w:rsid w:val="008969AF"/>
    <w:rsid w:val="00896DC6"/>
    <w:rsid w:val="008973CA"/>
    <w:rsid w:val="008974B4"/>
    <w:rsid w:val="008A0680"/>
    <w:rsid w:val="008A2766"/>
    <w:rsid w:val="008A2BD6"/>
    <w:rsid w:val="008A6110"/>
    <w:rsid w:val="008A64CD"/>
    <w:rsid w:val="008A755E"/>
    <w:rsid w:val="008B08E0"/>
    <w:rsid w:val="008B1693"/>
    <w:rsid w:val="008B1E5F"/>
    <w:rsid w:val="008B2C4D"/>
    <w:rsid w:val="008B32DE"/>
    <w:rsid w:val="008B38D8"/>
    <w:rsid w:val="008B4592"/>
    <w:rsid w:val="008B4914"/>
    <w:rsid w:val="008B4C5E"/>
    <w:rsid w:val="008B5413"/>
    <w:rsid w:val="008B5B29"/>
    <w:rsid w:val="008B6888"/>
    <w:rsid w:val="008B75A5"/>
    <w:rsid w:val="008B76FE"/>
    <w:rsid w:val="008B7795"/>
    <w:rsid w:val="008C1CE0"/>
    <w:rsid w:val="008C2348"/>
    <w:rsid w:val="008C279C"/>
    <w:rsid w:val="008C462F"/>
    <w:rsid w:val="008C60AE"/>
    <w:rsid w:val="008D1CB2"/>
    <w:rsid w:val="008D2E8F"/>
    <w:rsid w:val="008D333E"/>
    <w:rsid w:val="008D3C3E"/>
    <w:rsid w:val="008D4497"/>
    <w:rsid w:val="008D4FAD"/>
    <w:rsid w:val="008D52FC"/>
    <w:rsid w:val="008D5D4F"/>
    <w:rsid w:val="008D6A8A"/>
    <w:rsid w:val="008D6BAC"/>
    <w:rsid w:val="008D795C"/>
    <w:rsid w:val="008E0445"/>
    <w:rsid w:val="008E236F"/>
    <w:rsid w:val="008E5272"/>
    <w:rsid w:val="008E548E"/>
    <w:rsid w:val="008E66EE"/>
    <w:rsid w:val="008E6AB1"/>
    <w:rsid w:val="008E6B0B"/>
    <w:rsid w:val="008F1515"/>
    <w:rsid w:val="008F16B4"/>
    <w:rsid w:val="008F1A0D"/>
    <w:rsid w:val="008F245B"/>
    <w:rsid w:val="008F26D7"/>
    <w:rsid w:val="008F28AE"/>
    <w:rsid w:val="008F2D17"/>
    <w:rsid w:val="008F2E6F"/>
    <w:rsid w:val="008F663B"/>
    <w:rsid w:val="008F6DA6"/>
    <w:rsid w:val="008F6EA0"/>
    <w:rsid w:val="0090194E"/>
    <w:rsid w:val="00904D2F"/>
    <w:rsid w:val="009051EF"/>
    <w:rsid w:val="00907ABB"/>
    <w:rsid w:val="0091146F"/>
    <w:rsid w:val="009114A6"/>
    <w:rsid w:val="00914E16"/>
    <w:rsid w:val="00915C13"/>
    <w:rsid w:val="00916F41"/>
    <w:rsid w:val="009174EB"/>
    <w:rsid w:val="00917832"/>
    <w:rsid w:val="00920747"/>
    <w:rsid w:val="00921451"/>
    <w:rsid w:val="00921898"/>
    <w:rsid w:val="00921EA9"/>
    <w:rsid w:val="009226CA"/>
    <w:rsid w:val="00923041"/>
    <w:rsid w:val="00924176"/>
    <w:rsid w:val="00924FA5"/>
    <w:rsid w:val="0092648E"/>
    <w:rsid w:val="00927AB3"/>
    <w:rsid w:val="0093023A"/>
    <w:rsid w:val="00930E94"/>
    <w:rsid w:val="009317E5"/>
    <w:rsid w:val="0093226C"/>
    <w:rsid w:val="00932EB8"/>
    <w:rsid w:val="00933490"/>
    <w:rsid w:val="009340B6"/>
    <w:rsid w:val="009340C4"/>
    <w:rsid w:val="009349EA"/>
    <w:rsid w:val="00936187"/>
    <w:rsid w:val="00936382"/>
    <w:rsid w:val="00936C5D"/>
    <w:rsid w:val="00937097"/>
    <w:rsid w:val="009372F7"/>
    <w:rsid w:val="00937404"/>
    <w:rsid w:val="0093758A"/>
    <w:rsid w:val="00940899"/>
    <w:rsid w:val="00940E4E"/>
    <w:rsid w:val="009422A9"/>
    <w:rsid w:val="00943448"/>
    <w:rsid w:val="009465C8"/>
    <w:rsid w:val="0094692B"/>
    <w:rsid w:val="00947792"/>
    <w:rsid w:val="009508A5"/>
    <w:rsid w:val="00950B92"/>
    <w:rsid w:val="00951B92"/>
    <w:rsid w:val="00952BBC"/>
    <w:rsid w:val="0095308D"/>
    <w:rsid w:val="009536FC"/>
    <w:rsid w:val="00953FCA"/>
    <w:rsid w:val="00954FE2"/>
    <w:rsid w:val="00955092"/>
    <w:rsid w:val="009567C4"/>
    <w:rsid w:val="00956BAA"/>
    <w:rsid w:val="00960382"/>
    <w:rsid w:val="009604BE"/>
    <w:rsid w:val="00961A0E"/>
    <w:rsid w:val="009629B4"/>
    <w:rsid w:val="00964AA1"/>
    <w:rsid w:val="009656A5"/>
    <w:rsid w:val="009662DC"/>
    <w:rsid w:val="0096647D"/>
    <w:rsid w:val="00967115"/>
    <w:rsid w:val="00970E64"/>
    <w:rsid w:val="00971316"/>
    <w:rsid w:val="009713DF"/>
    <w:rsid w:val="00972991"/>
    <w:rsid w:val="00972BF2"/>
    <w:rsid w:val="00973A66"/>
    <w:rsid w:val="009740A5"/>
    <w:rsid w:val="0097439B"/>
    <w:rsid w:val="00974706"/>
    <w:rsid w:val="00974914"/>
    <w:rsid w:val="009749A6"/>
    <w:rsid w:val="009750E0"/>
    <w:rsid w:val="009771B7"/>
    <w:rsid w:val="0097782E"/>
    <w:rsid w:val="00981623"/>
    <w:rsid w:val="00981A89"/>
    <w:rsid w:val="00983D24"/>
    <w:rsid w:val="0098601C"/>
    <w:rsid w:val="009872C9"/>
    <w:rsid w:val="00987DF6"/>
    <w:rsid w:val="009906EF"/>
    <w:rsid w:val="009909A3"/>
    <w:rsid w:val="00990D69"/>
    <w:rsid w:val="0099141A"/>
    <w:rsid w:val="00991B28"/>
    <w:rsid w:val="00992BD6"/>
    <w:rsid w:val="00992FBF"/>
    <w:rsid w:val="00992FF9"/>
    <w:rsid w:val="00993E73"/>
    <w:rsid w:val="00994628"/>
    <w:rsid w:val="00995E81"/>
    <w:rsid w:val="009968CB"/>
    <w:rsid w:val="00997282"/>
    <w:rsid w:val="0099768B"/>
    <w:rsid w:val="0099777B"/>
    <w:rsid w:val="009A06CC"/>
    <w:rsid w:val="009A0F93"/>
    <w:rsid w:val="009A3350"/>
    <w:rsid w:val="009A3F3C"/>
    <w:rsid w:val="009A4739"/>
    <w:rsid w:val="009A6121"/>
    <w:rsid w:val="009A63B5"/>
    <w:rsid w:val="009A6C9A"/>
    <w:rsid w:val="009A7BCB"/>
    <w:rsid w:val="009B05FD"/>
    <w:rsid w:val="009B0ED4"/>
    <w:rsid w:val="009B3AB7"/>
    <w:rsid w:val="009B3AC2"/>
    <w:rsid w:val="009B3E5A"/>
    <w:rsid w:val="009B4004"/>
    <w:rsid w:val="009B49DD"/>
    <w:rsid w:val="009B561E"/>
    <w:rsid w:val="009B6524"/>
    <w:rsid w:val="009B65A9"/>
    <w:rsid w:val="009B6DEA"/>
    <w:rsid w:val="009B6F2E"/>
    <w:rsid w:val="009B727A"/>
    <w:rsid w:val="009B7844"/>
    <w:rsid w:val="009B7999"/>
    <w:rsid w:val="009B7AF7"/>
    <w:rsid w:val="009B7E2D"/>
    <w:rsid w:val="009C055F"/>
    <w:rsid w:val="009C14D0"/>
    <w:rsid w:val="009C17A8"/>
    <w:rsid w:val="009C22A6"/>
    <w:rsid w:val="009C2E51"/>
    <w:rsid w:val="009C4046"/>
    <w:rsid w:val="009C419E"/>
    <w:rsid w:val="009C5818"/>
    <w:rsid w:val="009C58B0"/>
    <w:rsid w:val="009C5B08"/>
    <w:rsid w:val="009C5D99"/>
    <w:rsid w:val="009C70EA"/>
    <w:rsid w:val="009C78BA"/>
    <w:rsid w:val="009C7E37"/>
    <w:rsid w:val="009D15C4"/>
    <w:rsid w:val="009D1B23"/>
    <w:rsid w:val="009D4C4F"/>
    <w:rsid w:val="009D4E09"/>
    <w:rsid w:val="009D5B41"/>
    <w:rsid w:val="009D5DFE"/>
    <w:rsid w:val="009D62C5"/>
    <w:rsid w:val="009D6560"/>
    <w:rsid w:val="009D6BD7"/>
    <w:rsid w:val="009E00A1"/>
    <w:rsid w:val="009E07A7"/>
    <w:rsid w:val="009E0D4D"/>
    <w:rsid w:val="009E113B"/>
    <w:rsid w:val="009E20AA"/>
    <w:rsid w:val="009E303C"/>
    <w:rsid w:val="009E41F9"/>
    <w:rsid w:val="009E5C42"/>
    <w:rsid w:val="009E6AD7"/>
    <w:rsid w:val="009E6D01"/>
    <w:rsid w:val="009E6EC6"/>
    <w:rsid w:val="009E77FE"/>
    <w:rsid w:val="009E7D63"/>
    <w:rsid w:val="009F1809"/>
    <w:rsid w:val="009F247C"/>
    <w:rsid w:val="009F2593"/>
    <w:rsid w:val="009F3815"/>
    <w:rsid w:val="009F3BE2"/>
    <w:rsid w:val="009F40E4"/>
    <w:rsid w:val="009F58CF"/>
    <w:rsid w:val="009F6D87"/>
    <w:rsid w:val="009F7EC8"/>
    <w:rsid w:val="00A00016"/>
    <w:rsid w:val="00A00591"/>
    <w:rsid w:val="00A01B03"/>
    <w:rsid w:val="00A021FD"/>
    <w:rsid w:val="00A022C6"/>
    <w:rsid w:val="00A02398"/>
    <w:rsid w:val="00A027C1"/>
    <w:rsid w:val="00A02CC4"/>
    <w:rsid w:val="00A030FB"/>
    <w:rsid w:val="00A03B2A"/>
    <w:rsid w:val="00A043E2"/>
    <w:rsid w:val="00A056B2"/>
    <w:rsid w:val="00A05E08"/>
    <w:rsid w:val="00A07E89"/>
    <w:rsid w:val="00A10D64"/>
    <w:rsid w:val="00A11493"/>
    <w:rsid w:val="00A11DD2"/>
    <w:rsid w:val="00A12053"/>
    <w:rsid w:val="00A120D3"/>
    <w:rsid w:val="00A12ADB"/>
    <w:rsid w:val="00A12AF3"/>
    <w:rsid w:val="00A12E28"/>
    <w:rsid w:val="00A13C99"/>
    <w:rsid w:val="00A13CDE"/>
    <w:rsid w:val="00A1456B"/>
    <w:rsid w:val="00A15C37"/>
    <w:rsid w:val="00A15DB5"/>
    <w:rsid w:val="00A1640A"/>
    <w:rsid w:val="00A17B02"/>
    <w:rsid w:val="00A17C8A"/>
    <w:rsid w:val="00A20F43"/>
    <w:rsid w:val="00A20FF2"/>
    <w:rsid w:val="00A21935"/>
    <w:rsid w:val="00A21FEF"/>
    <w:rsid w:val="00A25DCA"/>
    <w:rsid w:val="00A261C2"/>
    <w:rsid w:val="00A2647C"/>
    <w:rsid w:val="00A27219"/>
    <w:rsid w:val="00A276B2"/>
    <w:rsid w:val="00A305E6"/>
    <w:rsid w:val="00A30602"/>
    <w:rsid w:val="00A319E6"/>
    <w:rsid w:val="00A31A44"/>
    <w:rsid w:val="00A334E0"/>
    <w:rsid w:val="00A33622"/>
    <w:rsid w:val="00A33AB0"/>
    <w:rsid w:val="00A3400E"/>
    <w:rsid w:val="00A354EE"/>
    <w:rsid w:val="00A3569A"/>
    <w:rsid w:val="00A375A4"/>
    <w:rsid w:val="00A41E82"/>
    <w:rsid w:val="00A42420"/>
    <w:rsid w:val="00A42A4D"/>
    <w:rsid w:val="00A43015"/>
    <w:rsid w:val="00A443C3"/>
    <w:rsid w:val="00A44835"/>
    <w:rsid w:val="00A44DC3"/>
    <w:rsid w:val="00A44F34"/>
    <w:rsid w:val="00A47E0B"/>
    <w:rsid w:val="00A50219"/>
    <w:rsid w:val="00A51355"/>
    <w:rsid w:val="00A51C8B"/>
    <w:rsid w:val="00A53411"/>
    <w:rsid w:val="00A572E6"/>
    <w:rsid w:val="00A577B6"/>
    <w:rsid w:val="00A608AD"/>
    <w:rsid w:val="00A62275"/>
    <w:rsid w:val="00A643E2"/>
    <w:rsid w:val="00A65747"/>
    <w:rsid w:val="00A657A8"/>
    <w:rsid w:val="00A65A32"/>
    <w:rsid w:val="00A664F6"/>
    <w:rsid w:val="00A666E3"/>
    <w:rsid w:val="00A66771"/>
    <w:rsid w:val="00A67236"/>
    <w:rsid w:val="00A672D0"/>
    <w:rsid w:val="00A67C25"/>
    <w:rsid w:val="00A7092F"/>
    <w:rsid w:val="00A70E4E"/>
    <w:rsid w:val="00A717DD"/>
    <w:rsid w:val="00A72DC0"/>
    <w:rsid w:val="00A730B1"/>
    <w:rsid w:val="00A74565"/>
    <w:rsid w:val="00A754BD"/>
    <w:rsid w:val="00A75C36"/>
    <w:rsid w:val="00A76DC3"/>
    <w:rsid w:val="00A77710"/>
    <w:rsid w:val="00A777B2"/>
    <w:rsid w:val="00A802F5"/>
    <w:rsid w:val="00A8144F"/>
    <w:rsid w:val="00A8148C"/>
    <w:rsid w:val="00A82054"/>
    <w:rsid w:val="00A824B5"/>
    <w:rsid w:val="00A8445E"/>
    <w:rsid w:val="00A865B0"/>
    <w:rsid w:val="00A86F78"/>
    <w:rsid w:val="00A87136"/>
    <w:rsid w:val="00A90632"/>
    <w:rsid w:val="00A90C5C"/>
    <w:rsid w:val="00A90F71"/>
    <w:rsid w:val="00A918C7"/>
    <w:rsid w:val="00A91C45"/>
    <w:rsid w:val="00A924F2"/>
    <w:rsid w:val="00A94DD4"/>
    <w:rsid w:val="00A954F5"/>
    <w:rsid w:val="00A958DC"/>
    <w:rsid w:val="00A95C19"/>
    <w:rsid w:val="00A95EFE"/>
    <w:rsid w:val="00A9600A"/>
    <w:rsid w:val="00A96CB0"/>
    <w:rsid w:val="00AA0448"/>
    <w:rsid w:val="00AA0A4C"/>
    <w:rsid w:val="00AA12CF"/>
    <w:rsid w:val="00AA37D2"/>
    <w:rsid w:val="00AA4541"/>
    <w:rsid w:val="00AA7BDF"/>
    <w:rsid w:val="00AB03DE"/>
    <w:rsid w:val="00AB0BE1"/>
    <w:rsid w:val="00AB1A3B"/>
    <w:rsid w:val="00AB1EA4"/>
    <w:rsid w:val="00AB233E"/>
    <w:rsid w:val="00AB353D"/>
    <w:rsid w:val="00AB3F25"/>
    <w:rsid w:val="00AB526A"/>
    <w:rsid w:val="00AB606E"/>
    <w:rsid w:val="00AC0A78"/>
    <w:rsid w:val="00AC0B3A"/>
    <w:rsid w:val="00AC1361"/>
    <w:rsid w:val="00AC1552"/>
    <w:rsid w:val="00AC1A8F"/>
    <w:rsid w:val="00AC2F9C"/>
    <w:rsid w:val="00AC33B4"/>
    <w:rsid w:val="00AC3585"/>
    <w:rsid w:val="00AC379F"/>
    <w:rsid w:val="00AC5026"/>
    <w:rsid w:val="00AC586F"/>
    <w:rsid w:val="00AC5BD9"/>
    <w:rsid w:val="00AC64B5"/>
    <w:rsid w:val="00AC6BBF"/>
    <w:rsid w:val="00AC71F2"/>
    <w:rsid w:val="00AC73E1"/>
    <w:rsid w:val="00AC7B73"/>
    <w:rsid w:val="00AD1FC5"/>
    <w:rsid w:val="00AD355E"/>
    <w:rsid w:val="00AD4F9D"/>
    <w:rsid w:val="00AD6533"/>
    <w:rsid w:val="00AD684F"/>
    <w:rsid w:val="00AD77B5"/>
    <w:rsid w:val="00AD788D"/>
    <w:rsid w:val="00AE0802"/>
    <w:rsid w:val="00AE0D2C"/>
    <w:rsid w:val="00AE2587"/>
    <w:rsid w:val="00AE4D2D"/>
    <w:rsid w:val="00AE4DD2"/>
    <w:rsid w:val="00AE509B"/>
    <w:rsid w:val="00AE65DF"/>
    <w:rsid w:val="00AE6EC0"/>
    <w:rsid w:val="00AF0B46"/>
    <w:rsid w:val="00AF1007"/>
    <w:rsid w:val="00AF188A"/>
    <w:rsid w:val="00AF2E0F"/>
    <w:rsid w:val="00AF3A73"/>
    <w:rsid w:val="00AF5E38"/>
    <w:rsid w:val="00AF66CE"/>
    <w:rsid w:val="00B00A25"/>
    <w:rsid w:val="00B01189"/>
    <w:rsid w:val="00B04144"/>
    <w:rsid w:val="00B04D65"/>
    <w:rsid w:val="00B06CEE"/>
    <w:rsid w:val="00B07AE5"/>
    <w:rsid w:val="00B07D3B"/>
    <w:rsid w:val="00B10807"/>
    <w:rsid w:val="00B10F5C"/>
    <w:rsid w:val="00B11047"/>
    <w:rsid w:val="00B1168A"/>
    <w:rsid w:val="00B11A5B"/>
    <w:rsid w:val="00B11F19"/>
    <w:rsid w:val="00B12925"/>
    <w:rsid w:val="00B13C44"/>
    <w:rsid w:val="00B14B08"/>
    <w:rsid w:val="00B15131"/>
    <w:rsid w:val="00B15220"/>
    <w:rsid w:val="00B154A7"/>
    <w:rsid w:val="00B158D8"/>
    <w:rsid w:val="00B16AAA"/>
    <w:rsid w:val="00B17096"/>
    <w:rsid w:val="00B170BA"/>
    <w:rsid w:val="00B174A4"/>
    <w:rsid w:val="00B175DA"/>
    <w:rsid w:val="00B20DD9"/>
    <w:rsid w:val="00B20E29"/>
    <w:rsid w:val="00B219F7"/>
    <w:rsid w:val="00B225E1"/>
    <w:rsid w:val="00B22DEB"/>
    <w:rsid w:val="00B23ACD"/>
    <w:rsid w:val="00B24738"/>
    <w:rsid w:val="00B25833"/>
    <w:rsid w:val="00B261DB"/>
    <w:rsid w:val="00B27247"/>
    <w:rsid w:val="00B32A7A"/>
    <w:rsid w:val="00B32D45"/>
    <w:rsid w:val="00B32DF1"/>
    <w:rsid w:val="00B33DEA"/>
    <w:rsid w:val="00B344C8"/>
    <w:rsid w:val="00B34CE2"/>
    <w:rsid w:val="00B35B42"/>
    <w:rsid w:val="00B369BE"/>
    <w:rsid w:val="00B41579"/>
    <w:rsid w:val="00B4215D"/>
    <w:rsid w:val="00B42168"/>
    <w:rsid w:val="00B42FD7"/>
    <w:rsid w:val="00B449F7"/>
    <w:rsid w:val="00B44A8A"/>
    <w:rsid w:val="00B44DB2"/>
    <w:rsid w:val="00B451BC"/>
    <w:rsid w:val="00B506CB"/>
    <w:rsid w:val="00B511CD"/>
    <w:rsid w:val="00B52A71"/>
    <w:rsid w:val="00B54FB7"/>
    <w:rsid w:val="00B55598"/>
    <w:rsid w:val="00B5764D"/>
    <w:rsid w:val="00B601C5"/>
    <w:rsid w:val="00B60245"/>
    <w:rsid w:val="00B6185F"/>
    <w:rsid w:val="00B6247A"/>
    <w:rsid w:val="00B63135"/>
    <w:rsid w:val="00B6329A"/>
    <w:rsid w:val="00B6513C"/>
    <w:rsid w:val="00B652C3"/>
    <w:rsid w:val="00B654E7"/>
    <w:rsid w:val="00B65646"/>
    <w:rsid w:val="00B666BC"/>
    <w:rsid w:val="00B666DE"/>
    <w:rsid w:val="00B66EA8"/>
    <w:rsid w:val="00B67A77"/>
    <w:rsid w:val="00B71522"/>
    <w:rsid w:val="00B73885"/>
    <w:rsid w:val="00B742C5"/>
    <w:rsid w:val="00B7563C"/>
    <w:rsid w:val="00B76129"/>
    <w:rsid w:val="00B769C8"/>
    <w:rsid w:val="00B7719B"/>
    <w:rsid w:val="00B776FA"/>
    <w:rsid w:val="00B77726"/>
    <w:rsid w:val="00B77E70"/>
    <w:rsid w:val="00B801BB"/>
    <w:rsid w:val="00B82529"/>
    <w:rsid w:val="00B825B1"/>
    <w:rsid w:val="00B838A4"/>
    <w:rsid w:val="00B84B21"/>
    <w:rsid w:val="00B85882"/>
    <w:rsid w:val="00B86C6E"/>
    <w:rsid w:val="00B87C79"/>
    <w:rsid w:val="00B90EE0"/>
    <w:rsid w:val="00B91574"/>
    <w:rsid w:val="00B919AE"/>
    <w:rsid w:val="00B93323"/>
    <w:rsid w:val="00B95575"/>
    <w:rsid w:val="00B957E6"/>
    <w:rsid w:val="00B95D94"/>
    <w:rsid w:val="00B9733B"/>
    <w:rsid w:val="00BA04E8"/>
    <w:rsid w:val="00BA1588"/>
    <w:rsid w:val="00BA1F9F"/>
    <w:rsid w:val="00BA4B2E"/>
    <w:rsid w:val="00BA4DB0"/>
    <w:rsid w:val="00BA4F45"/>
    <w:rsid w:val="00BA61EB"/>
    <w:rsid w:val="00BA6BDB"/>
    <w:rsid w:val="00BB0DE4"/>
    <w:rsid w:val="00BB1C24"/>
    <w:rsid w:val="00BB23B9"/>
    <w:rsid w:val="00BB446A"/>
    <w:rsid w:val="00BB5063"/>
    <w:rsid w:val="00BB5BC3"/>
    <w:rsid w:val="00BB65FB"/>
    <w:rsid w:val="00BB6772"/>
    <w:rsid w:val="00BB6E11"/>
    <w:rsid w:val="00BB71C9"/>
    <w:rsid w:val="00BB7307"/>
    <w:rsid w:val="00BC0118"/>
    <w:rsid w:val="00BC0718"/>
    <w:rsid w:val="00BC0F34"/>
    <w:rsid w:val="00BC1BE9"/>
    <w:rsid w:val="00BC1C19"/>
    <w:rsid w:val="00BC2FD7"/>
    <w:rsid w:val="00BC3373"/>
    <w:rsid w:val="00BC3E37"/>
    <w:rsid w:val="00BC5F1E"/>
    <w:rsid w:val="00BC6878"/>
    <w:rsid w:val="00BD0D21"/>
    <w:rsid w:val="00BD2F47"/>
    <w:rsid w:val="00BD31DB"/>
    <w:rsid w:val="00BD380E"/>
    <w:rsid w:val="00BD396E"/>
    <w:rsid w:val="00BD4010"/>
    <w:rsid w:val="00BD4405"/>
    <w:rsid w:val="00BD49BB"/>
    <w:rsid w:val="00BD4D9B"/>
    <w:rsid w:val="00BD50DF"/>
    <w:rsid w:val="00BD557C"/>
    <w:rsid w:val="00BD5968"/>
    <w:rsid w:val="00BD7522"/>
    <w:rsid w:val="00BD7EAF"/>
    <w:rsid w:val="00BE0197"/>
    <w:rsid w:val="00BE01D6"/>
    <w:rsid w:val="00BE02FE"/>
    <w:rsid w:val="00BE0E66"/>
    <w:rsid w:val="00BE28EF"/>
    <w:rsid w:val="00BE3594"/>
    <w:rsid w:val="00BE53D7"/>
    <w:rsid w:val="00BF0053"/>
    <w:rsid w:val="00BF03B0"/>
    <w:rsid w:val="00BF328E"/>
    <w:rsid w:val="00BF62D5"/>
    <w:rsid w:val="00C004F5"/>
    <w:rsid w:val="00C005D0"/>
    <w:rsid w:val="00C00CCA"/>
    <w:rsid w:val="00C0115C"/>
    <w:rsid w:val="00C019C7"/>
    <w:rsid w:val="00C02B34"/>
    <w:rsid w:val="00C032BB"/>
    <w:rsid w:val="00C033A4"/>
    <w:rsid w:val="00C0433D"/>
    <w:rsid w:val="00C045C1"/>
    <w:rsid w:val="00C051BD"/>
    <w:rsid w:val="00C07C1A"/>
    <w:rsid w:val="00C10339"/>
    <w:rsid w:val="00C118D9"/>
    <w:rsid w:val="00C12181"/>
    <w:rsid w:val="00C12311"/>
    <w:rsid w:val="00C13BA0"/>
    <w:rsid w:val="00C140BE"/>
    <w:rsid w:val="00C154E9"/>
    <w:rsid w:val="00C173E1"/>
    <w:rsid w:val="00C1778E"/>
    <w:rsid w:val="00C179FA"/>
    <w:rsid w:val="00C20585"/>
    <w:rsid w:val="00C20DE5"/>
    <w:rsid w:val="00C22697"/>
    <w:rsid w:val="00C226EE"/>
    <w:rsid w:val="00C22F9D"/>
    <w:rsid w:val="00C23499"/>
    <w:rsid w:val="00C2429D"/>
    <w:rsid w:val="00C242CA"/>
    <w:rsid w:val="00C2502D"/>
    <w:rsid w:val="00C26B5B"/>
    <w:rsid w:val="00C3100C"/>
    <w:rsid w:val="00C3377A"/>
    <w:rsid w:val="00C33AB3"/>
    <w:rsid w:val="00C3416F"/>
    <w:rsid w:val="00C345AC"/>
    <w:rsid w:val="00C34814"/>
    <w:rsid w:val="00C35296"/>
    <w:rsid w:val="00C366D5"/>
    <w:rsid w:val="00C3762A"/>
    <w:rsid w:val="00C37731"/>
    <w:rsid w:val="00C40A77"/>
    <w:rsid w:val="00C40A90"/>
    <w:rsid w:val="00C46678"/>
    <w:rsid w:val="00C50861"/>
    <w:rsid w:val="00C523BA"/>
    <w:rsid w:val="00C5377A"/>
    <w:rsid w:val="00C53B99"/>
    <w:rsid w:val="00C53CA9"/>
    <w:rsid w:val="00C546C1"/>
    <w:rsid w:val="00C54CE7"/>
    <w:rsid w:val="00C5545E"/>
    <w:rsid w:val="00C563E1"/>
    <w:rsid w:val="00C56C71"/>
    <w:rsid w:val="00C57140"/>
    <w:rsid w:val="00C61773"/>
    <w:rsid w:val="00C63F76"/>
    <w:rsid w:val="00C64128"/>
    <w:rsid w:val="00C6441A"/>
    <w:rsid w:val="00C64AC9"/>
    <w:rsid w:val="00C65702"/>
    <w:rsid w:val="00C65D54"/>
    <w:rsid w:val="00C66110"/>
    <w:rsid w:val="00C668E5"/>
    <w:rsid w:val="00C6701D"/>
    <w:rsid w:val="00C67FA9"/>
    <w:rsid w:val="00C7101B"/>
    <w:rsid w:val="00C717BD"/>
    <w:rsid w:val="00C72DA8"/>
    <w:rsid w:val="00C7308C"/>
    <w:rsid w:val="00C748A8"/>
    <w:rsid w:val="00C74E7B"/>
    <w:rsid w:val="00C81058"/>
    <w:rsid w:val="00C8136C"/>
    <w:rsid w:val="00C81A82"/>
    <w:rsid w:val="00C81AA5"/>
    <w:rsid w:val="00C81E8D"/>
    <w:rsid w:val="00C83938"/>
    <w:rsid w:val="00C85F65"/>
    <w:rsid w:val="00C85FCF"/>
    <w:rsid w:val="00C87138"/>
    <w:rsid w:val="00C918D8"/>
    <w:rsid w:val="00C92648"/>
    <w:rsid w:val="00C92D74"/>
    <w:rsid w:val="00C93445"/>
    <w:rsid w:val="00C970CE"/>
    <w:rsid w:val="00C97B5D"/>
    <w:rsid w:val="00CA04B3"/>
    <w:rsid w:val="00CA1870"/>
    <w:rsid w:val="00CA19F2"/>
    <w:rsid w:val="00CA21E1"/>
    <w:rsid w:val="00CA2CF3"/>
    <w:rsid w:val="00CA5BDE"/>
    <w:rsid w:val="00CA667E"/>
    <w:rsid w:val="00CB2CB8"/>
    <w:rsid w:val="00CB37C6"/>
    <w:rsid w:val="00CB485F"/>
    <w:rsid w:val="00CB4CE3"/>
    <w:rsid w:val="00CB669C"/>
    <w:rsid w:val="00CB6963"/>
    <w:rsid w:val="00CB7FBD"/>
    <w:rsid w:val="00CC0F36"/>
    <w:rsid w:val="00CC15D1"/>
    <w:rsid w:val="00CC1B73"/>
    <w:rsid w:val="00CC3487"/>
    <w:rsid w:val="00CC34ED"/>
    <w:rsid w:val="00CC4F5A"/>
    <w:rsid w:val="00CC6E0D"/>
    <w:rsid w:val="00CD1002"/>
    <w:rsid w:val="00CD2F53"/>
    <w:rsid w:val="00CD480B"/>
    <w:rsid w:val="00CD58C7"/>
    <w:rsid w:val="00CD673D"/>
    <w:rsid w:val="00CD78F0"/>
    <w:rsid w:val="00CE02D6"/>
    <w:rsid w:val="00CE061A"/>
    <w:rsid w:val="00CE0622"/>
    <w:rsid w:val="00CE6526"/>
    <w:rsid w:val="00CE6950"/>
    <w:rsid w:val="00CF0F46"/>
    <w:rsid w:val="00CF1728"/>
    <w:rsid w:val="00CF2B1A"/>
    <w:rsid w:val="00CF33B9"/>
    <w:rsid w:val="00CF3A95"/>
    <w:rsid w:val="00CF5BAD"/>
    <w:rsid w:val="00CF7BC7"/>
    <w:rsid w:val="00D00654"/>
    <w:rsid w:val="00D00C25"/>
    <w:rsid w:val="00D01E90"/>
    <w:rsid w:val="00D02927"/>
    <w:rsid w:val="00D02931"/>
    <w:rsid w:val="00D02961"/>
    <w:rsid w:val="00D0310C"/>
    <w:rsid w:val="00D03EE6"/>
    <w:rsid w:val="00D05ECA"/>
    <w:rsid w:val="00D07617"/>
    <w:rsid w:val="00D076FE"/>
    <w:rsid w:val="00D07BD5"/>
    <w:rsid w:val="00D1010F"/>
    <w:rsid w:val="00D103F8"/>
    <w:rsid w:val="00D10DCC"/>
    <w:rsid w:val="00D12090"/>
    <w:rsid w:val="00D12767"/>
    <w:rsid w:val="00D133C9"/>
    <w:rsid w:val="00D14CB8"/>
    <w:rsid w:val="00D160B8"/>
    <w:rsid w:val="00D161AF"/>
    <w:rsid w:val="00D16579"/>
    <w:rsid w:val="00D21627"/>
    <w:rsid w:val="00D21B87"/>
    <w:rsid w:val="00D227D2"/>
    <w:rsid w:val="00D22B3E"/>
    <w:rsid w:val="00D2406A"/>
    <w:rsid w:val="00D24515"/>
    <w:rsid w:val="00D25B98"/>
    <w:rsid w:val="00D26F75"/>
    <w:rsid w:val="00D27CF1"/>
    <w:rsid w:val="00D319D9"/>
    <w:rsid w:val="00D31E2E"/>
    <w:rsid w:val="00D321BB"/>
    <w:rsid w:val="00D3353E"/>
    <w:rsid w:val="00D3365E"/>
    <w:rsid w:val="00D3370E"/>
    <w:rsid w:val="00D3378C"/>
    <w:rsid w:val="00D34123"/>
    <w:rsid w:val="00D3468D"/>
    <w:rsid w:val="00D35D96"/>
    <w:rsid w:val="00D36806"/>
    <w:rsid w:val="00D41168"/>
    <w:rsid w:val="00D42E6B"/>
    <w:rsid w:val="00D43FCD"/>
    <w:rsid w:val="00D44F79"/>
    <w:rsid w:val="00D45054"/>
    <w:rsid w:val="00D45A90"/>
    <w:rsid w:val="00D4692F"/>
    <w:rsid w:val="00D47638"/>
    <w:rsid w:val="00D505C0"/>
    <w:rsid w:val="00D51013"/>
    <w:rsid w:val="00D53BAD"/>
    <w:rsid w:val="00D54541"/>
    <w:rsid w:val="00D54A58"/>
    <w:rsid w:val="00D5562A"/>
    <w:rsid w:val="00D55791"/>
    <w:rsid w:val="00D557CE"/>
    <w:rsid w:val="00D57E2D"/>
    <w:rsid w:val="00D57F08"/>
    <w:rsid w:val="00D61209"/>
    <w:rsid w:val="00D61EEF"/>
    <w:rsid w:val="00D62114"/>
    <w:rsid w:val="00D623D1"/>
    <w:rsid w:val="00D644A1"/>
    <w:rsid w:val="00D64685"/>
    <w:rsid w:val="00D648BB"/>
    <w:rsid w:val="00D65186"/>
    <w:rsid w:val="00D7060B"/>
    <w:rsid w:val="00D71204"/>
    <w:rsid w:val="00D725CD"/>
    <w:rsid w:val="00D738B9"/>
    <w:rsid w:val="00D73EF6"/>
    <w:rsid w:val="00D753C8"/>
    <w:rsid w:val="00D75982"/>
    <w:rsid w:val="00D75A8B"/>
    <w:rsid w:val="00D7694E"/>
    <w:rsid w:val="00D76E11"/>
    <w:rsid w:val="00D77E6F"/>
    <w:rsid w:val="00D77F21"/>
    <w:rsid w:val="00D8177E"/>
    <w:rsid w:val="00D82EB0"/>
    <w:rsid w:val="00D839BC"/>
    <w:rsid w:val="00D86287"/>
    <w:rsid w:val="00D874E2"/>
    <w:rsid w:val="00D879A5"/>
    <w:rsid w:val="00D87DD1"/>
    <w:rsid w:val="00D900BB"/>
    <w:rsid w:val="00D9014B"/>
    <w:rsid w:val="00D90DC4"/>
    <w:rsid w:val="00D91D2F"/>
    <w:rsid w:val="00D92760"/>
    <w:rsid w:val="00D9289F"/>
    <w:rsid w:val="00D928F0"/>
    <w:rsid w:val="00D92D43"/>
    <w:rsid w:val="00D93046"/>
    <w:rsid w:val="00D9380E"/>
    <w:rsid w:val="00D93985"/>
    <w:rsid w:val="00D93988"/>
    <w:rsid w:val="00D93C83"/>
    <w:rsid w:val="00D93FB2"/>
    <w:rsid w:val="00D95654"/>
    <w:rsid w:val="00D95AB7"/>
    <w:rsid w:val="00DA104B"/>
    <w:rsid w:val="00DA1157"/>
    <w:rsid w:val="00DA1407"/>
    <w:rsid w:val="00DA1BFC"/>
    <w:rsid w:val="00DA24D3"/>
    <w:rsid w:val="00DA2839"/>
    <w:rsid w:val="00DA4F09"/>
    <w:rsid w:val="00DA5297"/>
    <w:rsid w:val="00DA6315"/>
    <w:rsid w:val="00DA6758"/>
    <w:rsid w:val="00DA716F"/>
    <w:rsid w:val="00DA7A9C"/>
    <w:rsid w:val="00DB057B"/>
    <w:rsid w:val="00DB0AC2"/>
    <w:rsid w:val="00DB125A"/>
    <w:rsid w:val="00DB2C4B"/>
    <w:rsid w:val="00DB2F7D"/>
    <w:rsid w:val="00DB3A4C"/>
    <w:rsid w:val="00DB51F5"/>
    <w:rsid w:val="00DB6212"/>
    <w:rsid w:val="00DC06FB"/>
    <w:rsid w:val="00DC0735"/>
    <w:rsid w:val="00DC1E36"/>
    <w:rsid w:val="00DC2EF2"/>
    <w:rsid w:val="00DC374F"/>
    <w:rsid w:val="00DC3F94"/>
    <w:rsid w:val="00DC4F7D"/>
    <w:rsid w:val="00DC523E"/>
    <w:rsid w:val="00DC558F"/>
    <w:rsid w:val="00DC590F"/>
    <w:rsid w:val="00DC7211"/>
    <w:rsid w:val="00DC739F"/>
    <w:rsid w:val="00DC7768"/>
    <w:rsid w:val="00DD047D"/>
    <w:rsid w:val="00DD1130"/>
    <w:rsid w:val="00DD182F"/>
    <w:rsid w:val="00DD1F5B"/>
    <w:rsid w:val="00DD3F5B"/>
    <w:rsid w:val="00DD4A89"/>
    <w:rsid w:val="00DD52C3"/>
    <w:rsid w:val="00DD5BD2"/>
    <w:rsid w:val="00DD62AF"/>
    <w:rsid w:val="00DE06B4"/>
    <w:rsid w:val="00DE0C79"/>
    <w:rsid w:val="00DE0CF4"/>
    <w:rsid w:val="00DE2AAA"/>
    <w:rsid w:val="00DE3551"/>
    <w:rsid w:val="00DE374F"/>
    <w:rsid w:val="00DE3D30"/>
    <w:rsid w:val="00DE63A3"/>
    <w:rsid w:val="00DE6564"/>
    <w:rsid w:val="00DE6BEB"/>
    <w:rsid w:val="00DE6E09"/>
    <w:rsid w:val="00DE6F22"/>
    <w:rsid w:val="00DE7D13"/>
    <w:rsid w:val="00DF00DA"/>
    <w:rsid w:val="00DF09F0"/>
    <w:rsid w:val="00DF14EE"/>
    <w:rsid w:val="00DF1514"/>
    <w:rsid w:val="00DF20C2"/>
    <w:rsid w:val="00DF26DF"/>
    <w:rsid w:val="00DF2C90"/>
    <w:rsid w:val="00DF2CAB"/>
    <w:rsid w:val="00DF3205"/>
    <w:rsid w:val="00DF3369"/>
    <w:rsid w:val="00DF3944"/>
    <w:rsid w:val="00DF4469"/>
    <w:rsid w:val="00DF5A40"/>
    <w:rsid w:val="00DF5FEF"/>
    <w:rsid w:val="00DF727B"/>
    <w:rsid w:val="00DF762E"/>
    <w:rsid w:val="00E01CCB"/>
    <w:rsid w:val="00E01FC0"/>
    <w:rsid w:val="00E02312"/>
    <w:rsid w:val="00E045CD"/>
    <w:rsid w:val="00E04929"/>
    <w:rsid w:val="00E04A86"/>
    <w:rsid w:val="00E0553B"/>
    <w:rsid w:val="00E05682"/>
    <w:rsid w:val="00E0659F"/>
    <w:rsid w:val="00E06C1C"/>
    <w:rsid w:val="00E06CF7"/>
    <w:rsid w:val="00E0717E"/>
    <w:rsid w:val="00E1039F"/>
    <w:rsid w:val="00E10902"/>
    <w:rsid w:val="00E10CC5"/>
    <w:rsid w:val="00E126CA"/>
    <w:rsid w:val="00E12CE8"/>
    <w:rsid w:val="00E12D94"/>
    <w:rsid w:val="00E1406B"/>
    <w:rsid w:val="00E1418E"/>
    <w:rsid w:val="00E15270"/>
    <w:rsid w:val="00E153F3"/>
    <w:rsid w:val="00E158FC"/>
    <w:rsid w:val="00E17360"/>
    <w:rsid w:val="00E17D7C"/>
    <w:rsid w:val="00E2068C"/>
    <w:rsid w:val="00E207A0"/>
    <w:rsid w:val="00E21742"/>
    <w:rsid w:val="00E21AB2"/>
    <w:rsid w:val="00E226FE"/>
    <w:rsid w:val="00E23813"/>
    <w:rsid w:val="00E24AC8"/>
    <w:rsid w:val="00E24D2C"/>
    <w:rsid w:val="00E26539"/>
    <w:rsid w:val="00E26C2A"/>
    <w:rsid w:val="00E26ECC"/>
    <w:rsid w:val="00E27CB7"/>
    <w:rsid w:val="00E304EC"/>
    <w:rsid w:val="00E33049"/>
    <w:rsid w:val="00E3386C"/>
    <w:rsid w:val="00E33956"/>
    <w:rsid w:val="00E35109"/>
    <w:rsid w:val="00E35FE6"/>
    <w:rsid w:val="00E36EA9"/>
    <w:rsid w:val="00E406D5"/>
    <w:rsid w:val="00E42030"/>
    <w:rsid w:val="00E420F0"/>
    <w:rsid w:val="00E423C2"/>
    <w:rsid w:val="00E42A9C"/>
    <w:rsid w:val="00E43C6F"/>
    <w:rsid w:val="00E43E39"/>
    <w:rsid w:val="00E43E90"/>
    <w:rsid w:val="00E479D4"/>
    <w:rsid w:val="00E47CDD"/>
    <w:rsid w:val="00E501D5"/>
    <w:rsid w:val="00E50A80"/>
    <w:rsid w:val="00E50BF9"/>
    <w:rsid w:val="00E52363"/>
    <w:rsid w:val="00E542DD"/>
    <w:rsid w:val="00E54320"/>
    <w:rsid w:val="00E547FB"/>
    <w:rsid w:val="00E54A5D"/>
    <w:rsid w:val="00E5504E"/>
    <w:rsid w:val="00E55BCA"/>
    <w:rsid w:val="00E561B7"/>
    <w:rsid w:val="00E56A86"/>
    <w:rsid w:val="00E57B30"/>
    <w:rsid w:val="00E57CE6"/>
    <w:rsid w:val="00E61D32"/>
    <w:rsid w:val="00E61E15"/>
    <w:rsid w:val="00E63297"/>
    <w:rsid w:val="00E63C82"/>
    <w:rsid w:val="00E646C8"/>
    <w:rsid w:val="00E64EB5"/>
    <w:rsid w:val="00E661C4"/>
    <w:rsid w:val="00E70C1D"/>
    <w:rsid w:val="00E729FB"/>
    <w:rsid w:val="00E73A28"/>
    <w:rsid w:val="00E73DE3"/>
    <w:rsid w:val="00E73ED9"/>
    <w:rsid w:val="00E75583"/>
    <w:rsid w:val="00E76909"/>
    <w:rsid w:val="00E8114C"/>
    <w:rsid w:val="00E818CC"/>
    <w:rsid w:val="00E82B7A"/>
    <w:rsid w:val="00E8311F"/>
    <w:rsid w:val="00E8511F"/>
    <w:rsid w:val="00E85CC1"/>
    <w:rsid w:val="00E86DF4"/>
    <w:rsid w:val="00E87E72"/>
    <w:rsid w:val="00E87EB7"/>
    <w:rsid w:val="00E900BE"/>
    <w:rsid w:val="00E90626"/>
    <w:rsid w:val="00E91426"/>
    <w:rsid w:val="00E92AB8"/>
    <w:rsid w:val="00E92B64"/>
    <w:rsid w:val="00E93641"/>
    <w:rsid w:val="00E952D3"/>
    <w:rsid w:val="00EA1709"/>
    <w:rsid w:val="00EA1EE5"/>
    <w:rsid w:val="00EA2592"/>
    <w:rsid w:val="00EA2B65"/>
    <w:rsid w:val="00EA2ED0"/>
    <w:rsid w:val="00EA31EC"/>
    <w:rsid w:val="00EA35FE"/>
    <w:rsid w:val="00EA4E39"/>
    <w:rsid w:val="00EA52C7"/>
    <w:rsid w:val="00EA53C2"/>
    <w:rsid w:val="00EA573A"/>
    <w:rsid w:val="00EA58B8"/>
    <w:rsid w:val="00EA5B10"/>
    <w:rsid w:val="00EA5CF9"/>
    <w:rsid w:val="00EA729F"/>
    <w:rsid w:val="00EB0857"/>
    <w:rsid w:val="00EB0D33"/>
    <w:rsid w:val="00EB23F2"/>
    <w:rsid w:val="00EB3F35"/>
    <w:rsid w:val="00EB46DF"/>
    <w:rsid w:val="00EB4BB6"/>
    <w:rsid w:val="00EB643B"/>
    <w:rsid w:val="00EB767B"/>
    <w:rsid w:val="00EB7B1A"/>
    <w:rsid w:val="00EC0057"/>
    <w:rsid w:val="00EC105A"/>
    <w:rsid w:val="00EC16F7"/>
    <w:rsid w:val="00EC1C24"/>
    <w:rsid w:val="00EC1E07"/>
    <w:rsid w:val="00EC2280"/>
    <w:rsid w:val="00EC230D"/>
    <w:rsid w:val="00EC2714"/>
    <w:rsid w:val="00EC32DD"/>
    <w:rsid w:val="00EC3730"/>
    <w:rsid w:val="00EC3CB1"/>
    <w:rsid w:val="00EC3EA3"/>
    <w:rsid w:val="00EC48C7"/>
    <w:rsid w:val="00EC4F7D"/>
    <w:rsid w:val="00EC6B22"/>
    <w:rsid w:val="00EC6E30"/>
    <w:rsid w:val="00EC7949"/>
    <w:rsid w:val="00EC7B94"/>
    <w:rsid w:val="00ED09F0"/>
    <w:rsid w:val="00ED0C05"/>
    <w:rsid w:val="00ED124F"/>
    <w:rsid w:val="00ED1AE1"/>
    <w:rsid w:val="00ED44A6"/>
    <w:rsid w:val="00ED452D"/>
    <w:rsid w:val="00ED4C76"/>
    <w:rsid w:val="00ED6E82"/>
    <w:rsid w:val="00ED78CC"/>
    <w:rsid w:val="00EE02C0"/>
    <w:rsid w:val="00EE0DBA"/>
    <w:rsid w:val="00EE0F3D"/>
    <w:rsid w:val="00EE0F71"/>
    <w:rsid w:val="00EE190D"/>
    <w:rsid w:val="00EE1F2D"/>
    <w:rsid w:val="00EE2296"/>
    <w:rsid w:val="00EE331A"/>
    <w:rsid w:val="00EE40AF"/>
    <w:rsid w:val="00EE41F2"/>
    <w:rsid w:val="00EE4F13"/>
    <w:rsid w:val="00EE58F5"/>
    <w:rsid w:val="00EE5EDF"/>
    <w:rsid w:val="00EE6673"/>
    <w:rsid w:val="00EF134F"/>
    <w:rsid w:val="00EF16D5"/>
    <w:rsid w:val="00EF1E27"/>
    <w:rsid w:val="00EF2265"/>
    <w:rsid w:val="00EF36F9"/>
    <w:rsid w:val="00EF40D6"/>
    <w:rsid w:val="00EF4956"/>
    <w:rsid w:val="00EF4B8E"/>
    <w:rsid w:val="00EF52E6"/>
    <w:rsid w:val="00EF58A2"/>
    <w:rsid w:val="00EF6F96"/>
    <w:rsid w:val="00EF72F0"/>
    <w:rsid w:val="00F001ED"/>
    <w:rsid w:val="00F013B0"/>
    <w:rsid w:val="00F028AC"/>
    <w:rsid w:val="00F03447"/>
    <w:rsid w:val="00F04DC1"/>
    <w:rsid w:val="00F056DA"/>
    <w:rsid w:val="00F06952"/>
    <w:rsid w:val="00F06F0E"/>
    <w:rsid w:val="00F1289F"/>
    <w:rsid w:val="00F13736"/>
    <w:rsid w:val="00F1402E"/>
    <w:rsid w:val="00F1461C"/>
    <w:rsid w:val="00F15725"/>
    <w:rsid w:val="00F15F16"/>
    <w:rsid w:val="00F17B0A"/>
    <w:rsid w:val="00F20BC5"/>
    <w:rsid w:val="00F22B39"/>
    <w:rsid w:val="00F23891"/>
    <w:rsid w:val="00F239F5"/>
    <w:rsid w:val="00F23C21"/>
    <w:rsid w:val="00F23F29"/>
    <w:rsid w:val="00F24A5D"/>
    <w:rsid w:val="00F24DA8"/>
    <w:rsid w:val="00F2710E"/>
    <w:rsid w:val="00F27F21"/>
    <w:rsid w:val="00F3011D"/>
    <w:rsid w:val="00F30BC3"/>
    <w:rsid w:val="00F30F39"/>
    <w:rsid w:val="00F31452"/>
    <w:rsid w:val="00F328AD"/>
    <w:rsid w:val="00F33171"/>
    <w:rsid w:val="00F33AB2"/>
    <w:rsid w:val="00F340AE"/>
    <w:rsid w:val="00F346DA"/>
    <w:rsid w:val="00F34D4D"/>
    <w:rsid w:val="00F36376"/>
    <w:rsid w:val="00F4003B"/>
    <w:rsid w:val="00F41B6C"/>
    <w:rsid w:val="00F4268E"/>
    <w:rsid w:val="00F428F5"/>
    <w:rsid w:val="00F43187"/>
    <w:rsid w:val="00F44C6D"/>
    <w:rsid w:val="00F4633B"/>
    <w:rsid w:val="00F471AA"/>
    <w:rsid w:val="00F504F8"/>
    <w:rsid w:val="00F50663"/>
    <w:rsid w:val="00F52B0F"/>
    <w:rsid w:val="00F52FCD"/>
    <w:rsid w:val="00F53AA7"/>
    <w:rsid w:val="00F53B5D"/>
    <w:rsid w:val="00F53F3F"/>
    <w:rsid w:val="00F5408F"/>
    <w:rsid w:val="00F54D7C"/>
    <w:rsid w:val="00F56893"/>
    <w:rsid w:val="00F601CD"/>
    <w:rsid w:val="00F605FB"/>
    <w:rsid w:val="00F60EEF"/>
    <w:rsid w:val="00F621D8"/>
    <w:rsid w:val="00F62ED4"/>
    <w:rsid w:val="00F639EA"/>
    <w:rsid w:val="00F64353"/>
    <w:rsid w:val="00F6722A"/>
    <w:rsid w:val="00F67D50"/>
    <w:rsid w:val="00F67E1A"/>
    <w:rsid w:val="00F67E3D"/>
    <w:rsid w:val="00F7169E"/>
    <w:rsid w:val="00F7699E"/>
    <w:rsid w:val="00F77FEE"/>
    <w:rsid w:val="00F805AE"/>
    <w:rsid w:val="00F80F29"/>
    <w:rsid w:val="00F81224"/>
    <w:rsid w:val="00F82E25"/>
    <w:rsid w:val="00F82FE1"/>
    <w:rsid w:val="00F847C3"/>
    <w:rsid w:val="00F85834"/>
    <w:rsid w:val="00F86615"/>
    <w:rsid w:val="00F867C3"/>
    <w:rsid w:val="00F87090"/>
    <w:rsid w:val="00F87F15"/>
    <w:rsid w:val="00F9040F"/>
    <w:rsid w:val="00F91CC2"/>
    <w:rsid w:val="00F91E1D"/>
    <w:rsid w:val="00F92B3E"/>
    <w:rsid w:val="00F93609"/>
    <w:rsid w:val="00F93E56"/>
    <w:rsid w:val="00F95176"/>
    <w:rsid w:val="00F951CA"/>
    <w:rsid w:val="00F951F2"/>
    <w:rsid w:val="00F95A3B"/>
    <w:rsid w:val="00F95F09"/>
    <w:rsid w:val="00F966EA"/>
    <w:rsid w:val="00F96849"/>
    <w:rsid w:val="00FA0124"/>
    <w:rsid w:val="00FA0212"/>
    <w:rsid w:val="00FA0BF8"/>
    <w:rsid w:val="00FA0CD0"/>
    <w:rsid w:val="00FA1946"/>
    <w:rsid w:val="00FA1CB9"/>
    <w:rsid w:val="00FA2C59"/>
    <w:rsid w:val="00FA2D76"/>
    <w:rsid w:val="00FA3FDA"/>
    <w:rsid w:val="00FA4890"/>
    <w:rsid w:val="00FA500C"/>
    <w:rsid w:val="00FA5166"/>
    <w:rsid w:val="00FA582B"/>
    <w:rsid w:val="00FA73C0"/>
    <w:rsid w:val="00FB12B5"/>
    <w:rsid w:val="00FB154C"/>
    <w:rsid w:val="00FB2D76"/>
    <w:rsid w:val="00FB48AD"/>
    <w:rsid w:val="00FB4E8B"/>
    <w:rsid w:val="00FB4FD4"/>
    <w:rsid w:val="00FB6FC6"/>
    <w:rsid w:val="00FB7EA5"/>
    <w:rsid w:val="00FC1FC0"/>
    <w:rsid w:val="00FC3404"/>
    <w:rsid w:val="00FC3C9D"/>
    <w:rsid w:val="00FC5FEA"/>
    <w:rsid w:val="00FC63AB"/>
    <w:rsid w:val="00FC6C84"/>
    <w:rsid w:val="00FC7173"/>
    <w:rsid w:val="00FC72A7"/>
    <w:rsid w:val="00FC75A5"/>
    <w:rsid w:val="00FC7852"/>
    <w:rsid w:val="00FC79FE"/>
    <w:rsid w:val="00FD0505"/>
    <w:rsid w:val="00FD3531"/>
    <w:rsid w:val="00FD4AA6"/>
    <w:rsid w:val="00FD5C72"/>
    <w:rsid w:val="00FD6DFB"/>
    <w:rsid w:val="00FD7131"/>
    <w:rsid w:val="00FD7D10"/>
    <w:rsid w:val="00FE06B7"/>
    <w:rsid w:val="00FE12BB"/>
    <w:rsid w:val="00FE1AE6"/>
    <w:rsid w:val="00FE2104"/>
    <w:rsid w:val="00FE2BFF"/>
    <w:rsid w:val="00FE5DDB"/>
    <w:rsid w:val="00FE729B"/>
    <w:rsid w:val="00FE7AE5"/>
    <w:rsid w:val="00FF00FB"/>
    <w:rsid w:val="00FF0BC1"/>
    <w:rsid w:val="00FF0FC4"/>
    <w:rsid w:val="00FF17C5"/>
    <w:rsid w:val="00FF1D9E"/>
    <w:rsid w:val="00FF3170"/>
    <w:rsid w:val="00FF3655"/>
    <w:rsid w:val="00FF4675"/>
    <w:rsid w:val="00FF5A00"/>
    <w:rsid w:val="00FF5A21"/>
    <w:rsid w:val="00FF6666"/>
    <w:rsid w:val="00FF7C61"/>
    <w:rsid w:val="011A1729"/>
    <w:rsid w:val="01242A35"/>
    <w:rsid w:val="01BD3609"/>
    <w:rsid w:val="01E72D2D"/>
    <w:rsid w:val="02743FE4"/>
    <w:rsid w:val="027E67E5"/>
    <w:rsid w:val="034C5E45"/>
    <w:rsid w:val="03E229FD"/>
    <w:rsid w:val="043E249D"/>
    <w:rsid w:val="044C0E79"/>
    <w:rsid w:val="061E39A5"/>
    <w:rsid w:val="06660F16"/>
    <w:rsid w:val="070E2BC8"/>
    <w:rsid w:val="078C25B4"/>
    <w:rsid w:val="08190655"/>
    <w:rsid w:val="081E1C8E"/>
    <w:rsid w:val="08487B1B"/>
    <w:rsid w:val="08CC44E5"/>
    <w:rsid w:val="091C37A8"/>
    <w:rsid w:val="09644AD5"/>
    <w:rsid w:val="0A504BC2"/>
    <w:rsid w:val="0AE96150"/>
    <w:rsid w:val="0C095DF6"/>
    <w:rsid w:val="0D667667"/>
    <w:rsid w:val="0D751CF9"/>
    <w:rsid w:val="0D842EA0"/>
    <w:rsid w:val="0DB30F84"/>
    <w:rsid w:val="0DC4231E"/>
    <w:rsid w:val="0EA33E84"/>
    <w:rsid w:val="0EE80A62"/>
    <w:rsid w:val="103D4199"/>
    <w:rsid w:val="10470611"/>
    <w:rsid w:val="105740A5"/>
    <w:rsid w:val="11F9161E"/>
    <w:rsid w:val="11FF2DB3"/>
    <w:rsid w:val="135211AA"/>
    <w:rsid w:val="138226BD"/>
    <w:rsid w:val="13C33F13"/>
    <w:rsid w:val="14040C68"/>
    <w:rsid w:val="141F4CAC"/>
    <w:rsid w:val="14370728"/>
    <w:rsid w:val="14706A8D"/>
    <w:rsid w:val="14FB65C4"/>
    <w:rsid w:val="15215529"/>
    <w:rsid w:val="15294DD5"/>
    <w:rsid w:val="16656A5A"/>
    <w:rsid w:val="16E25F9E"/>
    <w:rsid w:val="17283AFC"/>
    <w:rsid w:val="17DC1A13"/>
    <w:rsid w:val="17FC7356"/>
    <w:rsid w:val="18026D7A"/>
    <w:rsid w:val="182D2573"/>
    <w:rsid w:val="18960A1D"/>
    <w:rsid w:val="19482ED5"/>
    <w:rsid w:val="199728A2"/>
    <w:rsid w:val="19A20D46"/>
    <w:rsid w:val="19BE0196"/>
    <w:rsid w:val="19F17024"/>
    <w:rsid w:val="1B47309C"/>
    <w:rsid w:val="1C082A60"/>
    <w:rsid w:val="1C675F4A"/>
    <w:rsid w:val="1C8A550F"/>
    <w:rsid w:val="1DF344C6"/>
    <w:rsid w:val="1F112131"/>
    <w:rsid w:val="20215BE4"/>
    <w:rsid w:val="20330686"/>
    <w:rsid w:val="20491BE8"/>
    <w:rsid w:val="21231845"/>
    <w:rsid w:val="214C5309"/>
    <w:rsid w:val="216E2ED3"/>
    <w:rsid w:val="21952E36"/>
    <w:rsid w:val="21A5037F"/>
    <w:rsid w:val="21D1686D"/>
    <w:rsid w:val="2269415C"/>
    <w:rsid w:val="22B11060"/>
    <w:rsid w:val="230A1512"/>
    <w:rsid w:val="23315717"/>
    <w:rsid w:val="239C275C"/>
    <w:rsid w:val="23C144BA"/>
    <w:rsid w:val="257C0283"/>
    <w:rsid w:val="25BC36F3"/>
    <w:rsid w:val="25CB4388"/>
    <w:rsid w:val="25FD1200"/>
    <w:rsid w:val="26177DA3"/>
    <w:rsid w:val="27512358"/>
    <w:rsid w:val="276D4564"/>
    <w:rsid w:val="277811CA"/>
    <w:rsid w:val="27927024"/>
    <w:rsid w:val="280F6F9B"/>
    <w:rsid w:val="28C73C02"/>
    <w:rsid w:val="29522A91"/>
    <w:rsid w:val="29AC5160"/>
    <w:rsid w:val="2A362213"/>
    <w:rsid w:val="2B1A357C"/>
    <w:rsid w:val="2B85528D"/>
    <w:rsid w:val="2C350BA9"/>
    <w:rsid w:val="2C472662"/>
    <w:rsid w:val="2C68064F"/>
    <w:rsid w:val="2C9F0174"/>
    <w:rsid w:val="2CDA4964"/>
    <w:rsid w:val="2D365DCB"/>
    <w:rsid w:val="2D453D1A"/>
    <w:rsid w:val="2D4C73B4"/>
    <w:rsid w:val="2D955233"/>
    <w:rsid w:val="2DC04622"/>
    <w:rsid w:val="2DE5766F"/>
    <w:rsid w:val="2EC9438B"/>
    <w:rsid w:val="2F6408CB"/>
    <w:rsid w:val="2F9C5220"/>
    <w:rsid w:val="2FD674A8"/>
    <w:rsid w:val="30F150E2"/>
    <w:rsid w:val="311041AC"/>
    <w:rsid w:val="31670C26"/>
    <w:rsid w:val="320B3387"/>
    <w:rsid w:val="32326016"/>
    <w:rsid w:val="326F5E35"/>
    <w:rsid w:val="327261B7"/>
    <w:rsid w:val="32BF1A6B"/>
    <w:rsid w:val="32DD2411"/>
    <w:rsid w:val="337369F9"/>
    <w:rsid w:val="33B06F69"/>
    <w:rsid w:val="346B2FD0"/>
    <w:rsid w:val="34C05900"/>
    <w:rsid w:val="36584BAC"/>
    <w:rsid w:val="367763FD"/>
    <w:rsid w:val="367E106C"/>
    <w:rsid w:val="37413503"/>
    <w:rsid w:val="381E6DD5"/>
    <w:rsid w:val="38EA6C76"/>
    <w:rsid w:val="3905306C"/>
    <w:rsid w:val="39106365"/>
    <w:rsid w:val="39333281"/>
    <w:rsid w:val="39C5744E"/>
    <w:rsid w:val="39E664C1"/>
    <w:rsid w:val="3A020A5B"/>
    <w:rsid w:val="3A0F0394"/>
    <w:rsid w:val="3AB46F81"/>
    <w:rsid w:val="3AE7626D"/>
    <w:rsid w:val="3BC359F6"/>
    <w:rsid w:val="3C6E1C4D"/>
    <w:rsid w:val="3C8279F9"/>
    <w:rsid w:val="3CF40EEE"/>
    <w:rsid w:val="3D6D0EE9"/>
    <w:rsid w:val="3E1B6681"/>
    <w:rsid w:val="3E2F684C"/>
    <w:rsid w:val="3E3F4D1B"/>
    <w:rsid w:val="3E745533"/>
    <w:rsid w:val="3E7A0608"/>
    <w:rsid w:val="3E904911"/>
    <w:rsid w:val="3F731ED4"/>
    <w:rsid w:val="3F7E0F74"/>
    <w:rsid w:val="3F9E6D30"/>
    <w:rsid w:val="3FAE71DE"/>
    <w:rsid w:val="41361869"/>
    <w:rsid w:val="41657E3C"/>
    <w:rsid w:val="41774F6A"/>
    <w:rsid w:val="417F456F"/>
    <w:rsid w:val="41C727F8"/>
    <w:rsid w:val="424168C1"/>
    <w:rsid w:val="424B1A65"/>
    <w:rsid w:val="4290523C"/>
    <w:rsid w:val="435729BE"/>
    <w:rsid w:val="452B1B1D"/>
    <w:rsid w:val="45306CDE"/>
    <w:rsid w:val="453168DA"/>
    <w:rsid w:val="454F6587"/>
    <w:rsid w:val="45572CF7"/>
    <w:rsid w:val="455D50D3"/>
    <w:rsid w:val="45695850"/>
    <w:rsid w:val="456D20B9"/>
    <w:rsid w:val="458A1ADC"/>
    <w:rsid w:val="461A0DA1"/>
    <w:rsid w:val="462A6E76"/>
    <w:rsid w:val="46763C4F"/>
    <w:rsid w:val="4771344F"/>
    <w:rsid w:val="481C1921"/>
    <w:rsid w:val="48E72EA0"/>
    <w:rsid w:val="493231EF"/>
    <w:rsid w:val="49E96A1B"/>
    <w:rsid w:val="4A2834BE"/>
    <w:rsid w:val="4AA25EEC"/>
    <w:rsid w:val="4AB05CF6"/>
    <w:rsid w:val="4B6740DC"/>
    <w:rsid w:val="4B9E3435"/>
    <w:rsid w:val="4CA16475"/>
    <w:rsid w:val="4D683A2E"/>
    <w:rsid w:val="4D700F3F"/>
    <w:rsid w:val="4E0A41ED"/>
    <w:rsid w:val="4E273E3A"/>
    <w:rsid w:val="4E2E662A"/>
    <w:rsid w:val="4EA44D95"/>
    <w:rsid w:val="4EA74B54"/>
    <w:rsid w:val="4ED01FF3"/>
    <w:rsid w:val="4F2E66B3"/>
    <w:rsid w:val="4FFD1C69"/>
    <w:rsid w:val="508500C6"/>
    <w:rsid w:val="50896117"/>
    <w:rsid w:val="513F21BF"/>
    <w:rsid w:val="51C34DAD"/>
    <w:rsid w:val="51E9644A"/>
    <w:rsid w:val="520800C3"/>
    <w:rsid w:val="52EA5A2A"/>
    <w:rsid w:val="53971BB8"/>
    <w:rsid w:val="5426187E"/>
    <w:rsid w:val="54332AE5"/>
    <w:rsid w:val="5451168F"/>
    <w:rsid w:val="54FE5B35"/>
    <w:rsid w:val="551C7940"/>
    <w:rsid w:val="552D707C"/>
    <w:rsid w:val="560B1DCE"/>
    <w:rsid w:val="561330E6"/>
    <w:rsid w:val="5622563A"/>
    <w:rsid w:val="57675224"/>
    <w:rsid w:val="579B2109"/>
    <w:rsid w:val="57A45502"/>
    <w:rsid w:val="57A73F74"/>
    <w:rsid w:val="57D0194C"/>
    <w:rsid w:val="581F5548"/>
    <w:rsid w:val="58B11425"/>
    <w:rsid w:val="59752610"/>
    <w:rsid w:val="59EE413C"/>
    <w:rsid w:val="59F22EAE"/>
    <w:rsid w:val="59F6447C"/>
    <w:rsid w:val="5A0C7AB6"/>
    <w:rsid w:val="5A42258C"/>
    <w:rsid w:val="5A9D2F43"/>
    <w:rsid w:val="5AC27B30"/>
    <w:rsid w:val="5B1A6459"/>
    <w:rsid w:val="5B21794D"/>
    <w:rsid w:val="5B582EA9"/>
    <w:rsid w:val="5C837E9F"/>
    <w:rsid w:val="5CA06E29"/>
    <w:rsid w:val="5CF80C47"/>
    <w:rsid w:val="5CFC34FD"/>
    <w:rsid w:val="5D897625"/>
    <w:rsid w:val="5DC14DCF"/>
    <w:rsid w:val="5EC9328C"/>
    <w:rsid w:val="5F7D0400"/>
    <w:rsid w:val="5FE93B00"/>
    <w:rsid w:val="60DF287F"/>
    <w:rsid w:val="614D18E7"/>
    <w:rsid w:val="62EE0416"/>
    <w:rsid w:val="63B0646B"/>
    <w:rsid w:val="64501173"/>
    <w:rsid w:val="65583AA8"/>
    <w:rsid w:val="6559568F"/>
    <w:rsid w:val="6574551A"/>
    <w:rsid w:val="65B42C8F"/>
    <w:rsid w:val="65BC5087"/>
    <w:rsid w:val="66027EC0"/>
    <w:rsid w:val="664156D7"/>
    <w:rsid w:val="666208F0"/>
    <w:rsid w:val="67135FD0"/>
    <w:rsid w:val="677768B4"/>
    <w:rsid w:val="67BA708E"/>
    <w:rsid w:val="67CE0E9C"/>
    <w:rsid w:val="6831029F"/>
    <w:rsid w:val="687A4C17"/>
    <w:rsid w:val="68DF0DEF"/>
    <w:rsid w:val="68F02F30"/>
    <w:rsid w:val="69284DA5"/>
    <w:rsid w:val="692D237A"/>
    <w:rsid w:val="696B33E3"/>
    <w:rsid w:val="697436F3"/>
    <w:rsid w:val="699C04D4"/>
    <w:rsid w:val="6AF571CE"/>
    <w:rsid w:val="6B285347"/>
    <w:rsid w:val="6C6238FD"/>
    <w:rsid w:val="6DDB5D9C"/>
    <w:rsid w:val="6E1C72B2"/>
    <w:rsid w:val="6EAF5745"/>
    <w:rsid w:val="6F294A57"/>
    <w:rsid w:val="6F4507D8"/>
    <w:rsid w:val="6F5B69FE"/>
    <w:rsid w:val="6F626743"/>
    <w:rsid w:val="6FED6319"/>
    <w:rsid w:val="70026DF5"/>
    <w:rsid w:val="70AA3FBC"/>
    <w:rsid w:val="70F21276"/>
    <w:rsid w:val="71B2466E"/>
    <w:rsid w:val="71C63BF2"/>
    <w:rsid w:val="720B2A01"/>
    <w:rsid w:val="72FB6A3F"/>
    <w:rsid w:val="730E68EE"/>
    <w:rsid w:val="73D812DE"/>
    <w:rsid w:val="74710DA9"/>
    <w:rsid w:val="751C335A"/>
    <w:rsid w:val="76084F0F"/>
    <w:rsid w:val="7616145B"/>
    <w:rsid w:val="763856AB"/>
    <w:rsid w:val="76767DCC"/>
    <w:rsid w:val="76976227"/>
    <w:rsid w:val="770F46D3"/>
    <w:rsid w:val="779259E4"/>
    <w:rsid w:val="783579C2"/>
    <w:rsid w:val="78617335"/>
    <w:rsid w:val="78DB1A6E"/>
    <w:rsid w:val="78F27195"/>
    <w:rsid w:val="79BA0A9A"/>
    <w:rsid w:val="7A5C73EE"/>
    <w:rsid w:val="7A9E3079"/>
    <w:rsid w:val="7ACB3FE0"/>
    <w:rsid w:val="7B29173C"/>
    <w:rsid w:val="7B883320"/>
    <w:rsid w:val="7BDF63D7"/>
    <w:rsid w:val="7BE73621"/>
    <w:rsid w:val="7BF64A69"/>
    <w:rsid w:val="7C2E004B"/>
    <w:rsid w:val="7C557403"/>
    <w:rsid w:val="7C8C2EF5"/>
    <w:rsid w:val="7D52375D"/>
    <w:rsid w:val="7D525458"/>
    <w:rsid w:val="7DD73195"/>
    <w:rsid w:val="7E226BA4"/>
    <w:rsid w:val="7F8D13E0"/>
    <w:rsid w:val="7FB451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iPriority="0" w:name="Note Heading"/>
    <w:lsdException w:qFormat="1"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4">
    <w:name w:val="heading 1"/>
    <w:basedOn w:val="1"/>
    <w:next w:val="1"/>
    <w:link w:val="81"/>
    <w:qFormat/>
    <w:uiPriority w:val="0"/>
    <w:pPr>
      <w:keepNext/>
      <w:keepLines/>
      <w:spacing w:before="340" w:after="330" w:line="1400" w:lineRule="exact"/>
      <w:jc w:val="center"/>
      <w:outlineLvl w:val="0"/>
    </w:pPr>
    <w:rPr>
      <w:rFonts w:ascii="宋体" w:hAnsi="宋体"/>
      <w:b/>
      <w:kern w:val="44"/>
      <w:sz w:val="22"/>
    </w:rPr>
  </w:style>
  <w:style w:type="paragraph" w:styleId="5">
    <w:name w:val="heading 2"/>
    <w:basedOn w:val="1"/>
    <w:next w:val="1"/>
    <w:link w:val="53"/>
    <w:qFormat/>
    <w:uiPriority w:val="0"/>
    <w:pPr>
      <w:keepNext/>
      <w:keepLines/>
      <w:spacing w:before="260" w:after="260" w:line="1200" w:lineRule="exact"/>
      <w:jc w:val="center"/>
      <w:outlineLvl w:val="1"/>
    </w:pPr>
    <w:rPr>
      <w:rFonts w:ascii="Arial" w:hAnsi="Arial"/>
      <w:b/>
      <w:kern w:val="2"/>
      <w:sz w:val="44"/>
    </w:rPr>
  </w:style>
  <w:style w:type="paragraph" w:styleId="6">
    <w:name w:val="heading 3"/>
    <w:basedOn w:val="1"/>
    <w:next w:val="1"/>
    <w:link w:val="75"/>
    <w:qFormat/>
    <w:uiPriority w:val="0"/>
    <w:pPr>
      <w:keepNext/>
      <w:keepLines/>
      <w:spacing w:before="260" w:after="260" w:line="600" w:lineRule="exact"/>
      <w:jc w:val="center"/>
      <w:outlineLvl w:val="2"/>
    </w:pPr>
    <w:rPr>
      <w:rFonts w:eastAsia="仿宋_GB2312"/>
      <w:b/>
      <w:kern w:val="2"/>
      <w:sz w:val="32"/>
    </w:rPr>
  </w:style>
  <w:style w:type="paragraph" w:styleId="7">
    <w:name w:val="heading 4"/>
    <w:basedOn w:val="1"/>
    <w:next w:val="1"/>
    <w:link w:val="100"/>
    <w:qFormat/>
    <w:uiPriority w:val="0"/>
    <w:pPr>
      <w:keepNext/>
      <w:keepLines/>
      <w:spacing w:before="280" w:after="290" w:line="376" w:lineRule="auto"/>
      <w:outlineLvl w:val="3"/>
    </w:pPr>
    <w:rPr>
      <w:rFonts w:ascii="Arial" w:hAnsi="Arial" w:eastAsia="黑体"/>
      <w:b/>
      <w:bCs/>
      <w:kern w:val="2"/>
      <w:sz w:val="28"/>
      <w:szCs w:val="28"/>
    </w:rPr>
  </w:style>
  <w:style w:type="paragraph" w:styleId="8">
    <w:name w:val="heading 5"/>
    <w:basedOn w:val="1"/>
    <w:next w:val="1"/>
    <w:link w:val="85"/>
    <w:qFormat/>
    <w:uiPriority w:val="0"/>
    <w:pPr>
      <w:keepNext/>
      <w:keepLines/>
      <w:spacing w:before="280" w:after="290" w:line="376" w:lineRule="auto"/>
      <w:outlineLvl w:val="4"/>
    </w:pPr>
    <w:rPr>
      <w:b/>
      <w:bCs/>
      <w:kern w:val="2"/>
      <w:sz w:val="28"/>
      <w:szCs w:val="28"/>
    </w:rPr>
  </w:style>
  <w:style w:type="paragraph" w:styleId="9">
    <w:name w:val="heading 6"/>
    <w:basedOn w:val="1"/>
    <w:next w:val="1"/>
    <w:link w:val="56"/>
    <w:qFormat/>
    <w:uiPriority w:val="0"/>
    <w:pPr>
      <w:keepNext/>
      <w:keepLines/>
      <w:spacing w:before="240" w:after="64" w:line="320" w:lineRule="auto"/>
      <w:ind w:left="1152" w:hanging="1152"/>
      <w:outlineLvl w:val="5"/>
    </w:pPr>
    <w:rPr>
      <w:rFonts w:ascii="Cambria" w:hAnsi="Cambria"/>
      <w:b/>
      <w:bCs/>
      <w:kern w:val="2"/>
      <w:sz w:val="24"/>
      <w:szCs w:val="24"/>
    </w:rPr>
  </w:style>
  <w:style w:type="paragraph" w:styleId="10">
    <w:name w:val="heading 7"/>
    <w:basedOn w:val="1"/>
    <w:next w:val="1"/>
    <w:link w:val="69"/>
    <w:qFormat/>
    <w:uiPriority w:val="0"/>
    <w:pPr>
      <w:keepNext/>
      <w:keepLines/>
      <w:spacing w:before="240" w:after="64" w:line="320" w:lineRule="auto"/>
      <w:ind w:left="1296" w:hanging="1296"/>
      <w:outlineLvl w:val="6"/>
    </w:pPr>
    <w:rPr>
      <w:rFonts w:ascii="Calibri" w:hAnsi="Calibri"/>
      <w:b/>
      <w:bCs/>
      <w:kern w:val="2"/>
      <w:sz w:val="24"/>
      <w:szCs w:val="24"/>
    </w:rPr>
  </w:style>
  <w:style w:type="paragraph" w:styleId="11">
    <w:name w:val="heading 8"/>
    <w:basedOn w:val="1"/>
    <w:next w:val="1"/>
    <w:link w:val="117"/>
    <w:qFormat/>
    <w:uiPriority w:val="0"/>
    <w:pPr>
      <w:keepNext/>
      <w:keepLines/>
      <w:spacing w:before="240" w:after="64" w:line="320" w:lineRule="auto"/>
      <w:ind w:left="1440" w:hanging="1440"/>
      <w:outlineLvl w:val="7"/>
    </w:pPr>
    <w:rPr>
      <w:rFonts w:ascii="Cambria" w:hAnsi="Cambria"/>
      <w:kern w:val="2"/>
      <w:sz w:val="24"/>
      <w:szCs w:val="24"/>
    </w:rPr>
  </w:style>
  <w:style w:type="paragraph" w:styleId="12">
    <w:name w:val="heading 9"/>
    <w:basedOn w:val="1"/>
    <w:next w:val="1"/>
    <w:link w:val="102"/>
    <w:qFormat/>
    <w:uiPriority w:val="0"/>
    <w:pPr>
      <w:keepNext/>
      <w:keepLines/>
      <w:spacing w:before="240" w:after="64" w:line="320" w:lineRule="auto"/>
      <w:ind w:left="1584" w:hanging="1584"/>
      <w:outlineLvl w:val="8"/>
    </w:pPr>
    <w:rPr>
      <w:rFonts w:ascii="Cambria" w:hAnsi="Cambria"/>
      <w:kern w:val="2"/>
      <w:sz w:val="21"/>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link w:val="88"/>
    <w:qFormat/>
    <w:uiPriority w:val="0"/>
    <w:pPr>
      <w:spacing w:after="120"/>
      <w:ind w:left="420" w:leftChars="200"/>
    </w:pPr>
    <w:rPr>
      <w:kern w:val="2"/>
      <w:sz w:val="21"/>
    </w:rPr>
  </w:style>
  <w:style w:type="paragraph" w:styleId="13">
    <w:name w:val="toc 7"/>
    <w:basedOn w:val="1"/>
    <w:next w:val="1"/>
    <w:qFormat/>
    <w:uiPriority w:val="0"/>
    <w:pPr>
      <w:ind w:left="1200"/>
      <w:jc w:val="left"/>
    </w:pPr>
    <w:rPr>
      <w:rFonts w:ascii="Calibri" w:hAnsi="Calibri"/>
      <w:sz w:val="18"/>
      <w:szCs w:val="18"/>
    </w:rPr>
  </w:style>
  <w:style w:type="paragraph" w:styleId="14">
    <w:name w:val="Normal Indent"/>
    <w:basedOn w:val="1"/>
    <w:link w:val="67"/>
    <w:qFormat/>
    <w:uiPriority w:val="0"/>
    <w:pPr>
      <w:ind w:firstLine="420" w:firstLineChars="200"/>
    </w:pPr>
    <w:rPr>
      <w:kern w:val="2"/>
      <w:sz w:val="21"/>
      <w:szCs w:val="24"/>
    </w:rPr>
  </w:style>
  <w:style w:type="paragraph" w:styleId="15">
    <w:name w:val="caption"/>
    <w:basedOn w:val="1"/>
    <w:next w:val="1"/>
    <w:qFormat/>
    <w:uiPriority w:val="0"/>
    <w:rPr>
      <w:rFonts w:ascii="Arial" w:hAnsi="Arial" w:eastAsia="黑体"/>
    </w:rPr>
  </w:style>
  <w:style w:type="paragraph" w:styleId="16">
    <w:name w:val="Document Map"/>
    <w:basedOn w:val="1"/>
    <w:link w:val="99"/>
    <w:unhideWhenUsed/>
    <w:qFormat/>
    <w:uiPriority w:val="0"/>
    <w:pPr>
      <w:spacing w:line="360" w:lineRule="auto"/>
    </w:pPr>
    <w:rPr>
      <w:rFonts w:ascii="宋体" w:hAnsi="Calibri"/>
      <w:kern w:val="2"/>
      <w:sz w:val="18"/>
      <w:szCs w:val="18"/>
    </w:rPr>
  </w:style>
  <w:style w:type="paragraph" w:styleId="17">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rPr>
  </w:style>
  <w:style w:type="paragraph" w:styleId="18">
    <w:name w:val="annotation text"/>
    <w:basedOn w:val="1"/>
    <w:link w:val="80"/>
    <w:qFormat/>
    <w:uiPriority w:val="0"/>
    <w:pPr>
      <w:jc w:val="left"/>
    </w:pPr>
    <w:rPr>
      <w:kern w:val="2"/>
      <w:sz w:val="21"/>
    </w:rPr>
  </w:style>
  <w:style w:type="paragraph" w:styleId="19">
    <w:name w:val="Closing"/>
    <w:basedOn w:val="1"/>
    <w:link w:val="74"/>
    <w:unhideWhenUsed/>
    <w:qFormat/>
    <w:uiPriority w:val="0"/>
    <w:pPr>
      <w:ind w:left="100" w:leftChars="2100"/>
    </w:pPr>
    <w:rPr>
      <w:rFonts w:ascii="宋体" w:hAnsi="宋体"/>
      <w:color w:val="000000"/>
      <w:sz w:val="24"/>
    </w:rPr>
  </w:style>
  <w:style w:type="paragraph" w:styleId="20">
    <w:name w:val="Body Text"/>
    <w:basedOn w:val="1"/>
    <w:link w:val="93"/>
    <w:qFormat/>
    <w:uiPriority w:val="0"/>
    <w:pPr>
      <w:spacing w:after="120"/>
    </w:pPr>
    <w:rPr>
      <w:kern w:val="2"/>
      <w:sz w:val="21"/>
    </w:rPr>
  </w:style>
  <w:style w:type="paragraph" w:styleId="21">
    <w:name w:val="toc 5"/>
    <w:basedOn w:val="1"/>
    <w:next w:val="1"/>
    <w:link w:val="101"/>
    <w:unhideWhenUsed/>
    <w:qFormat/>
    <w:uiPriority w:val="0"/>
    <w:pPr>
      <w:ind w:left="800"/>
      <w:jc w:val="left"/>
    </w:pPr>
    <w:rPr>
      <w:rFonts w:ascii="Calibri" w:hAnsi="Calibri"/>
      <w:sz w:val="18"/>
      <w:szCs w:val="18"/>
    </w:rPr>
  </w:style>
  <w:style w:type="paragraph" w:styleId="22">
    <w:name w:val="toc 3"/>
    <w:basedOn w:val="1"/>
    <w:next w:val="1"/>
    <w:qFormat/>
    <w:uiPriority w:val="39"/>
    <w:pPr>
      <w:spacing w:line="400" w:lineRule="exact"/>
      <w:ind w:left="403"/>
      <w:jc w:val="left"/>
    </w:pPr>
    <w:rPr>
      <w:rFonts w:ascii="Calibri" w:hAnsi="Calibri"/>
      <w:iCs/>
      <w:sz w:val="22"/>
    </w:rPr>
  </w:style>
  <w:style w:type="paragraph" w:styleId="23">
    <w:name w:val="Plain Text"/>
    <w:basedOn w:val="1"/>
    <w:link w:val="64"/>
    <w:qFormat/>
    <w:uiPriority w:val="0"/>
    <w:rPr>
      <w:rFonts w:ascii="宋体" w:hAnsi="Courier New"/>
      <w:kern w:val="2"/>
      <w:sz w:val="21"/>
    </w:rPr>
  </w:style>
  <w:style w:type="paragraph" w:styleId="24">
    <w:name w:val="toc 8"/>
    <w:basedOn w:val="1"/>
    <w:next w:val="1"/>
    <w:qFormat/>
    <w:uiPriority w:val="0"/>
    <w:pPr>
      <w:ind w:left="1400"/>
      <w:jc w:val="left"/>
    </w:pPr>
    <w:rPr>
      <w:rFonts w:ascii="Calibri" w:hAnsi="Calibri"/>
      <w:sz w:val="18"/>
      <w:szCs w:val="18"/>
    </w:rPr>
  </w:style>
  <w:style w:type="paragraph" w:styleId="25">
    <w:name w:val="Date"/>
    <w:basedOn w:val="1"/>
    <w:next w:val="1"/>
    <w:link w:val="112"/>
    <w:qFormat/>
    <w:uiPriority w:val="0"/>
    <w:pPr>
      <w:spacing w:line="600" w:lineRule="exact"/>
      <w:jc w:val="right"/>
    </w:pPr>
    <w:rPr>
      <w:rFonts w:eastAsia="仿宋_GB2312"/>
      <w:kern w:val="2"/>
      <w:sz w:val="31"/>
    </w:rPr>
  </w:style>
  <w:style w:type="paragraph" w:styleId="26">
    <w:name w:val="Body Text Indent 2"/>
    <w:basedOn w:val="1"/>
    <w:link w:val="79"/>
    <w:qFormat/>
    <w:uiPriority w:val="0"/>
    <w:pPr>
      <w:ind w:firstLine="539" w:firstLineChars="174"/>
    </w:pPr>
    <w:rPr>
      <w:rFonts w:ascii="仿宋_GB2312" w:eastAsia="仿宋_GB2312"/>
      <w:kern w:val="2"/>
      <w:sz w:val="31"/>
    </w:rPr>
  </w:style>
  <w:style w:type="paragraph" w:styleId="27">
    <w:name w:val="Balloon Text"/>
    <w:basedOn w:val="1"/>
    <w:link w:val="76"/>
    <w:qFormat/>
    <w:uiPriority w:val="0"/>
    <w:rPr>
      <w:kern w:val="2"/>
      <w:sz w:val="18"/>
    </w:rPr>
  </w:style>
  <w:style w:type="paragraph" w:styleId="28">
    <w:name w:val="footer"/>
    <w:basedOn w:val="1"/>
    <w:link w:val="65"/>
    <w:qFormat/>
    <w:uiPriority w:val="99"/>
    <w:pPr>
      <w:tabs>
        <w:tab w:val="center" w:pos="4153"/>
        <w:tab w:val="right" w:pos="8306"/>
      </w:tabs>
      <w:snapToGrid w:val="0"/>
      <w:jc w:val="left"/>
    </w:pPr>
    <w:rPr>
      <w:kern w:val="2"/>
      <w:sz w:val="18"/>
    </w:rPr>
  </w:style>
  <w:style w:type="paragraph" w:styleId="29">
    <w:name w:val="header"/>
    <w:basedOn w:val="1"/>
    <w:link w:val="77"/>
    <w:qFormat/>
    <w:uiPriority w:val="0"/>
    <w:pPr>
      <w:pBdr>
        <w:bottom w:val="single" w:color="auto" w:sz="6" w:space="1"/>
      </w:pBdr>
      <w:tabs>
        <w:tab w:val="center" w:pos="4153"/>
        <w:tab w:val="right" w:pos="8306"/>
      </w:tabs>
      <w:snapToGrid w:val="0"/>
      <w:jc w:val="center"/>
    </w:pPr>
    <w:rPr>
      <w:kern w:val="2"/>
      <w:sz w:val="18"/>
    </w:rPr>
  </w:style>
  <w:style w:type="paragraph" w:styleId="30">
    <w:name w:val="toc 1"/>
    <w:basedOn w:val="1"/>
    <w:next w:val="1"/>
    <w:qFormat/>
    <w:uiPriority w:val="39"/>
    <w:pPr>
      <w:spacing w:before="120" w:after="120" w:line="400" w:lineRule="atLeast"/>
      <w:jc w:val="left"/>
    </w:pPr>
    <w:rPr>
      <w:rFonts w:ascii="Calibri" w:hAnsi="Calibri"/>
      <w:b/>
      <w:bCs/>
      <w:caps/>
      <w:sz w:val="22"/>
    </w:rPr>
  </w:style>
  <w:style w:type="paragraph" w:styleId="31">
    <w:name w:val="toc 4"/>
    <w:basedOn w:val="1"/>
    <w:next w:val="1"/>
    <w:unhideWhenUsed/>
    <w:qFormat/>
    <w:uiPriority w:val="0"/>
    <w:pPr>
      <w:ind w:left="600"/>
      <w:jc w:val="left"/>
    </w:pPr>
    <w:rPr>
      <w:rFonts w:ascii="Calibri" w:hAnsi="Calibri"/>
      <w:sz w:val="18"/>
      <w:szCs w:val="18"/>
    </w:rPr>
  </w:style>
  <w:style w:type="paragraph" w:styleId="32">
    <w:name w:val="index heading"/>
    <w:basedOn w:val="1"/>
    <w:next w:val="33"/>
    <w:qFormat/>
    <w:uiPriority w:val="0"/>
  </w:style>
  <w:style w:type="paragraph" w:styleId="33">
    <w:name w:val="index 1"/>
    <w:basedOn w:val="1"/>
    <w:next w:val="1"/>
    <w:unhideWhenUsed/>
    <w:qFormat/>
    <w:uiPriority w:val="0"/>
    <w:pPr>
      <w:adjustRightInd w:val="0"/>
      <w:spacing w:line="400" w:lineRule="exact"/>
      <w:jc w:val="center"/>
    </w:pPr>
    <w:rPr>
      <w:rFonts w:ascii="Arial" w:hAnsi="Arial"/>
      <w:sz w:val="22"/>
      <w:szCs w:val="21"/>
    </w:rPr>
  </w:style>
  <w:style w:type="paragraph" w:styleId="34">
    <w:name w:val="List"/>
    <w:basedOn w:val="1"/>
    <w:qFormat/>
    <w:uiPriority w:val="0"/>
    <w:pPr>
      <w:numPr>
        <w:ilvl w:val="0"/>
        <w:numId w:val="1"/>
      </w:numPr>
      <w:adjustRightInd w:val="0"/>
      <w:snapToGrid w:val="0"/>
      <w:spacing w:line="300" w:lineRule="auto"/>
    </w:pPr>
    <w:rPr>
      <w:szCs w:val="24"/>
    </w:rPr>
  </w:style>
  <w:style w:type="paragraph" w:styleId="35">
    <w:name w:val="toc 6"/>
    <w:basedOn w:val="1"/>
    <w:next w:val="1"/>
    <w:qFormat/>
    <w:uiPriority w:val="0"/>
    <w:pPr>
      <w:ind w:left="1000"/>
      <w:jc w:val="left"/>
    </w:pPr>
    <w:rPr>
      <w:rFonts w:ascii="Calibri" w:hAnsi="Calibri"/>
      <w:sz w:val="18"/>
      <w:szCs w:val="18"/>
    </w:rPr>
  </w:style>
  <w:style w:type="paragraph" w:styleId="36">
    <w:name w:val="Body Text Indent 3"/>
    <w:basedOn w:val="1"/>
    <w:link w:val="95"/>
    <w:qFormat/>
    <w:uiPriority w:val="0"/>
    <w:pPr>
      <w:spacing w:after="120"/>
      <w:ind w:left="420" w:leftChars="200"/>
    </w:pPr>
    <w:rPr>
      <w:kern w:val="2"/>
      <w:sz w:val="16"/>
      <w:szCs w:val="16"/>
    </w:rPr>
  </w:style>
  <w:style w:type="paragraph" w:styleId="37">
    <w:name w:val="table of figures"/>
    <w:basedOn w:val="1"/>
    <w:next w:val="1"/>
    <w:qFormat/>
    <w:uiPriority w:val="0"/>
    <w:pPr>
      <w:ind w:left="400" w:hanging="400"/>
      <w:jc w:val="left"/>
    </w:pPr>
    <w:rPr>
      <w:rFonts w:ascii="Calibri" w:hAnsi="Calibri"/>
      <w:caps/>
    </w:rPr>
  </w:style>
  <w:style w:type="paragraph" w:styleId="38">
    <w:name w:val="toc 2"/>
    <w:basedOn w:val="1"/>
    <w:next w:val="1"/>
    <w:qFormat/>
    <w:uiPriority w:val="39"/>
    <w:pPr>
      <w:spacing w:line="400" w:lineRule="exact"/>
      <w:ind w:left="198"/>
      <w:jc w:val="left"/>
    </w:pPr>
    <w:rPr>
      <w:rFonts w:ascii="Calibri" w:hAnsi="Calibri"/>
      <w:b/>
      <w:smallCaps/>
      <w:sz w:val="22"/>
    </w:rPr>
  </w:style>
  <w:style w:type="paragraph" w:styleId="39">
    <w:name w:val="toc 9"/>
    <w:basedOn w:val="1"/>
    <w:next w:val="1"/>
    <w:unhideWhenUsed/>
    <w:qFormat/>
    <w:uiPriority w:val="0"/>
    <w:pPr>
      <w:ind w:left="1600"/>
      <w:jc w:val="left"/>
    </w:pPr>
    <w:rPr>
      <w:rFonts w:ascii="Calibri" w:hAnsi="Calibri"/>
      <w:sz w:val="18"/>
      <w:szCs w:val="18"/>
    </w:rPr>
  </w:style>
  <w:style w:type="paragraph" w:styleId="40">
    <w:name w:val="Body Text 2"/>
    <w:basedOn w:val="1"/>
    <w:link w:val="63"/>
    <w:unhideWhenUsed/>
    <w:qFormat/>
    <w:uiPriority w:val="0"/>
    <w:pPr>
      <w:jc w:val="center"/>
      <w:outlineLvl w:val="0"/>
    </w:pPr>
    <w:rPr>
      <w:rFonts w:ascii="楷体_GB2312" w:hAnsi="宋体" w:eastAsia="楷体_GB2312"/>
      <w:kern w:val="2"/>
      <w:sz w:val="52"/>
      <w:szCs w:val="24"/>
    </w:rPr>
  </w:style>
  <w:style w:type="paragraph" w:styleId="41">
    <w:name w:val="Normal (Web)"/>
    <w:basedOn w:val="1"/>
    <w:link w:val="103"/>
    <w:qFormat/>
    <w:uiPriority w:val="0"/>
    <w:pPr>
      <w:jc w:val="left"/>
    </w:pPr>
    <w:rPr>
      <w:sz w:val="24"/>
      <w:szCs w:val="24"/>
    </w:rPr>
  </w:style>
  <w:style w:type="paragraph" w:styleId="42">
    <w:name w:val="annotation subject"/>
    <w:basedOn w:val="18"/>
    <w:next w:val="18"/>
    <w:qFormat/>
    <w:uiPriority w:val="0"/>
    <w:rPr>
      <w:b/>
    </w:rPr>
  </w:style>
  <w:style w:type="paragraph" w:styleId="43">
    <w:name w:val="Body Text First Indent"/>
    <w:basedOn w:val="20"/>
    <w:link w:val="110"/>
    <w:unhideWhenUsed/>
    <w:qFormat/>
    <w:uiPriority w:val="0"/>
    <w:pPr>
      <w:spacing w:line="360" w:lineRule="auto"/>
      <w:ind w:firstLine="420" w:firstLineChars="100"/>
    </w:pPr>
    <w:rPr>
      <w:rFonts w:ascii="Calibri" w:hAnsi="Calibri"/>
      <w:szCs w:val="22"/>
    </w:rPr>
  </w:style>
  <w:style w:type="table" w:styleId="45">
    <w:name w:val="Table Grid"/>
    <w:basedOn w:val="44"/>
    <w:qFormat/>
    <w:uiPriority w:val="39"/>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rPr>
  </w:style>
  <w:style w:type="character" w:styleId="48">
    <w:name w:val="page number"/>
    <w:basedOn w:val="46"/>
    <w:qFormat/>
    <w:uiPriority w:val="0"/>
  </w:style>
  <w:style w:type="character" w:styleId="49">
    <w:name w:val="FollowedHyperlink"/>
    <w:qFormat/>
    <w:uiPriority w:val="99"/>
    <w:rPr>
      <w:rFonts w:hint="eastAsia" w:ascii="宋体" w:hAnsi="宋体" w:eastAsia="宋体" w:cs="宋体"/>
      <w:color w:val="0031C1"/>
      <w:sz w:val="18"/>
      <w:szCs w:val="18"/>
      <w:u w:val="none"/>
    </w:rPr>
  </w:style>
  <w:style w:type="character" w:styleId="50">
    <w:name w:val="Emphasis"/>
    <w:qFormat/>
    <w:uiPriority w:val="0"/>
    <w:rPr>
      <w:color w:val="CC0033"/>
    </w:rPr>
  </w:style>
  <w:style w:type="character" w:styleId="51">
    <w:name w:val="Hyperlink"/>
    <w:qFormat/>
    <w:uiPriority w:val="99"/>
    <w:rPr>
      <w:rFonts w:hint="eastAsia" w:ascii="宋体" w:hAnsi="宋体" w:eastAsia="宋体" w:cs="宋体"/>
      <w:color w:val="0031C1"/>
      <w:sz w:val="18"/>
      <w:szCs w:val="18"/>
      <w:u w:val="none"/>
    </w:rPr>
  </w:style>
  <w:style w:type="character" w:styleId="52">
    <w:name w:val="annotation reference"/>
    <w:qFormat/>
    <w:uiPriority w:val="0"/>
    <w:rPr>
      <w:sz w:val="21"/>
    </w:rPr>
  </w:style>
  <w:style w:type="character" w:customStyle="1" w:styleId="53">
    <w:name w:val="标题 2 字符"/>
    <w:link w:val="5"/>
    <w:qFormat/>
    <w:uiPriority w:val="0"/>
    <w:rPr>
      <w:rFonts w:ascii="Arial" w:hAnsi="Arial" w:eastAsia="宋体"/>
      <w:b/>
      <w:kern w:val="2"/>
      <w:sz w:val="44"/>
      <w:lang w:val="en-US" w:eastAsia="zh-CN" w:bidi="ar-SA"/>
    </w:rPr>
  </w:style>
  <w:style w:type="character" w:customStyle="1" w:styleId="54">
    <w:name w:val="正文缩进2格 Char"/>
    <w:link w:val="55"/>
    <w:qFormat/>
    <w:uiPriority w:val="0"/>
    <w:rPr>
      <w:rFonts w:ascii="仿宋_GB2312" w:hAnsi="宋体" w:eastAsia="仿宋_GB2312"/>
      <w:kern w:val="2"/>
      <w:sz w:val="31"/>
      <w:lang w:val="en-US" w:eastAsia="zh-CN" w:bidi="ar-SA"/>
    </w:rPr>
  </w:style>
  <w:style w:type="paragraph" w:customStyle="1" w:styleId="55">
    <w:name w:val="正文缩进2格"/>
    <w:basedOn w:val="1"/>
    <w:link w:val="54"/>
    <w:qFormat/>
    <w:uiPriority w:val="0"/>
    <w:pPr>
      <w:spacing w:line="600" w:lineRule="exact"/>
      <w:ind w:firstLine="639" w:firstLineChars="206"/>
    </w:pPr>
    <w:rPr>
      <w:rFonts w:ascii="仿宋_GB2312" w:hAnsi="宋体" w:eastAsia="仿宋_GB2312"/>
      <w:kern w:val="2"/>
      <w:sz w:val="31"/>
    </w:rPr>
  </w:style>
  <w:style w:type="character" w:customStyle="1" w:styleId="56">
    <w:name w:val="标题 6 字符"/>
    <w:link w:val="9"/>
    <w:qFormat/>
    <w:uiPriority w:val="0"/>
    <w:rPr>
      <w:rFonts w:ascii="Cambria" w:hAnsi="Cambria" w:eastAsia="宋体"/>
      <w:b/>
      <w:bCs/>
      <w:kern w:val="2"/>
      <w:sz w:val="24"/>
      <w:szCs w:val="24"/>
      <w:lang w:val="en-US" w:eastAsia="zh-CN" w:bidi="ar-SA"/>
    </w:rPr>
  </w:style>
  <w:style w:type="character" w:customStyle="1" w:styleId="57">
    <w:name w:val="FA正文 Char Char"/>
    <w:link w:val="58"/>
    <w:qFormat/>
    <w:uiPriority w:val="0"/>
    <w:rPr>
      <w:rFonts w:hAnsi="宋体"/>
      <w:kern w:val="2"/>
      <w:sz w:val="24"/>
      <w:lang w:bidi="ar-SA"/>
    </w:rPr>
  </w:style>
  <w:style w:type="paragraph" w:customStyle="1" w:styleId="58">
    <w:name w:val="FA正文"/>
    <w:basedOn w:val="1"/>
    <w:link w:val="57"/>
    <w:qFormat/>
    <w:uiPriority w:val="0"/>
    <w:pPr>
      <w:spacing w:line="360" w:lineRule="auto"/>
      <w:ind w:firstLine="480" w:firstLineChars="200"/>
      <w:jc w:val="left"/>
    </w:pPr>
    <w:rPr>
      <w:rFonts w:hAnsi="宋体"/>
      <w:kern w:val="2"/>
      <w:sz w:val="24"/>
    </w:rPr>
  </w:style>
  <w:style w:type="character" w:customStyle="1" w:styleId="59">
    <w:name w:val="表格 Char Char"/>
    <w:link w:val="60"/>
    <w:qFormat/>
    <w:locked/>
    <w:uiPriority w:val="0"/>
    <w:rPr>
      <w:rFonts w:ascii="宋体" w:hAnsi="宋体"/>
      <w:lang w:bidi="ar-SA"/>
    </w:rPr>
  </w:style>
  <w:style w:type="paragraph" w:customStyle="1" w:styleId="60">
    <w:name w:val="表格"/>
    <w:basedOn w:val="1"/>
    <w:link w:val="59"/>
    <w:qFormat/>
    <w:uiPriority w:val="0"/>
    <w:pPr>
      <w:snapToGrid w:val="0"/>
      <w:ind w:firstLine="42" w:firstLineChars="21"/>
    </w:pPr>
    <w:rPr>
      <w:rFonts w:ascii="宋体" w:hAnsi="宋体"/>
    </w:rPr>
  </w:style>
  <w:style w:type="character" w:customStyle="1" w:styleId="61">
    <w:name w:val="图号 Char Char Char"/>
    <w:link w:val="62"/>
    <w:qFormat/>
    <w:locked/>
    <w:uiPriority w:val="0"/>
    <w:rPr>
      <w:rFonts w:ascii="Arial" w:hAnsi="Arial" w:cs="Arial"/>
      <w:sz w:val="18"/>
      <w:szCs w:val="18"/>
    </w:rPr>
  </w:style>
  <w:style w:type="paragraph" w:customStyle="1" w:styleId="62">
    <w:name w:val="图号 Char Char"/>
    <w:basedOn w:val="1"/>
    <w:link w:val="61"/>
    <w:qFormat/>
    <w:uiPriority w:val="0"/>
    <w:pPr>
      <w:autoSpaceDE w:val="0"/>
      <w:autoSpaceDN w:val="0"/>
      <w:adjustRightInd w:val="0"/>
      <w:spacing w:before="105" w:line="360" w:lineRule="auto"/>
      <w:jc w:val="center"/>
    </w:pPr>
    <w:rPr>
      <w:rFonts w:ascii="Arial" w:hAnsi="Arial"/>
      <w:sz w:val="18"/>
      <w:szCs w:val="18"/>
    </w:rPr>
  </w:style>
  <w:style w:type="character" w:customStyle="1" w:styleId="63">
    <w:name w:val="正文文本 2 字符"/>
    <w:link w:val="40"/>
    <w:qFormat/>
    <w:uiPriority w:val="0"/>
    <w:rPr>
      <w:rFonts w:ascii="楷体_GB2312" w:hAnsi="宋体" w:eastAsia="楷体_GB2312"/>
      <w:kern w:val="2"/>
      <w:sz w:val="52"/>
      <w:szCs w:val="24"/>
    </w:rPr>
  </w:style>
  <w:style w:type="character" w:customStyle="1" w:styleId="64">
    <w:name w:val="纯文本 字符"/>
    <w:link w:val="23"/>
    <w:qFormat/>
    <w:uiPriority w:val="0"/>
    <w:rPr>
      <w:rFonts w:ascii="宋体" w:hAnsi="Courier New" w:eastAsia="宋体"/>
      <w:kern w:val="2"/>
      <w:sz w:val="21"/>
      <w:lang w:val="en-US" w:eastAsia="zh-CN" w:bidi="ar-SA"/>
    </w:rPr>
  </w:style>
  <w:style w:type="character" w:customStyle="1" w:styleId="65">
    <w:name w:val="页脚 字符"/>
    <w:link w:val="28"/>
    <w:qFormat/>
    <w:uiPriority w:val="99"/>
    <w:rPr>
      <w:rFonts w:eastAsia="宋体"/>
      <w:kern w:val="2"/>
      <w:sz w:val="18"/>
      <w:lang w:val="en-US" w:eastAsia="zh-CN" w:bidi="ar-SA"/>
    </w:rPr>
  </w:style>
  <w:style w:type="character" w:customStyle="1" w:styleId="66">
    <w:name w:val="正文缩进2格 Char Char"/>
    <w:qFormat/>
    <w:locked/>
    <w:uiPriority w:val="0"/>
    <w:rPr>
      <w:rFonts w:ascii="仿宋_GB2312" w:hAnsi="宋体" w:eastAsia="仿宋_GB2312"/>
      <w:kern w:val="2"/>
      <w:sz w:val="31"/>
      <w:szCs w:val="28"/>
    </w:rPr>
  </w:style>
  <w:style w:type="character" w:customStyle="1" w:styleId="67">
    <w:name w:val="正文缩进 字符"/>
    <w:link w:val="14"/>
    <w:qFormat/>
    <w:uiPriority w:val="0"/>
    <w:rPr>
      <w:rFonts w:eastAsia="宋体"/>
      <w:kern w:val="2"/>
      <w:sz w:val="21"/>
      <w:szCs w:val="24"/>
      <w:lang w:val="en-US" w:eastAsia="zh-CN" w:bidi="ar-SA"/>
    </w:rPr>
  </w:style>
  <w:style w:type="character" w:customStyle="1" w:styleId="68">
    <w:name w:val="content"/>
    <w:basedOn w:val="46"/>
    <w:qFormat/>
    <w:uiPriority w:val="0"/>
  </w:style>
  <w:style w:type="character" w:customStyle="1" w:styleId="69">
    <w:name w:val="标题 7 字符"/>
    <w:link w:val="10"/>
    <w:qFormat/>
    <w:uiPriority w:val="0"/>
    <w:rPr>
      <w:rFonts w:ascii="Calibri" w:hAnsi="Calibri" w:eastAsia="宋体"/>
      <w:b/>
      <w:bCs/>
      <w:kern w:val="2"/>
      <w:sz w:val="24"/>
      <w:szCs w:val="24"/>
      <w:lang w:val="en-US" w:eastAsia="zh-CN" w:bidi="ar-SA"/>
    </w:rPr>
  </w:style>
  <w:style w:type="character" w:customStyle="1" w:styleId="70">
    <w:name w:val="页眉 Char"/>
    <w:qFormat/>
    <w:uiPriority w:val="0"/>
    <w:rPr>
      <w:sz w:val="18"/>
      <w:szCs w:val="18"/>
    </w:rPr>
  </w:style>
  <w:style w:type="character" w:customStyle="1" w:styleId="71">
    <w:name w:val="active"/>
    <w:qFormat/>
    <w:uiPriority w:val="0"/>
    <w:rPr>
      <w:color w:val="FFFFFF"/>
    </w:rPr>
  </w:style>
  <w:style w:type="character" w:customStyle="1" w:styleId="72">
    <w:name w:val="apple-style-span"/>
    <w:basedOn w:val="46"/>
    <w:qFormat/>
    <w:uiPriority w:val="0"/>
  </w:style>
  <w:style w:type="character" w:customStyle="1" w:styleId="73">
    <w:name w:val="正文缩进 Char1"/>
    <w:semiHidden/>
    <w:qFormat/>
    <w:locked/>
    <w:uiPriority w:val="0"/>
  </w:style>
  <w:style w:type="character" w:customStyle="1" w:styleId="74">
    <w:name w:val="结束语 字符"/>
    <w:link w:val="19"/>
    <w:qFormat/>
    <w:uiPriority w:val="0"/>
    <w:rPr>
      <w:rFonts w:ascii="宋体" w:hAnsi="宋体"/>
      <w:color w:val="000000"/>
      <w:sz w:val="24"/>
    </w:rPr>
  </w:style>
  <w:style w:type="character" w:customStyle="1" w:styleId="75">
    <w:name w:val="标题 3 字符"/>
    <w:link w:val="6"/>
    <w:qFormat/>
    <w:uiPriority w:val="0"/>
    <w:rPr>
      <w:rFonts w:eastAsia="仿宋_GB2312"/>
      <w:b/>
      <w:kern w:val="2"/>
      <w:sz w:val="32"/>
      <w:lang w:val="en-US" w:eastAsia="zh-CN" w:bidi="ar-SA"/>
    </w:rPr>
  </w:style>
  <w:style w:type="character" w:customStyle="1" w:styleId="76">
    <w:name w:val="批注框文本 字符"/>
    <w:link w:val="27"/>
    <w:semiHidden/>
    <w:qFormat/>
    <w:uiPriority w:val="0"/>
    <w:rPr>
      <w:rFonts w:eastAsia="宋体"/>
      <w:kern w:val="2"/>
      <w:sz w:val="18"/>
      <w:lang w:val="en-US" w:eastAsia="zh-CN" w:bidi="ar-SA"/>
    </w:rPr>
  </w:style>
  <w:style w:type="character" w:customStyle="1" w:styleId="77">
    <w:name w:val="页眉 字符"/>
    <w:link w:val="29"/>
    <w:semiHidden/>
    <w:qFormat/>
    <w:uiPriority w:val="0"/>
    <w:rPr>
      <w:rFonts w:eastAsia="宋体"/>
      <w:kern w:val="2"/>
      <w:sz w:val="18"/>
      <w:lang w:val="en-US" w:eastAsia="zh-CN" w:bidi="ar-SA"/>
    </w:rPr>
  </w:style>
  <w:style w:type="character" w:customStyle="1" w:styleId="78">
    <w:name w:val="fielderror"/>
    <w:qFormat/>
    <w:uiPriority w:val="0"/>
    <w:rPr>
      <w:color w:val="800000"/>
    </w:rPr>
  </w:style>
  <w:style w:type="character" w:customStyle="1" w:styleId="79">
    <w:name w:val="正文文本缩进 2 字符"/>
    <w:link w:val="26"/>
    <w:qFormat/>
    <w:uiPriority w:val="0"/>
    <w:rPr>
      <w:rFonts w:ascii="仿宋_GB2312" w:eastAsia="仿宋_GB2312"/>
      <w:kern w:val="2"/>
      <w:sz w:val="31"/>
      <w:lang w:val="en-US" w:eastAsia="zh-CN" w:bidi="ar-SA"/>
    </w:rPr>
  </w:style>
  <w:style w:type="character" w:customStyle="1" w:styleId="80">
    <w:name w:val="批注文字 字符"/>
    <w:link w:val="18"/>
    <w:qFormat/>
    <w:uiPriority w:val="0"/>
    <w:rPr>
      <w:kern w:val="2"/>
      <w:sz w:val="21"/>
    </w:rPr>
  </w:style>
  <w:style w:type="character" w:customStyle="1" w:styleId="81">
    <w:name w:val="标题 1 字符"/>
    <w:link w:val="4"/>
    <w:qFormat/>
    <w:uiPriority w:val="0"/>
    <w:rPr>
      <w:rFonts w:ascii="宋体" w:hAnsi="宋体" w:eastAsia="宋体"/>
      <w:b/>
      <w:kern w:val="44"/>
      <w:sz w:val="22"/>
      <w:lang w:val="en-US" w:eastAsia="zh-CN" w:bidi="ar-SA"/>
    </w:rPr>
  </w:style>
  <w:style w:type="character" w:customStyle="1" w:styleId="82">
    <w:name w:val="hilite6"/>
    <w:qFormat/>
    <w:uiPriority w:val="0"/>
    <w:rPr>
      <w:color w:val="000000"/>
    </w:rPr>
  </w:style>
  <w:style w:type="character" w:customStyle="1" w:styleId="83">
    <w:name w:val="active4"/>
    <w:qFormat/>
    <w:uiPriority w:val="0"/>
    <w:rPr>
      <w:color w:val="FFFFFF"/>
    </w:rPr>
  </w:style>
  <w:style w:type="character" w:customStyle="1" w:styleId="84">
    <w:name w:val="active6"/>
    <w:qFormat/>
    <w:uiPriority w:val="0"/>
    <w:rPr>
      <w:color w:val="FFFFFF"/>
    </w:rPr>
  </w:style>
  <w:style w:type="character" w:customStyle="1" w:styleId="85">
    <w:name w:val="标题 5 字符"/>
    <w:link w:val="8"/>
    <w:qFormat/>
    <w:uiPriority w:val="0"/>
    <w:rPr>
      <w:rFonts w:eastAsia="宋体"/>
      <w:b/>
      <w:bCs/>
      <w:kern w:val="2"/>
      <w:sz w:val="28"/>
      <w:szCs w:val="28"/>
      <w:lang w:val="en-US" w:eastAsia="zh-CN" w:bidi="ar-SA"/>
    </w:rPr>
  </w:style>
  <w:style w:type="character" w:customStyle="1" w:styleId="86">
    <w:name w:val="纯文本 Char1"/>
    <w:qFormat/>
    <w:uiPriority w:val="0"/>
    <w:rPr>
      <w:rFonts w:ascii="宋体" w:hAnsi="Courier New" w:eastAsia="宋体"/>
      <w:szCs w:val="24"/>
    </w:rPr>
  </w:style>
  <w:style w:type="character" w:customStyle="1" w:styleId="87">
    <w:name w:val="required"/>
    <w:qFormat/>
    <w:uiPriority w:val="0"/>
    <w:rPr>
      <w:color w:val="FF0000"/>
    </w:rPr>
  </w:style>
  <w:style w:type="character" w:customStyle="1" w:styleId="88">
    <w:name w:val="正文文本缩进 字符"/>
    <w:link w:val="3"/>
    <w:semiHidden/>
    <w:qFormat/>
    <w:uiPriority w:val="0"/>
    <w:rPr>
      <w:rFonts w:eastAsia="宋体"/>
      <w:kern w:val="2"/>
      <w:sz w:val="21"/>
      <w:lang w:val="en-US" w:eastAsia="zh-CN" w:bidi="ar-SA"/>
    </w:rPr>
  </w:style>
  <w:style w:type="character" w:customStyle="1" w:styleId="89">
    <w:name w:val="zhengwen"/>
    <w:qFormat/>
    <w:uiPriority w:val="0"/>
  </w:style>
  <w:style w:type="character" w:customStyle="1" w:styleId="90">
    <w:name w:val="样式 标题 3h3Level 3 Topic HeadingHeading 3 - oldH3l33rd level...3 Char"/>
    <w:qFormat/>
    <w:uiPriority w:val="0"/>
    <w:rPr>
      <w:rFonts w:hint="eastAsia" w:ascii="黑体" w:eastAsia="黑体"/>
      <w:b/>
      <w:kern w:val="2"/>
      <w:sz w:val="32"/>
      <w:lang w:val="en-US" w:eastAsia="zh-CN"/>
    </w:rPr>
  </w:style>
  <w:style w:type="character" w:customStyle="1" w:styleId="91">
    <w:name w:val="列出段落 Char"/>
    <w:link w:val="92"/>
    <w:qFormat/>
    <w:uiPriority w:val="0"/>
    <w:rPr>
      <w:rFonts w:ascii="Calibri" w:hAnsi="Calibri" w:eastAsia="宋体"/>
      <w:kern w:val="2"/>
      <w:sz w:val="21"/>
      <w:szCs w:val="22"/>
      <w:lang w:val="en-US" w:eastAsia="zh-CN" w:bidi="ar-SA"/>
    </w:rPr>
  </w:style>
  <w:style w:type="paragraph" w:customStyle="1" w:styleId="92">
    <w:name w:val="列出段落1"/>
    <w:basedOn w:val="1"/>
    <w:link w:val="91"/>
    <w:qFormat/>
    <w:uiPriority w:val="0"/>
    <w:pPr>
      <w:spacing w:line="360" w:lineRule="auto"/>
      <w:ind w:firstLine="420" w:firstLineChars="200"/>
    </w:pPr>
    <w:rPr>
      <w:rFonts w:ascii="Calibri" w:hAnsi="Calibri"/>
      <w:kern w:val="2"/>
      <w:sz w:val="21"/>
      <w:szCs w:val="22"/>
    </w:rPr>
  </w:style>
  <w:style w:type="character" w:customStyle="1" w:styleId="93">
    <w:name w:val="正文文本 字符"/>
    <w:link w:val="20"/>
    <w:qFormat/>
    <w:uiPriority w:val="0"/>
    <w:rPr>
      <w:rFonts w:eastAsia="宋体"/>
      <w:kern w:val="2"/>
      <w:sz w:val="21"/>
      <w:lang w:val="en-US" w:eastAsia="zh-CN" w:bidi="ar-SA"/>
    </w:rPr>
  </w:style>
  <w:style w:type="character" w:customStyle="1" w:styleId="94">
    <w:name w:val="tw4winTerm"/>
    <w:qFormat/>
    <w:uiPriority w:val="0"/>
    <w:rPr>
      <w:color w:val="0000FF"/>
    </w:rPr>
  </w:style>
  <w:style w:type="character" w:customStyle="1" w:styleId="95">
    <w:name w:val="正文文本缩进 3 字符"/>
    <w:link w:val="36"/>
    <w:qFormat/>
    <w:uiPriority w:val="0"/>
    <w:rPr>
      <w:kern w:val="2"/>
      <w:sz w:val="16"/>
      <w:szCs w:val="16"/>
    </w:rPr>
  </w:style>
  <w:style w:type="character" w:customStyle="1" w:styleId="96">
    <w:name w:val="hilite4"/>
    <w:qFormat/>
    <w:uiPriority w:val="0"/>
    <w:rPr>
      <w:color w:val="000000"/>
    </w:rPr>
  </w:style>
  <w:style w:type="character" w:customStyle="1" w:styleId="97">
    <w:name w:val="tab2"/>
    <w:qFormat/>
    <w:uiPriority w:val="0"/>
    <w:rPr>
      <w:color w:val="333366"/>
    </w:rPr>
  </w:style>
  <w:style w:type="character" w:customStyle="1" w:styleId="98">
    <w:name w:val="hilite"/>
    <w:qFormat/>
    <w:uiPriority w:val="0"/>
    <w:rPr>
      <w:color w:val="000000"/>
    </w:rPr>
  </w:style>
  <w:style w:type="character" w:customStyle="1" w:styleId="99">
    <w:name w:val="文档结构图 字符"/>
    <w:link w:val="16"/>
    <w:semiHidden/>
    <w:qFormat/>
    <w:uiPriority w:val="0"/>
    <w:rPr>
      <w:rFonts w:ascii="宋体" w:hAnsi="Calibri" w:eastAsia="宋体"/>
      <w:kern w:val="2"/>
      <w:sz w:val="18"/>
      <w:szCs w:val="18"/>
      <w:lang w:val="en-US" w:eastAsia="zh-CN" w:bidi="ar-SA"/>
    </w:rPr>
  </w:style>
  <w:style w:type="character" w:customStyle="1" w:styleId="100">
    <w:name w:val="标题 4 字符"/>
    <w:link w:val="7"/>
    <w:qFormat/>
    <w:uiPriority w:val="0"/>
    <w:rPr>
      <w:rFonts w:ascii="Arial" w:hAnsi="Arial" w:eastAsia="黑体"/>
      <w:b/>
      <w:bCs/>
      <w:kern w:val="2"/>
      <w:sz w:val="28"/>
      <w:szCs w:val="28"/>
      <w:lang w:val="en-US" w:eastAsia="zh-CN" w:bidi="ar-SA"/>
    </w:rPr>
  </w:style>
  <w:style w:type="character" w:customStyle="1" w:styleId="101">
    <w:name w:val="目录 5 字符"/>
    <w:link w:val="21"/>
    <w:qFormat/>
    <w:uiPriority w:val="0"/>
    <w:rPr>
      <w:rFonts w:ascii="Calibri" w:hAnsi="Calibri"/>
      <w:sz w:val="18"/>
      <w:szCs w:val="18"/>
    </w:rPr>
  </w:style>
  <w:style w:type="character" w:customStyle="1" w:styleId="102">
    <w:name w:val="标题 9 字符"/>
    <w:link w:val="12"/>
    <w:qFormat/>
    <w:uiPriority w:val="0"/>
    <w:rPr>
      <w:rFonts w:ascii="Cambria" w:hAnsi="Cambria" w:eastAsia="宋体"/>
      <w:kern w:val="2"/>
      <w:sz w:val="21"/>
      <w:szCs w:val="21"/>
      <w:lang w:val="en-US" w:eastAsia="zh-CN" w:bidi="ar-SA"/>
    </w:rPr>
  </w:style>
  <w:style w:type="character" w:customStyle="1" w:styleId="103">
    <w:name w:val="普通(网站) 字符"/>
    <w:link w:val="41"/>
    <w:qFormat/>
    <w:uiPriority w:val="0"/>
    <w:rPr>
      <w:sz w:val="24"/>
      <w:szCs w:val="24"/>
    </w:rPr>
  </w:style>
  <w:style w:type="character" w:customStyle="1" w:styleId="104">
    <w:name w:val="结束语 Char1"/>
    <w:qFormat/>
    <w:uiPriority w:val="0"/>
    <w:rPr>
      <w:kern w:val="2"/>
      <w:sz w:val="21"/>
    </w:rPr>
  </w:style>
  <w:style w:type="character" w:customStyle="1" w:styleId="105">
    <w:name w:val="List Paragraph Char"/>
    <w:link w:val="106"/>
    <w:qFormat/>
    <w:locked/>
    <w:uiPriority w:val="0"/>
    <w:rPr>
      <w:rFonts w:ascii="Calibri" w:hAnsi="Calibri" w:eastAsia="宋体"/>
      <w:kern w:val="2"/>
      <w:sz w:val="21"/>
      <w:szCs w:val="22"/>
      <w:lang w:val="en-US" w:eastAsia="zh-CN" w:bidi="ar-SA"/>
    </w:rPr>
  </w:style>
  <w:style w:type="paragraph" w:customStyle="1" w:styleId="106">
    <w:name w:val="List Paragraph1"/>
    <w:basedOn w:val="1"/>
    <w:link w:val="105"/>
    <w:qFormat/>
    <w:uiPriority w:val="0"/>
    <w:pPr>
      <w:ind w:firstLine="420" w:firstLineChars="200"/>
    </w:pPr>
    <w:rPr>
      <w:rFonts w:ascii="Calibri" w:hAnsi="Calibri"/>
      <w:kern w:val="2"/>
      <w:sz w:val="21"/>
      <w:szCs w:val="22"/>
    </w:rPr>
  </w:style>
  <w:style w:type="character" w:customStyle="1" w:styleId="107">
    <w:name w:val="tab1"/>
    <w:basedOn w:val="46"/>
    <w:qFormat/>
    <w:uiPriority w:val="0"/>
  </w:style>
  <w:style w:type="character" w:customStyle="1" w:styleId="108">
    <w:name w:val="正文内容 Char"/>
    <w:link w:val="109"/>
    <w:qFormat/>
    <w:uiPriority w:val="0"/>
    <w:rPr>
      <w:rFonts w:eastAsia="宋体"/>
      <w:sz w:val="24"/>
      <w:lang w:bidi="ar-SA"/>
    </w:rPr>
  </w:style>
  <w:style w:type="paragraph" w:customStyle="1" w:styleId="109">
    <w:name w:val="正文内容"/>
    <w:basedOn w:val="3"/>
    <w:link w:val="108"/>
    <w:qFormat/>
    <w:uiPriority w:val="0"/>
    <w:pPr>
      <w:spacing w:beforeLines="50" w:afterLines="50" w:line="360" w:lineRule="auto"/>
      <w:ind w:left="0" w:leftChars="0" w:firstLine="480" w:firstLineChars="200"/>
    </w:pPr>
    <w:rPr>
      <w:kern w:val="0"/>
      <w:sz w:val="24"/>
    </w:rPr>
  </w:style>
  <w:style w:type="character" w:customStyle="1" w:styleId="110">
    <w:name w:val="正文首行缩进 字符"/>
    <w:link w:val="43"/>
    <w:qFormat/>
    <w:uiPriority w:val="0"/>
    <w:rPr>
      <w:rFonts w:ascii="Calibri" w:hAnsi="Calibri"/>
      <w:kern w:val="2"/>
      <w:sz w:val="21"/>
      <w:szCs w:val="22"/>
    </w:rPr>
  </w:style>
  <w:style w:type="character" w:customStyle="1" w:styleId="111">
    <w:name w:val="正文文本 Char1"/>
    <w:qFormat/>
    <w:uiPriority w:val="0"/>
    <w:rPr>
      <w:kern w:val="2"/>
      <w:sz w:val="21"/>
    </w:rPr>
  </w:style>
  <w:style w:type="character" w:customStyle="1" w:styleId="112">
    <w:name w:val="日期 字符"/>
    <w:link w:val="25"/>
    <w:qFormat/>
    <w:uiPriority w:val="0"/>
    <w:rPr>
      <w:rFonts w:eastAsia="仿宋_GB2312"/>
      <w:kern w:val="2"/>
      <w:sz w:val="31"/>
    </w:rPr>
  </w:style>
  <w:style w:type="character" w:customStyle="1" w:styleId="113">
    <w:name w:val="标题 3.1 Char"/>
    <w:link w:val="114"/>
    <w:qFormat/>
    <w:uiPriority w:val="0"/>
    <w:rPr>
      <w:rFonts w:ascii="宋体" w:hAnsi="宋体" w:eastAsia="宋体"/>
      <w:b/>
      <w:color w:val="FF0000"/>
      <w:kern w:val="2"/>
      <w:sz w:val="32"/>
      <w:lang w:val="en-US" w:eastAsia="zh-CN" w:bidi="ar-SA"/>
    </w:rPr>
  </w:style>
  <w:style w:type="paragraph" w:customStyle="1" w:styleId="114">
    <w:name w:val="标题 3.1"/>
    <w:basedOn w:val="6"/>
    <w:link w:val="113"/>
    <w:qFormat/>
    <w:uiPriority w:val="0"/>
    <w:pPr>
      <w:tabs>
        <w:tab w:val="left" w:pos="1440"/>
        <w:tab w:val="left" w:pos="1620"/>
      </w:tabs>
      <w:jc w:val="both"/>
    </w:pPr>
    <w:rPr>
      <w:rFonts w:ascii="宋体" w:hAnsi="宋体" w:eastAsia="宋体"/>
      <w:color w:val="FF0000"/>
    </w:rPr>
  </w:style>
  <w:style w:type="character" w:customStyle="1" w:styleId="115">
    <w:name w:val="标题1"/>
    <w:basedOn w:val="46"/>
    <w:qFormat/>
    <w:uiPriority w:val="0"/>
  </w:style>
  <w:style w:type="character" w:customStyle="1" w:styleId="116">
    <w:name w:val="Char Char1"/>
    <w:qFormat/>
    <w:uiPriority w:val="0"/>
    <w:rPr>
      <w:kern w:val="2"/>
      <w:sz w:val="21"/>
      <w:szCs w:val="22"/>
    </w:rPr>
  </w:style>
  <w:style w:type="character" w:customStyle="1" w:styleId="117">
    <w:name w:val="标题 8 字符"/>
    <w:link w:val="11"/>
    <w:qFormat/>
    <w:uiPriority w:val="0"/>
    <w:rPr>
      <w:rFonts w:ascii="Cambria" w:hAnsi="Cambria" w:eastAsia="宋体"/>
      <w:kern w:val="2"/>
      <w:sz w:val="24"/>
      <w:szCs w:val="24"/>
      <w:lang w:val="en-US" w:eastAsia="zh-CN" w:bidi="ar-SA"/>
    </w:rPr>
  </w:style>
  <w:style w:type="paragraph" w:customStyle="1" w:styleId="118">
    <w:name w:val="p0"/>
    <w:basedOn w:val="1"/>
    <w:qFormat/>
    <w:uiPriority w:val="0"/>
    <w:rPr>
      <w:sz w:val="21"/>
      <w:szCs w:val="21"/>
    </w:rPr>
  </w:style>
  <w:style w:type="paragraph" w:customStyle="1" w:styleId="119">
    <w:name w:val="正文8"/>
    <w:basedOn w:val="120"/>
    <w:qFormat/>
    <w:uiPriority w:val="0"/>
    <w:pPr>
      <w:numPr>
        <w:numId w:val="0"/>
      </w:numPr>
      <w:tabs>
        <w:tab w:val="left" w:pos="520"/>
      </w:tabs>
      <w:ind w:left="1176" w:right="0"/>
    </w:pPr>
  </w:style>
  <w:style w:type="paragraph" w:customStyle="1" w:styleId="120">
    <w:name w:val="正文4"/>
    <w:basedOn w:val="1"/>
    <w:qFormat/>
    <w:uiPriority w:val="0"/>
    <w:pPr>
      <w:numPr>
        <w:ilvl w:val="0"/>
        <w:numId w:val="2"/>
      </w:numPr>
      <w:spacing w:before="60" w:after="60" w:line="360" w:lineRule="auto"/>
      <w:ind w:left="820" w:leftChars="400" w:right="26"/>
    </w:pPr>
    <w:rPr>
      <w:sz w:val="24"/>
      <w:szCs w:val="24"/>
    </w:rPr>
  </w:style>
  <w:style w:type="paragraph" w:customStyle="1" w:styleId="121">
    <w:name w:val="列表内容"/>
    <w:basedOn w:val="1"/>
    <w:next w:val="1"/>
    <w:qFormat/>
    <w:uiPriority w:val="0"/>
    <w:pPr>
      <w:widowControl/>
      <w:tabs>
        <w:tab w:val="left" w:pos="840"/>
      </w:tabs>
      <w:ind w:left="1205" w:hanging="425"/>
      <w:jc w:val="left"/>
    </w:pPr>
    <w:rPr>
      <w:sz w:val="18"/>
    </w:rPr>
  </w:style>
  <w:style w:type="paragraph" w:customStyle="1" w:styleId="122">
    <w:name w:val="正文字缩2字"/>
    <w:basedOn w:val="123"/>
    <w:qFormat/>
    <w:uiPriority w:val="0"/>
    <w:pPr>
      <w:ind w:left="200" w:leftChars="200"/>
    </w:pPr>
  </w:style>
  <w:style w:type="paragraph" w:customStyle="1" w:styleId="123">
    <w:name w:val="正文字缩1字"/>
    <w:basedOn w:val="1"/>
    <w:qFormat/>
    <w:uiPriority w:val="0"/>
    <w:pPr>
      <w:spacing w:before="60" w:after="60" w:line="360" w:lineRule="auto"/>
      <w:ind w:left="100" w:leftChars="100" w:right="26" w:firstLine="200" w:firstLineChars="200"/>
    </w:pPr>
    <w:rPr>
      <w:sz w:val="24"/>
      <w:szCs w:val="24"/>
    </w:rPr>
  </w:style>
  <w:style w:type="paragraph" w:customStyle="1" w:styleId="124">
    <w:name w:val="Char"/>
    <w:basedOn w:val="1"/>
    <w:qFormat/>
    <w:uiPriority w:val="0"/>
    <w:pPr>
      <w:widowControl/>
      <w:spacing w:after="160" w:line="240" w:lineRule="exact"/>
      <w:jc w:val="left"/>
    </w:pPr>
    <w:rPr>
      <w:rFonts w:ascii="Verdana" w:hAnsi="Verdana" w:eastAsia="仿宋_GB2312"/>
      <w:sz w:val="24"/>
      <w:lang w:eastAsia="en-US"/>
    </w:rPr>
  </w:style>
  <w:style w:type="paragraph" w:customStyle="1" w:styleId="125">
    <w:name w:val="USE 1"/>
    <w:basedOn w:val="1"/>
    <w:qFormat/>
    <w:uiPriority w:val="0"/>
    <w:pPr>
      <w:spacing w:line="200" w:lineRule="atLeast"/>
      <w:jc w:val="left"/>
    </w:pPr>
    <w:rPr>
      <w:rFonts w:ascii="宋体" w:hAnsi="宋体"/>
      <w:b/>
      <w:sz w:val="24"/>
    </w:rPr>
  </w:style>
  <w:style w:type="paragraph" w:customStyle="1" w:styleId="126">
    <w:name w:val="reader-word-layer reader-word-s1-12"/>
    <w:basedOn w:val="1"/>
    <w:qFormat/>
    <w:uiPriority w:val="0"/>
    <w:pPr>
      <w:widowControl/>
      <w:spacing w:before="100" w:beforeAutospacing="1" w:after="100" w:afterAutospacing="1"/>
      <w:jc w:val="left"/>
    </w:pPr>
    <w:rPr>
      <w:rFonts w:ascii="宋体" w:hAnsi="宋体" w:cs="宋体"/>
      <w:sz w:val="24"/>
      <w:szCs w:val="24"/>
    </w:rPr>
  </w:style>
  <w:style w:type="paragraph" w:customStyle="1" w:styleId="127">
    <w:name w:val="方案正文"/>
    <w:basedOn w:val="1"/>
    <w:qFormat/>
    <w:uiPriority w:val="0"/>
    <w:pPr>
      <w:autoSpaceDE w:val="0"/>
      <w:autoSpaceDN w:val="0"/>
      <w:adjustRightInd w:val="0"/>
      <w:spacing w:before="60"/>
    </w:pPr>
    <w:rPr>
      <w:rFonts w:ascii="宋体" w:hAnsi="宋体"/>
      <w:bCs/>
      <w:color w:val="000000"/>
      <w:spacing w:val="2"/>
      <w:sz w:val="24"/>
      <w:szCs w:val="24"/>
    </w:rPr>
  </w:style>
  <w:style w:type="paragraph" w:customStyle="1" w:styleId="128">
    <w:name w:val="Char3"/>
    <w:basedOn w:val="1"/>
    <w:qFormat/>
    <w:uiPriority w:val="0"/>
    <w:pPr>
      <w:widowControl/>
      <w:spacing w:after="160" w:line="240" w:lineRule="exact"/>
      <w:jc w:val="left"/>
    </w:pPr>
    <w:rPr>
      <w:rFonts w:ascii="Verdana" w:hAnsi="Verdana"/>
      <w:lang w:eastAsia="en-US"/>
    </w:rPr>
  </w:style>
  <w:style w:type="paragraph" w:customStyle="1" w:styleId="129">
    <w:name w:val="Char1"/>
    <w:basedOn w:val="1"/>
    <w:qFormat/>
    <w:uiPriority w:val="0"/>
    <w:pPr>
      <w:widowControl/>
      <w:spacing w:after="160" w:line="240" w:lineRule="exact"/>
      <w:ind w:left="-62" w:right="15" w:rightChars="15"/>
      <w:jc w:val="left"/>
    </w:pPr>
    <w:rPr>
      <w:rFonts w:ascii="Arial" w:hAnsi="Arial" w:eastAsia="Times New Roman"/>
      <w:lang w:eastAsia="en-US"/>
    </w:rPr>
  </w:style>
  <w:style w:type="paragraph" w:customStyle="1" w:styleId="130">
    <w:name w:val="正文3"/>
    <w:basedOn w:val="1"/>
    <w:qFormat/>
    <w:uiPriority w:val="0"/>
    <w:pPr>
      <w:spacing w:before="60" w:after="60" w:line="360" w:lineRule="auto"/>
      <w:outlineLvl w:val="8"/>
    </w:pPr>
    <w:rPr>
      <w:sz w:val="24"/>
      <w:szCs w:val="21"/>
    </w:rPr>
  </w:style>
  <w:style w:type="paragraph" w:customStyle="1" w:styleId="131">
    <w:name w:val="正文居中"/>
    <w:basedOn w:val="1"/>
    <w:next w:val="43"/>
    <w:qFormat/>
    <w:uiPriority w:val="0"/>
    <w:pPr>
      <w:adjustRightInd w:val="0"/>
      <w:snapToGrid w:val="0"/>
      <w:spacing w:line="300" w:lineRule="auto"/>
      <w:jc w:val="center"/>
    </w:pPr>
    <w:rPr>
      <w:szCs w:val="24"/>
    </w:rPr>
  </w:style>
  <w:style w:type="paragraph" w:customStyle="1" w:styleId="132">
    <w:name w:val="正文缩进4格"/>
    <w:basedOn w:val="55"/>
    <w:qFormat/>
    <w:uiPriority w:val="0"/>
    <w:pPr>
      <w:ind w:left="2" w:firstLine="538" w:firstLineChars="192"/>
    </w:pPr>
    <w:rPr>
      <w:color w:val="0000FF"/>
      <w:sz w:val="28"/>
    </w:rPr>
  </w:style>
  <w:style w:type="paragraph" w:customStyle="1" w:styleId="133">
    <w:name w:val="_Style 2"/>
    <w:basedOn w:val="1"/>
    <w:qFormat/>
    <w:uiPriority w:val="0"/>
    <w:pPr>
      <w:spacing w:line="360" w:lineRule="auto"/>
      <w:ind w:firstLine="420" w:firstLineChars="200"/>
    </w:pPr>
    <w:rPr>
      <w:rFonts w:ascii="Calibri" w:hAnsi="Calibri"/>
      <w:kern w:val="2"/>
      <w:sz w:val="21"/>
      <w:szCs w:val="22"/>
    </w:rPr>
  </w:style>
  <w:style w:type="paragraph" w:customStyle="1" w:styleId="134">
    <w:name w:val="TableTitle"/>
    <w:basedOn w:val="20"/>
    <w:qFormat/>
    <w:uiPriority w:val="0"/>
    <w:pPr>
      <w:keepNext/>
      <w:widowControl/>
      <w:numPr>
        <w:ilvl w:val="1"/>
        <w:numId w:val="3"/>
      </w:numPr>
      <w:spacing w:before="120"/>
      <w:ind w:left="0" w:firstLine="0"/>
      <w:jc w:val="center"/>
    </w:pPr>
    <w:rPr>
      <w:b/>
      <w:kern w:val="0"/>
      <w:sz w:val="24"/>
    </w:rPr>
  </w:style>
  <w:style w:type="paragraph" w:customStyle="1" w:styleId="135">
    <w:name w:val="注意事项"/>
    <w:basedOn w:val="1"/>
    <w:qFormat/>
    <w:uiPriority w:val="0"/>
    <w:pPr>
      <w:spacing w:before="60" w:after="60" w:line="360" w:lineRule="auto"/>
      <w:ind w:firstLine="200" w:firstLineChars="200"/>
    </w:pPr>
    <w:rPr>
      <w:b/>
      <w:bCs/>
      <w:szCs w:val="24"/>
    </w:rPr>
  </w:style>
  <w:style w:type="paragraph" w:customStyle="1" w:styleId="136">
    <w:name w:val="标题 3.5"/>
    <w:basedOn w:val="6"/>
    <w:qFormat/>
    <w:uiPriority w:val="0"/>
    <w:pPr>
      <w:keepNext w:val="0"/>
      <w:keepLines w:val="0"/>
      <w:spacing w:before="0" w:after="0"/>
      <w:jc w:val="both"/>
      <w:outlineLvl w:val="9"/>
    </w:pPr>
    <w:rPr>
      <w:b w:val="0"/>
      <w:sz w:val="31"/>
    </w:rPr>
  </w:style>
  <w:style w:type="paragraph" w:customStyle="1" w:styleId="137">
    <w:name w:val="一级节标题"/>
    <w:next w:val="138"/>
    <w:qFormat/>
    <w:uiPriority w:val="0"/>
    <w:pPr>
      <w:tabs>
        <w:tab w:val="left" w:pos="420"/>
        <w:tab w:val="left" w:pos="567"/>
      </w:tabs>
      <w:spacing w:line="360" w:lineRule="auto"/>
      <w:ind w:left="420" w:hanging="420"/>
      <w:outlineLvl w:val="2"/>
    </w:pPr>
    <w:rPr>
      <w:rFonts w:ascii="宋体" w:hAnsi="宋体" w:eastAsia="宋体" w:cs="Times New Roman"/>
      <w:b/>
      <w:sz w:val="24"/>
      <w:lang w:val="en-US" w:eastAsia="zh-CN" w:bidi="ar-SA"/>
    </w:rPr>
  </w:style>
  <w:style w:type="paragraph" w:customStyle="1" w:styleId="138">
    <w:name w:val="正文1"/>
    <w:basedOn w:val="1"/>
    <w:qFormat/>
    <w:uiPriority w:val="0"/>
  </w:style>
  <w:style w:type="paragraph" w:customStyle="1" w:styleId="139">
    <w:name w:val="正文缩进6格"/>
    <w:basedOn w:val="132"/>
    <w:qFormat/>
    <w:uiPriority w:val="0"/>
    <w:pPr>
      <w:ind w:left="1758" w:leftChars="854"/>
    </w:pPr>
  </w:style>
  <w:style w:type="paragraph" w:customStyle="1" w:styleId="140">
    <w:name w:val="_Style 5"/>
    <w:basedOn w:val="1"/>
    <w:qFormat/>
    <w:uiPriority w:val="0"/>
    <w:pPr>
      <w:spacing w:line="360" w:lineRule="auto"/>
      <w:ind w:firstLine="420" w:firstLineChars="200"/>
    </w:pPr>
    <w:rPr>
      <w:rFonts w:ascii="Calibri" w:hAnsi="Calibri"/>
      <w:kern w:val="2"/>
      <w:sz w:val="21"/>
      <w:szCs w:val="22"/>
    </w:rPr>
  </w:style>
  <w:style w:type="paragraph" w:customStyle="1" w:styleId="141">
    <w:name w:val="reader-word-layer"/>
    <w:basedOn w:val="1"/>
    <w:qFormat/>
    <w:uiPriority w:val="0"/>
    <w:pPr>
      <w:widowControl/>
      <w:spacing w:before="100" w:beforeAutospacing="1" w:after="100" w:afterAutospacing="1"/>
      <w:jc w:val="left"/>
    </w:pPr>
    <w:rPr>
      <w:rFonts w:ascii="宋体" w:hAnsi="宋体" w:cs="宋体"/>
      <w:sz w:val="24"/>
      <w:szCs w:val="24"/>
    </w:rPr>
  </w:style>
  <w:style w:type="paragraph" w:customStyle="1" w:styleId="142">
    <w:name w:val="_Style 7"/>
    <w:basedOn w:val="1"/>
    <w:qFormat/>
    <w:uiPriority w:val="0"/>
    <w:pPr>
      <w:spacing w:line="360" w:lineRule="auto"/>
      <w:ind w:firstLine="420" w:firstLineChars="200"/>
    </w:pPr>
    <w:rPr>
      <w:rFonts w:ascii="Calibri" w:hAnsi="Calibri"/>
      <w:kern w:val="2"/>
      <w:sz w:val="21"/>
      <w:szCs w:val="22"/>
    </w:rPr>
  </w:style>
  <w:style w:type="paragraph" w:customStyle="1" w:styleId="143">
    <w:name w:val="Char1 Char Char Char"/>
    <w:basedOn w:val="1"/>
    <w:qFormat/>
    <w:uiPriority w:val="0"/>
    <w:pPr>
      <w:ind w:left="420" w:hanging="420"/>
    </w:pPr>
    <w:rPr>
      <w:sz w:val="24"/>
    </w:rPr>
  </w:style>
  <w:style w:type="paragraph" w:customStyle="1" w:styleId="144">
    <w:name w:val="说明"/>
    <w:basedOn w:val="1"/>
    <w:qFormat/>
    <w:uiPriority w:val="0"/>
    <w:pPr>
      <w:spacing w:before="60" w:after="60" w:line="360" w:lineRule="auto"/>
      <w:ind w:firstLine="200" w:firstLineChars="200"/>
    </w:pPr>
    <w:rPr>
      <w:rFonts w:eastAsia="楷体_GB2312"/>
      <w:szCs w:val="24"/>
    </w:rPr>
  </w:style>
  <w:style w:type="paragraph" w:customStyle="1" w:styleId="145">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146">
    <w:name w:val="正文11"/>
    <w:basedOn w:val="1"/>
    <w:qFormat/>
    <w:uiPriority w:val="0"/>
    <w:pPr>
      <w:spacing w:before="60" w:after="60" w:line="360" w:lineRule="auto"/>
      <w:outlineLvl w:val="6"/>
    </w:pPr>
    <w:rPr>
      <w:sz w:val="24"/>
      <w:szCs w:val="24"/>
    </w:rPr>
  </w:style>
  <w:style w:type="paragraph" w:customStyle="1" w:styleId="147">
    <w:name w:val="正文编号1"/>
    <w:basedOn w:val="1"/>
    <w:qFormat/>
    <w:uiPriority w:val="0"/>
    <w:pPr>
      <w:numPr>
        <w:ilvl w:val="0"/>
        <w:numId w:val="4"/>
      </w:numPr>
      <w:spacing w:line="360" w:lineRule="auto"/>
    </w:pPr>
    <w:rPr>
      <w:sz w:val="24"/>
      <w:szCs w:val="24"/>
    </w:rPr>
  </w:style>
  <w:style w:type="paragraph" w:customStyle="1" w:styleId="148">
    <w:name w:val="保留正文"/>
    <w:basedOn w:val="20"/>
    <w:qFormat/>
    <w:uiPriority w:val="0"/>
    <w:pPr>
      <w:keepNext/>
      <w:spacing w:after="160"/>
    </w:pPr>
  </w:style>
  <w:style w:type="paragraph" w:customStyle="1" w:styleId="149">
    <w:name w:val="Char Char Char Char"/>
    <w:basedOn w:val="1"/>
    <w:qFormat/>
    <w:uiPriority w:val="0"/>
    <w:pPr>
      <w:keepNext/>
      <w:widowControl/>
      <w:tabs>
        <w:tab w:val="left" w:pos="425"/>
      </w:tabs>
      <w:autoSpaceDE w:val="0"/>
      <w:autoSpaceDN w:val="0"/>
      <w:adjustRightInd w:val="0"/>
      <w:spacing w:before="80" w:after="80"/>
      <w:ind w:hanging="425"/>
    </w:pPr>
    <w:rPr>
      <w:rFonts w:ascii="Arial" w:hAnsi="Arial" w:cs="Arial"/>
    </w:rPr>
  </w:style>
  <w:style w:type="paragraph" w:customStyle="1" w:styleId="150">
    <w:name w:val="标题4"/>
    <w:basedOn w:val="55"/>
    <w:qFormat/>
    <w:uiPriority w:val="0"/>
    <w:pPr>
      <w:spacing w:line="540" w:lineRule="exact"/>
      <w:ind w:firstLine="0" w:firstLineChars="0"/>
    </w:pPr>
    <w:rPr>
      <w:rFonts w:hAnsi="Times New Roman"/>
    </w:rPr>
  </w:style>
  <w:style w:type="paragraph" w:customStyle="1" w:styleId="151">
    <w:name w:val="Char11"/>
    <w:basedOn w:val="16"/>
    <w:qFormat/>
    <w:uiPriority w:val="0"/>
    <w:pPr>
      <w:shd w:val="clear" w:color="auto" w:fill="000080"/>
      <w:spacing w:line="240" w:lineRule="auto"/>
    </w:pPr>
    <w:rPr>
      <w:rFonts w:ascii="Tahoma" w:hAnsi="Tahoma"/>
      <w:sz w:val="24"/>
      <w:szCs w:val="24"/>
    </w:rPr>
  </w:style>
  <w:style w:type="paragraph" w:customStyle="1" w:styleId="152">
    <w:name w:val="正文5"/>
    <w:basedOn w:val="1"/>
    <w:qFormat/>
    <w:uiPriority w:val="0"/>
    <w:pPr>
      <w:numPr>
        <w:ilvl w:val="0"/>
        <w:numId w:val="5"/>
      </w:numPr>
      <w:spacing w:before="60" w:after="60" w:line="360" w:lineRule="auto"/>
      <w:ind w:left="920" w:leftChars="500" w:right="26"/>
    </w:pPr>
    <w:rPr>
      <w:sz w:val="24"/>
      <w:szCs w:val="24"/>
    </w:rPr>
  </w:style>
  <w:style w:type="paragraph" w:customStyle="1" w:styleId="153">
    <w:name w:val="题注5"/>
    <w:basedOn w:val="1"/>
    <w:next w:val="15"/>
    <w:qFormat/>
    <w:uiPriority w:val="0"/>
    <w:pPr>
      <w:jc w:val="center"/>
    </w:pPr>
    <w:rPr>
      <w:b/>
      <w:color w:val="000000"/>
      <w:sz w:val="24"/>
      <w:szCs w:val="21"/>
    </w:rPr>
  </w:style>
  <w:style w:type="paragraph" w:customStyle="1" w:styleId="154">
    <w:name w:val="标题11"/>
    <w:basedOn w:val="1"/>
    <w:qFormat/>
    <w:uiPriority w:val="0"/>
    <w:pPr>
      <w:widowControl/>
      <w:spacing w:line="360" w:lineRule="auto"/>
      <w:jc w:val="center"/>
    </w:pPr>
    <w:rPr>
      <w:rFonts w:ascii="黑体" w:eastAsia="黑体"/>
      <w:b/>
      <w:sz w:val="44"/>
    </w:rPr>
  </w:style>
  <w:style w:type="paragraph" w:customStyle="1" w:styleId="155">
    <w:name w:val="样式 首行缩进:  2 字符"/>
    <w:basedOn w:val="1"/>
    <w:qFormat/>
    <w:uiPriority w:val="0"/>
    <w:pPr>
      <w:ind w:firstLine="420" w:firstLineChars="200"/>
    </w:pPr>
  </w:style>
  <w:style w:type="paragraph" w:customStyle="1" w:styleId="156">
    <w:name w:val="测试文件样式1"/>
    <w:basedOn w:val="1"/>
    <w:qFormat/>
    <w:uiPriority w:val="0"/>
    <w:pPr>
      <w:numPr>
        <w:ilvl w:val="0"/>
        <w:numId w:val="6"/>
      </w:numPr>
      <w:spacing w:line="360" w:lineRule="auto"/>
    </w:pPr>
  </w:style>
  <w:style w:type="paragraph" w:customStyle="1" w:styleId="157">
    <w:name w:val="文章题目"/>
    <w:basedOn w:val="1"/>
    <w:next w:val="25"/>
    <w:qFormat/>
    <w:uiPriority w:val="0"/>
    <w:pPr>
      <w:spacing w:before="200" w:after="100"/>
      <w:jc w:val="center"/>
      <w:outlineLvl w:val="0"/>
    </w:pPr>
    <w:rPr>
      <w:rFonts w:eastAsia="楷体_GB2312"/>
      <w:sz w:val="44"/>
      <w:szCs w:val="24"/>
    </w:rPr>
  </w:style>
  <w:style w:type="paragraph" w:customStyle="1" w:styleId="158">
    <w:name w:val="Char Char Char"/>
    <w:basedOn w:val="1"/>
    <w:qFormat/>
    <w:uiPriority w:val="0"/>
    <w:rPr>
      <w:rFonts w:ascii="Tahoma" w:hAnsi="Tahoma"/>
      <w:b/>
      <w:sz w:val="28"/>
    </w:rPr>
  </w:style>
  <w:style w:type="paragraph" w:customStyle="1" w:styleId="159">
    <w:name w:val="Char2"/>
    <w:basedOn w:val="1"/>
    <w:qFormat/>
    <w:uiPriority w:val="0"/>
    <w:rPr>
      <w:rFonts w:ascii="Tahoma" w:hAnsi="Tahoma"/>
      <w:sz w:val="24"/>
    </w:rPr>
  </w:style>
  <w:style w:type="paragraph" w:customStyle="1" w:styleId="160">
    <w:name w:val="标题3"/>
    <w:basedOn w:val="1"/>
    <w:next w:val="1"/>
    <w:qFormat/>
    <w:uiPriority w:val="0"/>
    <w:pPr>
      <w:widowControl/>
      <w:numPr>
        <w:ilvl w:val="0"/>
        <w:numId w:val="7"/>
      </w:numPr>
      <w:spacing w:after="200" w:line="360" w:lineRule="auto"/>
      <w:jc w:val="left"/>
    </w:pPr>
    <w:rPr>
      <w:rFonts w:ascii="Calibri" w:hAnsi="Calibri"/>
      <w:b/>
      <w:sz w:val="28"/>
      <w:szCs w:val="22"/>
      <w:lang w:eastAsia="en-US" w:bidi="en-US"/>
    </w:rPr>
  </w:style>
  <w:style w:type="paragraph" w:customStyle="1" w:styleId="161">
    <w:name w:val="正文文字小标带括"/>
    <w:basedOn w:val="20"/>
    <w:qFormat/>
    <w:uiPriority w:val="0"/>
    <w:pPr>
      <w:spacing w:before="60" w:after="60" w:line="380" w:lineRule="exact"/>
      <w:ind w:left="1176" w:firstLine="480" w:firstLineChars="200"/>
    </w:pPr>
    <w:rPr>
      <w:sz w:val="24"/>
      <w:szCs w:val="24"/>
    </w:rPr>
  </w:style>
  <w:style w:type="paragraph" w:customStyle="1" w:styleId="162">
    <w:name w:val="Char Char2 Char"/>
    <w:basedOn w:val="1"/>
    <w:qFormat/>
    <w:uiPriority w:val="0"/>
    <w:rPr>
      <w:rFonts w:ascii="宋体" w:hAnsi="宋体"/>
      <w:b/>
      <w:kern w:val="2"/>
      <w:sz w:val="28"/>
      <w:szCs w:val="28"/>
    </w:rPr>
  </w:style>
  <w:style w:type="paragraph" w:customStyle="1" w:styleId="163">
    <w:name w:val="表头"/>
    <w:basedOn w:val="15"/>
    <w:qFormat/>
    <w:uiPriority w:val="0"/>
    <w:pPr>
      <w:keepNext/>
      <w:keepLines/>
      <w:widowControl/>
      <w:spacing w:before="120" w:after="120" w:line="300" w:lineRule="auto"/>
      <w:jc w:val="center"/>
      <w:textAlignment w:val="baseline"/>
    </w:pPr>
    <w:rPr>
      <w:sz w:val="21"/>
    </w:rPr>
  </w:style>
  <w:style w:type="paragraph" w:customStyle="1" w:styleId="164">
    <w:name w:val="日期右"/>
    <w:basedOn w:val="25"/>
    <w:qFormat/>
    <w:uiPriority w:val="0"/>
  </w:style>
  <w:style w:type="paragraph" w:customStyle="1" w:styleId="165">
    <w:name w:val="Char Char Char1"/>
    <w:basedOn w:val="1"/>
    <w:qFormat/>
    <w:uiPriority w:val="0"/>
    <w:pPr>
      <w:widowControl/>
      <w:spacing w:after="160" w:line="240" w:lineRule="exact"/>
      <w:jc w:val="left"/>
    </w:pPr>
    <w:rPr>
      <w:rFonts w:ascii="Verdana" w:hAnsi="Verdana"/>
      <w:lang w:eastAsia="en-US"/>
    </w:rPr>
  </w:style>
  <w:style w:type="paragraph" w:customStyle="1" w:styleId="166">
    <w:name w:val="font6"/>
    <w:basedOn w:val="1"/>
    <w:qFormat/>
    <w:uiPriority w:val="0"/>
    <w:pPr>
      <w:widowControl/>
      <w:spacing w:before="100" w:beforeAutospacing="1" w:after="100" w:afterAutospacing="1"/>
      <w:jc w:val="left"/>
    </w:pPr>
    <w:rPr>
      <w:rFonts w:ascii="宋体" w:hAnsi="宋体" w:cs="宋体"/>
      <w:b/>
      <w:bCs/>
      <w:sz w:val="24"/>
      <w:szCs w:val="24"/>
    </w:rPr>
  </w:style>
  <w:style w:type="paragraph" w:customStyle="1" w:styleId="167">
    <w:name w:val="Char Char Char Char Char Char Char Char Char Char"/>
    <w:basedOn w:val="1"/>
    <w:qFormat/>
    <w:uiPriority w:val="0"/>
  </w:style>
  <w:style w:type="paragraph" w:customStyle="1" w:styleId="168">
    <w:name w:val="_Style 3"/>
    <w:basedOn w:val="1"/>
    <w:qFormat/>
    <w:uiPriority w:val="0"/>
    <w:pPr>
      <w:spacing w:line="360" w:lineRule="auto"/>
      <w:ind w:firstLine="420" w:firstLineChars="200"/>
    </w:pPr>
    <w:rPr>
      <w:rFonts w:ascii="Calibri" w:hAnsi="Calibri"/>
      <w:kern w:val="2"/>
      <w:sz w:val="21"/>
      <w:szCs w:val="22"/>
    </w:rPr>
  </w:style>
  <w:style w:type="paragraph" w:customStyle="1" w:styleId="169">
    <w:name w:val="Item List"/>
    <w:qFormat/>
    <w:uiPriority w:val="0"/>
    <w:pPr>
      <w:tabs>
        <w:tab w:val="left" w:pos="425"/>
      </w:tabs>
      <w:ind w:left="425" w:hanging="425"/>
      <w:jc w:val="both"/>
    </w:pPr>
    <w:rPr>
      <w:rFonts w:ascii="Arial" w:hAnsi="Arial" w:eastAsia="宋体" w:cs="Times New Roman"/>
      <w:lang w:val="en-US" w:eastAsia="zh-CN" w:bidi="ar-SA"/>
    </w:rPr>
  </w:style>
  <w:style w:type="paragraph" w:customStyle="1" w:styleId="170">
    <w:name w:val="Char Char Char Char Char Char Char Char"/>
    <w:basedOn w:val="1"/>
    <w:qFormat/>
    <w:uiPriority w:val="0"/>
    <w:pPr>
      <w:widowControl/>
      <w:snapToGrid w:val="0"/>
      <w:spacing w:after="160" w:line="360" w:lineRule="auto"/>
      <w:jc w:val="left"/>
    </w:pPr>
    <w:rPr>
      <w:sz w:val="24"/>
      <w:szCs w:val="24"/>
      <w:lang w:eastAsia="en-US"/>
    </w:rPr>
  </w:style>
  <w:style w:type="paragraph" w:customStyle="1" w:styleId="171">
    <w:name w:val="Char Char"/>
    <w:basedOn w:val="1"/>
    <w:qFormat/>
    <w:uiPriority w:val="0"/>
    <w:rPr>
      <w:rFonts w:ascii="Tahoma" w:hAnsi="Tahoma" w:cs="Arial"/>
      <w:sz w:val="24"/>
      <w:szCs w:val="21"/>
    </w:rPr>
  </w:style>
  <w:style w:type="paragraph" w:customStyle="1" w:styleId="172">
    <w:name w:val="正文无缩进"/>
    <w:basedOn w:val="55"/>
    <w:link w:val="191"/>
    <w:qFormat/>
    <w:uiPriority w:val="0"/>
    <w:pPr>
      <w:ind w:firstLine="0" w:firstLineChars="0"/>
    </w:pPr>
  </w:style>
  <w:style w:type="paragraph" w:customStyle="1" w:styleId="173">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rPr>
  </w:style>
  <w:style w:type="paragraph" w:customStyle="1" w:styleId="174">
    <w:name w:val="Char Char Char Char Char"/>
    <w:basedOn w:val="1"/>
    <w:qFormat/>
    <w:uiPriority w:val="0"/>
    <w:pPr>
      <w:widowControl/>
      <w:spacing w:after="160" w:line="240" w:lineRule="exact"/>
      <w:jc w:val="left"/>
    </w:pPr>
    <w:rPr>
      <w:sz w:val="24"/>
      <w:szCs w:val="24"/>
      <w:lang w:eastAsia="en-US"/>
    </w:rPr>
  </w:style>
  <w:style w:type="paragraph" w:customStyle="1" w:styleId="175">
    <w:name w:val="È±Ê¡ÎÄ±¾"/>
    <w:basedOn w:val="1"/>
    <w:qFormat/>
    <w:uiPriority w:val="0"/>
    <w:pPr>
      <w:widowControl/>
      <w:overflowPunct w:val="0"/>
      <w:autoSpaceDE w:val="0"/>
      <w:autoSpaceDN w:val="0"/>
      <w:adjustRightInd w:val="0"/>
      <w:jc w:val="left"/>
      <w:textAlignment w:val="baseline"/>
    </w:pPr>
    <w:rPr>
      <w:sz w:val="24"/>
    </w:rPr>
  </w:style>
  <w:style w:type="paragraph" w:customStyle="1" w:styleId="176">
    <w:name w:val="TOC 标题1"/>
    <w:basedOn w:val="4"/>
    <w:next w:val="1"/>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177">
    <w:name w:val="正文7"/>
    <w:basedOn w:val="178"/>
    <w:qFormat/>
    <w:uiPriority w:val="0"/>
    <w:pPr>
      <w:numPr>
        <w:numId w:val="8"/>
      </w:numPr>
      <w:tabs>
        <w:tab w:val="left" w:pos="720"/>
        <w:tab w:val="left" w:pos="820"/>
      </w:tabs>
      <w:ind w:left="1120" w:leftChars="700"/>
    </w:pPr>
  </w:style>
  <w:style w:type="paragraph" w:customStyle="1" w:styleId="178">
    <w:name w:val="正文6"/>
    <w:basedOn w:val="1"/>
    <w:qFormat/>
    <w:uiPriority w:val="0"/>
    <w:pPr>
      <w:numPr>
        <w:ilvl w:val="0"/>
        <w:numId w:val="9"/>
      </w:numPr>
      <w:spacing w:before="60" w:after="60" w:line="360" w:lineRule="auto"/>
      <w:ind w:left="1020" w:leftChars="600" w:right="26"/>
    </w:pPr>
    <w:rPr>
      <w:sz w:val="24"/>
      <w:szCs w:val="24"/>
    </w:rPr>
  </w:style>
  <w:style w:type="paragraph" w:customStyle="1" w:styleId="179">
    <w:name w:val="三级节标题"/>
    <w:next w:val="138"/>
    <w:qFormat/>
    <w:uiPriority w:val="0"/>
    <w:pPr>
      <w:numPr>
        <w:ilvl w:val="3"/>
        <w:numId w:val="10"/>
      </w:numPr>
      <w:spacing w:before="120" w:after="120" w:line="400" w:lineRule="atLeast"/>
      <w:outlineLvl w:val="3"/>
    </w:pPr>
    <w:rPr>
      <w:rFonts w:ascii="Arial" w:hAnsi="Arial" w:eastAsia="黑体" w:cs="Times New Roman"/>
      <w:b/>
      <w:sz w:val="28"/>
      <w:lang w:val="en-US" w:eastAsia="zh-CN" w:bidi="ar-SA"/>
    </w:rPr>
  </w:style>
  <w:style w:type="paragraph" w:customStyle="1" w:styleId="180">
    <w:name w:val="无缩进"/>
    <w:next w:val="20"/>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181">
    <w:name w:val="图"/>
    <w:basedOn w:val="1"/>
    <w:qFormat/>
    <w:uiPriority w:val="0"/>
    <w:pPr>
      <w:keepNext/>
      <w:adjustRightInd w:val="0"/>
      <w:spacing w:before="60" w:after="60" w:line="300" w:lineRule="auto"/>
      <w:jc w:val="center"/>
      <w:textAlignment w:val="center"/>
    </w:pPr>
    <w:rPr>
      <w:snapToGrid w:val="0"/>
      <w:spacing w:val="20"/>
      <w:sz w:val="24"/>
    </w:rPr>
  </w:style>
  <w:style w:type="paragraph" w:customStyle="1" w:styleId="182">
    <w:name w:val="正文标题"/>
    <w:basedOn w:val="1"/>
    <w:qFormat/>
    <w:uiPriority w:val="0"/>
    <w:pPr>
      <w:jc w:val="center"/>
    </w:pPr>
    <w:rPr>
      <w:b/>
      <w:sz w:val="44"/>
      <w:szCs w:val="24"/>
    </w:rPr>
  </w:style>
  <w:style w:type="paragraph" w:customStyle="1" w:styleId="183">
    <w:name w:val="Default Paragraph Font Para Char"/>
    <w:basedOn w:val="1"/>
    <w:qFormat/>
    <w:uiPriority w:val="0"/>
    <w:pPr>
      <w:widowControl/>
      <w:numPr>
        <w:ilvl w:val="0"/>
        <w:numId w:val="11"/>
      </w:numPr>
      <w:spacing w:after="160" w:line="240" w:lineRule="exact"/>
      <w:jc w:val="left"/>
    </w:pPr>
    <w:rPr>
      <w:rFonts w:ascii="Verdana" w:hAnsi="Verdana" w:cs="Verdana"/>
      <w:lang w:eastAsia="en-US"/>
    </w:rPr>
  </w:style>
  <w:style w:type="paragraph" w:customStyle="1" w:styleId="184">
    <w:name w:val="xl26"/>
    <w:basedOn w:val="1"/>
    <w:qFormat/>
    <w:uiPriority w:val="0"/>
    <w:pPr>
      <w:widowControl/>
      <w:spacing w:before="100" w:beforeAutospacing="1" w:after="100" w:afterAutospacing="1"/>
      <w:jc w:val="center"/>
    </w:pPr>
    <w:rPr>
      <w:rFonts w:hint="eastAsia" w:ascii="仿宋_GB2312" w:hAnsi="宋体" w:eastAsia="仿宋_GB2312"/>
      <w:sz w:val="24"/>
    </w:rPr>
  </w:style>
  <w:style w:type="paragraph" w:customStyle="1" w:styleId="185">
    <w:name w:val="无间隔1"/>
    <w:qFormat/>
    <w:uiPriority w:val="99"/>
    <w:rPr>
      <w:rFonts w:ascii="Calibri" w:hAnsi="Calibri" w:eastAsia="宋体" w:cs="Times New Roman"/>
      <w:sz w:val="22"/>
      <w:szCs w:val="22"/>
      <w:lang w:val="en-US" w:eastAsia="zh-CN" w:bidi="ar-SA"/>
    </w:rPr>
  </w:style>
  <w:style w:type="paragraph" w:customStyle="1" w:styleId="186">
    <w:name w:val="修订1"/>
    <w:hidden/>
    <w:unhideWhenUsed/>
    <w:qFormat/>
    <w:uiPriority w:val="99"/>
    <w:rPr>
      <w:rFonts w:ascii="Times New Roman" w:hAnsi="Times New Roman" w:eastAsia="宋体" w:cs="Times New Roman"/>
      <w:lang w:val="en-US" w:eastAsia="zh-CN" w:bidi="ar-SA"/>
    </w:rPr>
  </w:style>
  <w:style w:type="paragraph" w:customStyle="1" w:styleId="187">
    <w:name w:val="列出段落11"/>
    <w:basedOn w:val="1"/>
    <w:qFormat/>
    <w:uiPriority w:val="0"/>
    <w:pPr>
      <w:ind w:firstLine="420" w:firstLineChars="200"/>
    </w:pPr>
    <w:rPr>
      <w:rFonts w:ascii="Calibri" w:hAnsi="Calibri" w:cs="Calibri"/>
      <w:szCs w:val="21"/>
    </w:rPr>
  </w:style>
  <w:style w:type="character" w:customStyle="1" w:styleId="188">
    <w:name w:val="font11"/>
    <w:basedOn w:val="46"/>
    <w:qFormat/>
    <w:uiPriority w:val="0"/>
    <w:rPr>
      <w:rFonts w:hint="eastAsia" w:ascii="宋体" w:hAnsi="宋体" w:eastAsia="宋体" w:cs="宋体"/>
      <w:color w:val="FF0000"/>
      <w:sz w:val="22"/>
      <w:szCs w:val="22"/>
      <w:u w:val="none"/>
    </w:rPr>
  </w:style>
  <w:style w:type="paragraph" w:styleId="189">
    <w:name w:val="List Paragraph"/>
    <w:basedOn w:val="1"/>
    <w:link w:val="195"/>
    <w:qFormat/>
    <w:uiPriority w:val="34"/>
    <w:pPr>
      <w:ind w:firstLine="420" w:firstLineChars="200"/>
    </w:pPr>
  </w:style>
  <w:style w:type="paragraph" w:customStyle="1" w:styleId="190">
    <w:name w:val="Table Paragraph"/>
    <w:basedOn w:val="1"/>
    <w:qFormat/>
    <w:uiPriority w:val="1"/>
    <w:rPr>
      <w:rFonts w:ascii="宋体" w:hAnsi="宋体" w:cs="宋体"/>
      <w:lang w:val="zh-CN" w:bidi="zh-CN"/>
    </w:rPr>
  </w:style>
  <w:style w:type="character" w:customStyle="1" w:styleId="191">
    <w:name w:val="正文无缩进 Char"/>
    <w:link w:val="172"/>
    <w:qFormat/>
    <w:locked/>
    <w:uiPriority w:val="0"/>
    <w:rPr>
      <w:rFonts w:ascii="仿宋_GB2312" w:hAnsi="宋体" w:eastAsia="仿宋_GB2312"/>
      <w:kern w:val="2"/>
      <w:sz w:val="31"/>
    </w:rPr>
  </w:style>
  <w:style w:type="paragraph" w:styleId="192">
    <w:name w:val="No Spacing"/>
    <w:basedOn w:val="1"/>
    <w:qFormat/>
    <w:uiPriority w:val="1"/>
    <w:pPr>
      <w:jc w:val="center"/>
    </w:pPr>
    <w:rPr>
      <w:rFonts w:ascii="仿宋" w:hAnsi="仿宋" w:eastAsia="仿宋"/>
      <w:color w:val="000000"/>
      <w:kern w:val="2"/>
      <w:sz w:val="28"/>
      <w:szCs w:val="28"/>
    </w:rPr>
  </w:style>
  <w:style w:type="paragraph" w:customStyle="1" w:styleId="193">
    <w:name w:val="_Style 192"/>
    <w:basedOn w:val="1"/>
    <w:next w:val="189"/>
    <w:qFormat/>
    <w:uiPriority w:val="34"/>
    <w:pPr>
      <w:spacing w:line="360" w:lineRule="auto"/>
      <w:ind w:firstLine="420" w:firstLineChars="200"/>
    </w:pPr>
    <w:rPr>
      <w:rFonts w:ascii="仿宋" w:hAnsi="仿宋" w:eastAsia="仿宋"/>
      <w:color w:val="000000"/>
      <w:kern w:val="2"/>
      <w:sz w:val="28"/>
      <w:szCs w:val="28"/>
    </w:rPr>
  </w:style>
  <w:style w:type="paragraph" w:customStyle="1" w:styleId="194">
    <w:name w:val="Revision"/>
    <w:hidden/>
    <w:semiHidden/>
    <w:qFormat/>
    <w:uiPriority w:val="99"/>
    <w:rPr>
      <w:rFonts w:ascii="Times New Roman" w:hAnsi="Times New Roman" w:eastAsia="宋体" w:cs="Times New Roman"/>
      <w:lang w:val="en-US" w:eastAsia="zh-CN" w:bidi="ar-SA"/>
    </w:rPr>
  </w:style>
  <w:style w:type="character" w:customStyle="1" w:styleId="195">
    <w:name w:val="列出段落 字符"/>
    <w:link w:val="189"/>
    <w:qFormat/>
    <w:uiPriority w:val="34"/>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CE7F8-BBB8-4CC7-9FAA-C86FE9EECB20}">
  <ds:schemaRefs/>
</ds:datastoreItem>
</file>

<file path=docProps/app.xml><?xml version="1.0" encoding="utf-8"?>
<Properties xmlns="http://schemas.openxmlformats.org/officeDocument/2006/extended-properties" xmlns:vt="http://schemas.openxmlformats.org/officeDocument/2006/docPropsVTypes">
  <Template>Normal</Template>
  <Company>广东中凯工程管理咨询有限公司</Company>
  <Pages>57</Pages>
  <Words>4535</Words>
  <Characters>25853</Characters>
  <Lines>215</Lines>
  <Paragraphs>60</Paragraphs>
  <TotalTime>25</TotalTime>
  <ScaleCrop>false</ScaleCrop>
  <LinksUpToDate>false</LinksUpToDate>
  <CharactersWithSpaces>30328</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2020-10-22T05:01:00Z</dcterms:created>
  <dc:creator>广东中凯工程管理咨询有限公司</dc:creator>
  <cp:keywords>C</cp:keywords>
  <cp:lastModifiedBy>1203013347</cp:lastModifiedBy>
  <cp:lastPrinted>2020-10-26T01:57:07Z</cp:lastPrinted>
  <dcterms:modified xsi:type="dcterms:W3CDTF">2020-10-26T01:57:21Z</dcterms:modified>
  <dc:title>东莞市政府采购</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