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rPr>
      </w:pPr>
    </w:p>
    <w:p>
      <w:pPr>
        <w:rPr>
          <w:rFonts w:ascii="宋体" w:hAnsi="宋体" w:cs="宋体"/>
          <w:color w:val="auto"/>
        </w:rPr>
      </w:pPr>
    </w:p>
    <w:p>
      <w:pPr>
        <w:jc w:val="center"/>
        <w:rPr>
          <w:rFonts w:ascii="宋体" w:hAnsi="宋体" w:cs="宋体"/>
          <w:b/>
          <w:color w:val="auto"/>
          <w:sz w:val="48"/>
          <w:szCs w:val="48"/>
        </w:rPr>
      </w:pPr>
      <w:r>
        <w:rPr>
          <w:rFonts w:hint="eastAsia" w:ascii="宋体" w:hAnsi="宋体" w:cs="宋体"/>
          <w:b/>
          <w:color w:val="auto"/>
          <w:sz w:val="48"/>
          <w:szCs w:val="48"/>
        </w:rPr>
        <w:t>东莞市城市轨道交通</w:t>
      </w:r>
      <w:r>
        <w:rPr>
          <w:rFonts w:ascii="宋体" w:hAnsi="宋体" w:cs="宋体"/>
          <w:b/>
          <w:color w:val="auto"/>
          <w:sz w:val="48"/>
          <w:szCs w:val="48"/>
        </w:rPr>
        <w:t>1号线一期工程</w:t>
      </w:r>
    </w:p>
    <w:p>
      <w:pPr>
        <w:jc w:val="center"/>
        <w:rPr>
          <w:rFonts w:ascii="宋体" w:hAnsi="宋体" w:cs="宋体"/>
          <w:b/>
          <w:color w:val="auto"/>
          <w:sz w:val="48"/>
          <w:szCs w:val="48"/>
        </w:rPr>
      </w:pPr>
    </w:p>
    <w:p>
      <w:pPr>
        <w:jc w:val="center"/>
        <w:rPr>
          <w:rFonts w:ascii="宋体" w:hAnsi="宋体" w:cs="宋体"/>
          <w:color w:val="auto"/>
          <w:sz w:val="36"/>
          <w:szCs w:val="36"/>
        </w:rPr>
      </w:pPr>
      <w:r>
        <w:rPr>
          <w:rFonts w:hint="eastAsia" w:ascii="宋体" w:hAnsi="宋体" w:cs="宋体"/>
          <w:b/>
          <w:color w:val="auto"/>
          <w:sz w:val="48"/>
          <w:szCs w:val="48"/>
        </w:rPr>
        <w:t>【质量专项检测项目】</w:t>
      </w:r>
      <w:r>
        <w:rPr>
          <w:rFonts w:ascii="宋体" w:hAnsi="宋体" w:cs="宋体"/>
          <w:b/>
          <w:color w:val="auto"/>
          <w:sz w:val="48"/>
          <w:szCs w:val="48"/>
        </w:rPr>
        <w:t>1405标</w:t>
      </w: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jc w:val="center"/>
        <w:rPr>
          <w:rFonts w:ascii="宋体" w:hAnsi="宋体" w:cs="宋体"/>
          <w:b/>
          <w:color w:val="auto"/>
          <w:sz w:val="116"/>
          <w:szCs w:val="116"/>
        </w:rPr>
      </w:pPr>
      <w:r>
        <w:rPr>
          <w:rFonts w:hint="eastAsia" w:ascii="宋体" w:hAnsi="宋体" w:cs="宋体"/>
          <w:b/>
          <w:color w:val="auto"/>
          <w:sz w:val="116"/>
          <w:szCs w:val="116"/>
        </w:rPr>
        <w:t>招标文件</w:t>
      </w:r>
    </w:p>
    <w:p>
      <w:pPr>
        <w:jc w:val="center"/>
        <w:rPr>
          <w:rFonts w:ascii="宋体" w:hAnsi="宋体" w:cs="宋体"/>
          <w:i/>
          <w:color w:val="auto"/>
          <w:sz w:val="32"/>
          <w:szCs w:val="32"/>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rPr>
          <w:rFonts w:ascii="宋体" w:hAnsi="宋体" w:cs="宋体"/>
          <w:color w:val="auto"/>
          <w:sz w:val="36"/>
          <w:szCs w:val="36"/>
        </w:rPr>
      </w:pPr>
    </w:p>
    <w:p>
      <w:pPr>
        <w:spacing w:line="360" w:lineRule="auto"/>
        <w:ind w:left="170" w:leftChars="81" w:firstLine="1355" w:firstLineChars="450"/>
        <w:rPr>
          <w:rFonts w:ascii="宋体" w:hAnsi="宋体" w:cs="宋体"/>
          <w:b/>
          <w:color w:val="auto"/>
          <w:sz w:val="30"/>
          <w:szCs w:val="30"/>
          <w:u w:val="single"/>
        </w:rPr>
      </w:pPr>
      <w:r>
        <w:rPr>
          <w:rFonts w:hint="eastAsia" w:ascii="宋体" w:hAnsi="宋体" w:cs="宋体"/>
          <w:b/>
          <w:color w:val="auto"/>
          <w:sz w:val="30"/>
          <w:szCs w:val="30"/>
        </w:rPr>
        <w:t>招</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单</w:t>
      </w:r>
      <w:r>
        <w:rPr>
          <w:rFonts w:ascii="宋体" w:hAnsi="宋体" w:cs="宋体"/>
          <w:b/>
          <w:color w:val="auto"/>
          <w:sz w:val="30"/>
          <w:szCs w:val="30"/>
        </w:rPr>
        <w:t xml:space="preserve"> </w:t>
      </w:r>
      <w:r>
        <w:rPr>
          <w:rFonts w:hint="eastAsia" w:ascii="宋体" w:hAnsi="宋体" w:cs="宋体"/>
          <w:b/>
          <w:color w:val="auto"/>
          <w:sz w:val="30"/>
          <w:szCs w:val="30"/>
        </w:rPr>
        <w:t>位：</w:t>
      </w:r>
      <w:r>
        <w:rPr>
          <w:rFonts w:ascii="宋体" w:hAnsi="宋体" w:cs="宋体"/>
          <w:b/>
          <w:color w:val="auto"/>
          <w:sz w:val="30"/>
          <w:szCs w:val="30"/>
          <w:u w:val="single"/>
        </w:rPr>
        <w:t xml:space="preserve">  </w:t>
      </w:r>
      <w:r>
        <w:rPr>
          <w:rFonts w:hint="eastAsia" w:ascii="宋体" w:hAnsi="宋体" w:cs="宋体"/>
          <w:b/>
          <w:color w:val="auto"/>
          <w:sz w:val="30"/>
          <w:szCs w:val="30"/>
          <w:u w:val="single"/>
        </w:rPr>
        <w:t>东莞市轨道一号线建设发展有限公司</w:t>
      </w:r>
      <w:r>
        <w:rPr>
          <w:rFonts w:ascii="宋体" w:hAnsi="宋体" w:cs="宋体"/>
          <w:b/>
          <w:color w:val="auto"/>
          <w:sz w:val="30"/>
          <w:szCs w:val="30"/>
          <w:u w:val="single"/>
        </w:rPr>
        <w:t xml:space="preserve">   </w:t>
      </w:r>
    </w:p>
    <w:p>
      <w:pPr>
        <w:spacing w:line="360" w:lineRule="auto"/>
        <w:ind w:left="170" w:leftChars="81" w:firstLine="1355" w:firstLineChars="450"/>
        <w:rPr>
          <w:rFonts w:ascii="宋体" w:hAnsi="宋体" w:cs="宋体"/>
          <w:b/>
          <w:color w:val="auto"/>
          <w:sz w:val="30"/>
          <w:szCs w:val="30"/>
          <w:u w:val="single"/>
        </w:rPr>
      </w:pPr>
      <w:r>
        <w:rPr>
          <w:rFonts w:hint="eastAsia" w:ascii="宋体" w:hAnsi="宋体" w:cs="宋体"/>
          <w:b/>
          <w:color w:val="auto"/>
          <w:sz w:val="30"/>
          <w:szCs w:val="30"/>
        </w:rPr>
        <w:t>招标代理机构</w:t>
      </w:r>
      <w:r>
        <w:rPr>
          <w:rFonts w:hint="eastAsia" w:ascii="宋体" w:hAnsi="宋体" w:cs="宋体"/>
          <w:color w:val="auto"/>
          <w:sz w:val="30"/>
          <w:szCs w:val="30"/>
        </w:rPr>
        <w:t>：</w:t>
      </w:r>
      <w:r>
        <w:rPr>
          <w:rFonts w:ascii="宋体" w:hAnsi="宋体" w:cs="宋体"/>
          <w:color w:val="auto"/>
          <w:sz w:val="30"/>
          <w:szCs w:val="30"/>
          <w:u w:val="single"/>
        </w:rPr>
        <w:t xml:space="preserve">  </w:t>
      </w:r>
      <w:r>
        <w:rPr>
          <w:rFonts w:hint="eastAsia" w:ascii="宋体" w:hAnsi="宋体" w:cs="宋体"/>
          <w:b/>
          <w:color w:val="auto"/>
          <w:sz w:val="30"/>
          <w:szCs w:val="30"/>
          <w:u w:val="single"/>
        </w:rPr>
        <w:t>广东省机电设备招标有限公司</w:t>
      </w:r>
      <w:r>
        <w:rPr>
          <w:rFonts w:ascii="宋体" w:hAnsi="宋体" w:cs="宋体"/>
          <w:b/>
          <w:color w:val="auto"/>
          <w:sz w:val="30"/>
          <w:szCs w:val="30"/>
          <w:u w:val="single"/>
        </w:rPr>
        <w:t xml:space="preserve">    </w:t>
      </w:r>
      <w:r>
        <w:rPr>
          <w:rFonts w:ascii="宋体" w:hAnsi="宋体" w:cs="宋体"/>
          <w:color w:val="auto"/>
          <w:sz w:val="30"/>
          <w:szCs w:val="30"/>
          <w:u w:val="single"/>
        </w:rPr>
        <w:t xml:space="preserve"> </w:t>
      </w:r>
    </w:p>
    <w:p>
      <w:pPr>
        <w:spacing w:line="360" w:lineRule="auto"/>
        <w:ind w:left="170" w:leftChars="81" w:firstLine="1355" w:firstLineChars="450"/>
        <w:rPr>
          <w:rFonts w:ascii="宋体" w:hAnsi="宋体" w:cs="宋体"/>
          <w:color w:val="auto"/>
          <w:sz w:val="36"/>
          <w:u w:val="single"/>
        </w:rPr>
      </w:pPr>
      <w:r>
        <w:rPr>
          <w:rFonts w:hint="eastAsia" w:ascii="宋体" w:hAnsi="宋体" w:cs="宋体"/>
          <w:b/>
          <w:color w:val="auto"/>
          <w:sz w:val="30"/>
          <w:szCs w:val="30"/>
        </w:rPr>
        <w:t>日</w:t>
      </w:r>
      <w:r>
        <w:rPr>
          <w:rFonts w:ascii="宋体" w:hAnsi="宋体" w:cs="宋体"/>
          <w:b/>
          <w:color w:val="auto"/>
          <w:sz w:val="30"/>
          <w:szCs w:val="30"/>
        </w:rPr>
        <w:t xml:space="preserve">        期：</w:t>
      </w:r>
      <w:r>
        <w:rPr>
          <w:rFonts w:ascii="宋体" w:hAnsi="宋体" w:cs="宋体"/>
          <w:b/>
          <w:color w:val="auto"/>
          <w:sz w:val="30"/>
          <w:szCs w:val="30"/>
          <w:u w:val="single"/>
        </w:rPr>
        <w:t xml:space="preserve">  2019年  </w:t>
      </w:r>
      <w:r>
        <w:rPr>
          <w:rFonts w:hint="eastAsia" w:ascii="宋体" w:hAnsi="宋体" w:cs="宋体"/>
          <w:b/>
          <w:color w:val="auto"/>
          <w:sz w:val="30"/>
          <w:szCs w:val="30"/>
          <w:u w:val="single"/>
          <w:lang w:val="en-US" w:eastAsia="zh-CN"/>
        </w:rPr>
        <w:t>10</w:t>
      </w:r>
      <w:r>
        <w:rPr>
          <w:rFonts w:hint="eastAsia" w:ascii="宋体" w:hAnsi="宋体" w:cs="宋体"/>
          <w:b/>
          <w:color w:val="auto"/>
          <w:sz w:val="30"/>
          <w:szCs w:val="30"/>
          <w:u w:val="single"/>
        </w:rPr>
        <w:t xml:space="preserve"> </w:t>
      </w:r>
      <w:r>
        <w:rPr>
          <w:rFonts w:ascii="宋体" w:hAnsi="宋体" w:cs="宋体"/>
          <w:b/>
          <w:color w:val="auto"/>
          <w:sz w:val="30"/>
          <w:szCs w:val="30"/>
          <w:u w:val="single"/>
        </w:rPr>
        <w:t xml:space="preserve"> 月     </w:t>
      </w:r>
    </w:p>
    <w:p>
      <w:pPr>
        <w:rPr>
          <w:rFonts w:ascii="宋体" w:hAnsi="宋体" w:cs="宋体"/>
          <w:color w:val="auto"/>
        </w:rPr>
      </w:pPr>
    </w:p>
    <w:p>
      <w:pPr>
        <w:rPr>
          <w:rFonts w:ascii="宋体" w:hAnsi="宋体" w:cs="宋体"/>
          <w:color w:val="auto"/>
        </w:rPr>
      </w:pPr>
    </w:p>
    <w:p>
      <w:pPr>
        <w:jc w:val="center"/>
        <w:rPr>
          <w:rFonts w:ascii="宋体" w:hAnsi="宋体" w:cs="宋体"/>
          <w:b/>
          <w:color w:val="auto"/>
          <w:sz w:val="48"/>
          <w:szCs w:val="48"/>
        </w:rPr>
        <w:sectPr>
          <w:footerReference r:id="rId3" w:type="default"/>
          <w:pgSz w:w="12240" w:h="15840"/>
          <w:pgMar w:top="1440" w:right="1425" w:bottom="1440" w:left="1800" w:header="720" w:footer="720" w:gutter="0"/>
          <w:pgNumType w:start="1"/>
          <w:cols w:space="720" w:num="1"/>
          <w:docGrid w:linePitch="286" w:charSpace="0"/>
        </w:sectPr>
      </w:pPr>
    </w:p>
    <w:p>
      <w:pPr>
        <w:jc w:val="center"/>
        <w:rPr>
          <w:rFonts w:ascii="宋体" w:hAnsi="宋体" w:cs="宋体"/>
          <w:b/>
          <w:color w:val="auto"/>
          <w:sz w:val="48"/>
          <w:szCs w:val="48"/>
        </w:rPr>
      </w:pPr>
    </w:p>
    <w:p>
      <w:pPr>
        <w:jc w:val="center"/>
        <w:rPr>
          <w:rFonts w:ascii="宋体" w:hAnsi="宋体" w:cs="宋体"/>
          <w:b/>
          <w:color w:val="auto"/>
          <w:sz w:val="48"/>
          <w:szCs w:val="48"/>
        </w:rPr>
      </w:pPr>
      <w:r>
        <w:rPr>
          <w:rFonts w:hint="eastAsia" w:ascii="宋体" w:hAnsi="宋体" w:cs="宋体"/>
          <w:b/>
          <w:color w:val="auto"/>
          <w:sz w:val="48"/>
          <w:szCs w:val="48"/>
        </w:rPr>
        <w:t>东莞市城市轨道交通</w:t>
      </w:r>
      <w:r>
        <w:rPr>
          <w:rFonts w:ascii="宋体" w:hAnsi="宋体" w:cs="宋体"/>
          <w:b/>
          <w:color w:val="auto"/>
          <w:sz w:val="48"/>
          <w:szCs w:val="48"/>
        </w:rPr>
        <w:t>1号线一期工程</w:t>
      </w:r>
    </w:p>
    <w:p>
      <w:pPr>
        <w:jc w:val="center"/>
        <w:rPr>
          <w:rFonts w:ascii="宋体" w:hAnsi="宋体" w:cs="宋体"/>
          <w:b/>
          <w:color w:val="auto"/>
          <w:sz w:val="48"/>
          <w:szCs w:val="48"/>
        </w:rPr>
      </w:pPr>
    </w:p>
    <w:p>
      <w:pPr>
        <w:jc w:val="center"/>
        <w:rPr>
          <w:rFonts w:ascii="宋体" w:hAnsi="宋体" w:cs="宋体"/>
          <w:b/>
          <w:color w:val="auto"/>
          <w:sz w:val="48"/>
          <w:szCs w:val="48"/>
        </w:rPr>
      </w:pPr>
      <w:r>
        <w:rPr>
          <w:rFonts w:hint="eastAsia" w:ascii="宋体" w:hAnsi="宋体" w:cs="宋体"/>
          <w:b/>
          <w:color w:val="auto"/>
          <w:sz w:val="48"/>
          <w:szCs w:val="48"/>
        </w:rPr>
        <w:t>【质量专项检测项目】</w:t>
      </w:r>
      <w:r>
        <w:rPr>
          <w:rFonts w:ascii="宋体" w:hAnsi="宋体" w:cs="宋体"/>
          <w:b/>
          <w:color w:val="auto"/>
          <w:sz w:val="48"/>
          <w:szCs w:val="48"/>
        </w:rPr>
        <w:t>1405标</w:t>
      </w:r>
    </w:p>
    <w:p>
      <w:pPr>
        <w:jc w:val="center"/>
        <w:rPr>
          <w:rFonts w:ascii="宋体" w:hAnsi="宋体" w:cs="宋体"/>
          <w:color w:val="auto"/>
        </w:rPr>
      </w:pPr>
    </w:p>
    <w:p>
      <w:pPr>
        <w:rPr>
          <w:rFonts w:ascii="宋体" w:hAnsi="宋体" w:cs="宋体"/>
          <w:color w:val="auto"/>
          <w:sz w:val="28"/>
          <w:szCs w:val="28"/>
        </w:rPr>
      </w:pPr>
    </w:p>
    <w:p>
      <w:pPr>
        <w:rPr>
          <w:rFonts w:ascii="宋体" w:hAnsi="宋体" w:cs="宋体"/>
          <w:color w:val="auto"/>
          <w:sz w:val="28"/>
          <w:szCs w:val="28"/>
        </w:rPr>
      </w:pPr>
    </w:p>
    <w:p>
      <w:pPr>
        <w:jc w:val="center"/>
        <w:rPr>
          <w:rFonts w:ascii="宋体" w:hAnsi="宋体" w:cs="宋体"/>
          <w:color w:val="auto"/>
          <w:sz w:val="48"/>
          <w:szCs w:val="48"/>
        </w:rPr>
      </w:pPr>
      <w:r>
        <w:rPr>
          <w:rFonts w:hint="eastAsia" w:ascii="宋体" w:hAnsi="宋体" w:cs="宋体"/>
          <w:color w:val="auto"/>
          <w:sz w:val="48"/>
          <w:szCs w:val="48"/>
        </w:rPr>
        <w:t>总</w:t>
      </w:r>
      <w:r>
        <w:rPr>
          <w:rFonts w:ascii="宋体" w:hAnsi="宋体" w:cs="宋体"/>
          <w:color w:val="auto"/>
          <w:sz w:val="48"/>
          <w:szCs w:val="48"/>
        </w:rPr>
        <w:t xml:space="preserve"> </w:t>
      </w:r>
      <w:r>
        <w:rPr>
          <w:rFonts w:hint="eastAsia" w:ascii="宋体" w:hAnsi="宋体" w:cs="宋体"/>
          <w:color w:val="auto"/>
          <w:sz w:val="48"/>
          <w:szCs w:val="48"/>
        </w:rPr>
        <w:t>目</w:t>
      </w:r>
      <w:r>
        <w:rPr>
          <w:rFonts w:ascii="宋体" w:hAnsi="宋体" w:cs="宋体"/>
          <w:color w:val="auto"/>
          <w:sz w:val="48"/>
          <w:szCs w:val="48"/>
        </w:rPr>
        <w:t xml:space="preserve"> </w:t>
      </w:r>
      <w:r>
        <w:rPr>
          <w:rFonts w:hint="eastAsia" w:ascii="宋体" w:hAnsi="宋体" w:cs="宋体"/>
          <w:color w:val="auto"/>
          <w:sz w:val="48"/>
          <w:szCs w:val="48"/>
        </w:rPr>
        <w:t>录</w:t>
      </w:r>
    </w:p>
    <w:p>
      <w:pPr>
        <w:rPr>
          <w:rFonts w:ascii="宋体" w:hAnsi="宋体" w:cs="宋体"/>
          <w:color w:val="auto"/>
          <w:sz w:val="28"/>
          <w:szCs w:val="28"/>
        </w:rPr>
      </w:pPr>
    </w:p>
    <w:p>
      <w:pPr>
        <w:ind w:left="1984" w:leftChars="945" w:firstLine="2"/>
        <w:rPr>
          <w:rFonts w:ascii="宋体" w:hAnsi="宋体" w:cs="宋体"/>
          <w:color w:val="auto"/>
          <w:sz w:val="32"/>
          <w:szCs w:val="32"/>
        </w:rPr>
      </w:pPr>
      <w:r>
        <w:rPr>
          <w:rFonts w:hint="eastAsia" w:ascii="宋体" w:hAnsi="宋体" w:cs="宋体"/>
          <w:color w:val="auto"/>
          <w:sz w:val="32"/>
          <w:szCs w:val="32"/>
        </w:rPr>
        <w:t>第Ⅰ卷</w:t>
      </w:r>
      <w:r>
        <w:rPr>
          <w:rFonts w:ascii="宋体" w:hAnsi="宋体" w:cs="宋体"/>
          <w:color w:val="auto"/>
          <w:sz w:val="32"/>
          <w:szCs w:val="32"/>
        </w:rPr>
        <w:t xml:space="preserve">  </w:t>
      </w:r>
      <w:r>
        <w:rPr>
          <w:rFonts w:hint="eastAsia" w:ascii="宋体" w:hAnsi="宋体" w:cs="宋体"/>
          <w:color w:val="auto"/>
          <w:sz w:val="32"/>
          <w:szCs w:val="32"/>
        </w:rPr>
        <w:t>投标须知</w:t>
      </w:r>
    </w:p>
    <w:p>
      <w:pPr>
        <w:ind w:left="1984" w:leftChars="945" w:firstLine="2"/>
        <w:rPr>
          <w:rFonts w:ascii="宋体" w:hAnsi="宋体" w:cs="宋体"/>
          <w:color w:val="auto"/>
          <w:sz w:val="32"/>
          <w:szCs w:val="32"/>
        </w:rPr>
      </w:pPr>
      <w:r>
        <w:rPr>
          <w:rFonts w:hint="eastAsia" w:ascii="宋体" w:hAnsi="宋体" w:cs="宋体"/>
          <w:color w:val="auto"/>
          <w:sz w:val="32"/>
          <w:szCs w:val="32"/>
        </w:rPr>
        <w:t>第Ⅱ卷</w:t>
      </w:r>
      <w:r>
        <w:rPr>
          <w:rFonts w:ascii="宋体" w:hAnsi="宋体" w:cs="宋体"/>
          <w:color w:val="auto"/>
          <w:sz w:val="32"/>
          <w:szCs w:val="32"/>
        </w:rPr>
        <w:t xml:space="preserve">  </w:t>
      </w:r>
      <w:r>
        <w:rPr>
          <w:rFonts w:hint="eastAsia" w:ascii="宋体" w:hAnsi="宋体" w:cs="宋体"/>
          <w:color w:val="auto"/>
          <w:sz w:val="32"/>
          <w:szCs w:val="32"/>
        </w:rPr>
        <w:t>合同条件</w:t>
      </w:r>
    </w:p>
    <w:p>
      <w:pPr>
        <w:ind w:left="1984" w:leftChars="945" w:firstLine="1276" w:firstLineChars="399"/>
        <w:rPr>
          <w:rFonts w:ascii="宋体" w:hAnsi="宋体" w:cs="宋体"/>
          <w:color w:val="auto"/>
          <w:sz w:val="32"/>
          <w:szCs w:val="32"/>
        </w:rPr>
      </w:pPr>
      <w:r>
        <w:rPr>
          <w:rFonts w:hint="eastAsia" w:ascii="宋体" w:hAnsi="宋体" w:cs="宋体"/>
          <w:color w:val="auto"/>
          <w:sz w:val="32"/>
          <w:szCs w:val="32"/>
        </w:rPr>
        <w:t>第</w:t>
      </w:r>
      <w:r>
        <w:rPr>
          <w:rFonts w:ascii="宋体" w:hAnsi="宋体" w:cs="宋体"/>
          <w:color w:val="auto"/>
          <w:sz w:val="32"/>
          <w:szCs w:val="32"/>
        </w:rPr>
        <w:t xml:space="preserve">1章  </w:t>
      </w:r>
      <w:r>
        <w:rPr>
          <w:rFonts w:hint="eastAsia" w:ascii="宋体" w:hAnsi="宋体" w:cs="宋体"/>
          <w:color w:val="auto"/>
          <w:sz w:val="32"/>
          <w:szCs w:val="32"/>
        </w:rPr>
        <w:t>合同协议书</w:t>
      </w:r>
    </w:p>
    <w:p>
      <w:pPr>
        <w:ind w:left="1984" w:leftChars="945" w:firstLine="1276" w:firstLineChars="399"/>
        <w:rPr>
          <w:rFonts w:ascii="宋体" w:hAnsi="宋体" w:cs="宋体"/>
          <w:color w:val="auto"/>
          <w:sz w:val="32"/>
          <w:szCs w:val="32"/>
        </w:rPr>
      </w:pPr>
      <w:r>
        <w:rPr>
          <w:rFonts w:hint="eastAsia" w:ascii="宋体" w:hAnsi="宋体" w:cs="宋体"/>
          <w:color w:val="auto"/>
          <w:sz w:val="32"/>
          <w:szCs w:val="32"/>
        </w:rPr>
        <w:t>第</w:t>
      </w:r>
      <w:r>
        <w:rPr>
          <w:rFonts w:ascii="宋体" w:hAnsi="宋体" w:cs="宋体"/>
          <w:color w:val="auto"/>
          <w:sz w:val="32"/>
          <w:szCs w:val="32"/>
        </w:rPr>
        <w:t xml:space="preserve">2章  </w:t>
      </w:r>
      <w:r>
        <w:rPr>
          <w:rFonts w:hint="eastAsia" w:ascii="宋体" w:hAnsi="宋体" w:cs="宋体"/>
          <w:color w:val="auto"/>
          <w:sz w:val="32"/>
          <w:szCs w:val="32"/>
        </w:rPr>
        <w:t>合同条款</w:t>
      </w:r>
    </w:p>
    <w:p>
      <w:pPr>
        <w:ind w:left="1984" w:leftChars="945" w:firstLine="1276" w:firstLineChars="399"/>
        <w:rPr>
          <w:rFonts w:ascii="宋体" w:hAnsi="宋体" w:cs="宋体"/>
          <w:color w:val="auto"/>
          <w:sz w:val="32"/>
          <w:szCs w:val="32"/>
        </w:rPr>
      </w:pPr>
      <w:r>
        <w:rPr>
          <w:rFonts w:hint="eastAsia" w:ascii="宋体" w:hAnsi="宋体" w:cs="宋体"/>
          <w:color w:val="auto"/>
          <w:sz w:val="32"/>
          <w:szCs w:val="32"/>
        </w:rPr>
        <w:t>第</w:t>
      </w:r>
      <w:r>
        <w:rPr>
          <w:rFonts w:ascii="宋体" w:hAnsi="宋体" w:cs="宋体"/>
          <w:color w:val="auto"/>
          <w:sz w:val="32"/>
          <w:szCs w:val="32"/>
        </w:rPr>
        <w:t xml:space="preserve">3章  </w:t>
      </w:r>
      <w:r>
        <w:rPr>
          <w:rFonts w:hint="eastAsia" w:ascii="宋体" w:hAnsi="宋体" w:cs="宋体"/>
          <w:color w:val="auto"/>
          <w:sz w:val="32"/>
          <w:szCs w:val="32"/>
        </w:rPr>
        <w:t>合同附件</w:t>
      </w:r>
    </w:p>
    <w:p>
      <w:pPr>
        <w:ind w:left="1984" w:leftChars="945" w:firstLine="2"/>
        <w:rPr>
          <w:rFonts w:ascii="宋体" w:hAnsi="宋体" w:cs="宋体"/>
          <w:color w:val="auto"/>
          <w:sz w:val="32"/>
          <w:szCs w:val="32"/>
        </w:rPr>
      </w:pPr>
      <w:r>
        <w:rPr>
          <w:rFonts w:hint="eastAsia" w:ascii="宋体" w:hAnsi="宋体" w:cs="宋体"/>
          <w:color w:val="auto"/>
          <w:sz w:val="32"/>
          <w:szCs w:val="32"/>
        </w:rPr>
        <w:t>第Ⅲ卷</w:t>
      </w:r>
      <w:r>
        <w:rPr>
          <w:rFonts w:ascii="宋体" w:hAnsi="宋体" w:cs="宋体"/>
          <w:color w:val="auto"/>
          <w:sz w:val="32"/>
          <w:szCs w:val="32"/>
        </w:rPr>
        <w:t xml:space="preserve">  </w:t>
      </w:r>
      <w:r>
        <w:rPr>
          <w:rFonts w:hint="eastAsia" w:ascii="宋体" w:hAnsi="宋体" w:cs="宋体"/>
          <w:color w:val="auto"/>
          <w:sz w:val="32"/>
          <w:szCs w:val="32"/>
        </w:rPr>
        <w:t>投标文件格式</w:t>
      </w:r>
    </w:p>
    <w:p>
      <w:pPr>
        <w:ind w:left="1984" w:leftChars="945" w:firstLine="2"/>
        <w:rPr>
          <w:rFonts w:ascii="宋体" w:hAnsi="宋体" w:cs="宋体"/>
          <w:color w:val="auto"/>
          <w:sz w:val="32"/>
          <w:szCs w:val="32"/>
        </w:rPr>
      </w:pPr>
      <w:r>
        <w:rPr>
          <w:rFonts w:hint="eastAsia" w:ascii="宋体" w:hAnsi="宋体" w:cs="宋体"/>
          <w:color w:val="auto"/>
          <w:sz w:val="32"/>
          <w:szCs w:val="32"/>
        </w:rPr>
        <w:t>第Ⅳ卷</w:t>
      </w:r>
      <w:r>
        <w:rPr>
          <w:rFonts w:ascii="宋体" w:hAnsi="宋体" w:cs="宋体"/>
          <w:color w:val="auto"/>
          <w:sz w:val="32"/>
          <w:szCs w:val="32"/>
        </w:rPr>
        <w:t xml:space="preserve">  </w:t>
      </w:r>
      <w:r>
        <w:rPr>
          <w:rFonts w:hint="eastAsia" w:ascii="宋体" w:hAnsi="宋体" w:cs="宋体"/>
          <w:color w:val="auto"/>
          <w:sz w:val="32"/>
          <w:szCs w:val="32"/>
        </w:rPr>
        <w:t>工程量清单</w:t>
      </w:r>
    </w:p>
    <w:p>
      <w:pPr>
        <w:ind w:left="1984" w:leftChars="945" w:firstLine="2"/>
        <w:rPr>
          <w:rFonts w:ascii="宋体" w:hAnsi="宋体" w:cs="宋体"/>
          <w:color w:val="auto"/>
        </w:rPr>
      </w:pPr>
      <w:r>
        <w:rPr>
          <w:rFonts w:hint="eastAsia" w:ascii="宋体" w:hAnsi="宋体" w:cs="宋体"/>
          <w:color w:val="auto"/>
          <w:sz w:val="32"/>
          <w:szCs w:val="32"/>
        </w:rPr>
        <w:t>第Ⅴ卷</w:t>
      </w:r>
      <w:r>
        <w:rPr>
          <w:rFonts w:ascii="宋体" w:hAnsi="宋体" w:cs="宋体"/>
          <w:color w:val="auto"/>
          <w:sz w:val="32"/>
          <w:szCs w:val="32"/>
        </w:rPr>
        <w:t xml:space="preserve">  </w:t>
      </w:r>
      <w:r>
        <w:rPr>
          <w:rFonts w:hint="eastAsia" w:ascii="宋体" w:hAnsi="宋体" w:cs="宋体"/>
          <w:color w:val="auto"/>
          <w:sz w:val="32"/>
          <w:szCs w:val="32"/>
        </w:rPr>
        <w:t>评标办法</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jc w:val="center"/>
        <w:rPr>
          <w:rFonts w:ascii="宋体" w:hAnsi="宋体" w:cs="宋体"/>
          <w:b/>
          <w:color w:val="auto"/>
          <w:sz w:val="52"/>
          <w:szCs w:val="52"/>
        </w:rPr>
      </w:pPr>
      <w:r>
        <w:rPr>
          <w:rFonts w:ascii="宋体" w:hAnsi="宋体" w:cs="宋体"/>
          <w:color w:val="auto"/>
        </w:rPr>
        <w:br w:type="page"/>
      </w:r>
      <w:r>
        <w:rPr>
          <w:rFonts w:hint="eastAsia" w:ascii="宋体" w:hAnsi="宋体" w:cs="宋体"/>
          <w:b/>
          <w:color w:val="auto"/>
          <w:sz w:val="52"/>
          <w:szCs w:val="52"/>
        </w:rPr>
        <w:t>第</w:t>
      </w:r>
      <w:r>
        <w:rPr>
          <w:rFonts w:ascii="宋体" w:hAnsi="宋体" w:cs="宋体"/>
          <w:b/>
          <w:color w:val="auto"/>
          <w:sz w:val="52"/>
          <w:szCs w:val="52"/>
        </w:rPr>
        <w:t xml:space="preserve"> </w:t>
      </w:r>
      <w:r>
        <w:rPr>
          <w:rFonts w:hint="eastAsia" w:ascii="宋体" w:hAnsi="宋体" w:cs="宋体"/>
          <w:b/>
          <w:color w:val="auto"/>
          <w:sz w:val="52"/>
          <w:szCs w:val="52"/>
        </w:rPr>
        <w:t>Ⅰ</w:t>
      </w:r>
      <w:r>
        <w:rPr>
          <w:rFonts w:ascii="宋体" w:hAnsi="宋体" w:cs="宋体"/>
          <w:b/>
          <w:color w:val="auto"/>
          <w:sz w:val="52"/>
          <w:szCs w:val="52"/>
        </w:rPr>
        <w:t xml:space="preserve"> </w:t>
      </w:r>
      <w:r>
        <w:rPr>
          <w:rFonts w:hint="eastAsia" w:ascii="宋体" w:hAnsi="宋体" w:cs="宋体"/>
          <w:b/>
          <w:color w:val="auto"/>
          <w:sz w:val="52"/>
          <w:szCs w:val="52"/>
        </w:rPr>
        <w:t>卷</w:t>
      </w:r>
      <w:r>
        <w:rPr>
          <w:rFonts w:ascii="宋体" w:hAnsi="宋体" w:cs="宋体"/>
          <w:b/>
          <w:color w:val="auto"/>
          <w:sz w:val="52"/>
          <w:szCs w:val="52"/>
        </w:rPr>
        <w:t xml:space="preserve">  </w:t>
      </w:r>
      <w:r>
        <w:rPr>
          <w:rFonts w:hint="eastAsia" w:ascii="宋体" w:hAnsi="宋体" w:cs="宋体"/>
          <w:b/>
          <w:color w:val="auto"/>
          <w:sz w:val="52"/>
          <w:szCs w:val="52"/>
        </w:rPr>
        <w:t>投</w:t>
      </w:r>
      <w:r>
        <w:rPr>
          <w:rFonts w:ascii="宋体" w:hAnsi="宋体" w:cs="宋体"/>
          <w:b/>
          <w:color w:val="auto"/>
          <w:sz w:val="52"/>
          <w:szCs w:val="52"/>
        </w:rPr>
        <w:t xml:space="preserve"> </w:t>
      </w:r>
      <w:r>
        <w:rPr>
          <w:rFonts w:hint="eastAsia" w:ascii="宋体" w:hAnsi="宋体" w:cs="宋体"/>
          <w:b/>
          <w:color w:val="auto"/>
          <w:sz w:val="52"/>
          <w:szCs w:val="52"/>
        </w:rPr>
        <w:t>标</w:t>
      </w:r>
      <w:r>
        <w:rPr>
          <w:rFonts w:ascii="宋体" w:hAnsi="宋体" w:cs="宋体"/>
          <w:b/>
          <w:color w:val="auto"/>
          <w:sz w:val="52"/>
          <w:szCs w:val="52"/>
        </w:rPr>
        <w:t xml:space="preserve"> </w:t>
      </w:r>
      <w:r>
        <w:rPr>
          <w:rFonts w:hint="eastAsia" w:ascii="宋体" w:hAnsi="宋体" w:cs="宋体"/>
          <w:b/>
          <w:color w:val="auto"/>
          <w:sz w:val="52"/>
          <w:szCs w:val="52"/>
        </w:rPr>
        <w:t>须</w:t>
      </w:r>
      <w:r>
        <w:rPr>
          <w:rFonts w:ascii="宋体" w:hAnsi="宋体" w:cs="宋体"/>
          <w:b/>
          <w:color w:val="auto"/>
          <w:sz w:val="52"/>
          <w:szCs w:val="52"/>
        </w:rPr>
        <w:t xml:space="preserve"> </w:t>
      </w:r>
      <w:r>
        <w:rPr>
          <w:rFonts w:hint="eastAsia" w:ascii="宋体" w:hAnsi="宋体" w:cs="宋体"/>
          <w:b/>
          <w:color w:val="auto"/>
          <w:sz w:val="52"/>
          <w:szCs w:val="52"/>
        </w:rPr>
        <w:t>知</w:t>
      </w:r>
    </w:p>
    <w:p>
      <w:pPr>
        <w:jc w:val="center"/>
        <w:rPr>
          <w:rFonts w:ascii="宋体" w:hAnsi="宋体" w:cs="宋体"/>
          <w:color w:val="auto"/>
        </w:rPr>
      </w:pPr>
    </w:p>
    <w:p>
      <w:pPr>
        <w:spacing w:line="360" w:lineRule="auto"/>
        <w:jc w:val="center"/>
        <w:rPr>
          <w:rFonts w:ascii="宋体" w:hAnsi="宋体" w:cs="宋体"/>
          <w:b/>
          <w:color w:val="auto"/>
          <w:szCs w:val="21"/>
        </w:rPr>
      </w:pPr>
      <w:r>
        <w:rPr>
          <w:rFonts w:ascii="宋体" w:hAnsi="宋体" w:cs="宋体"/>
          <w:color w:val="auto"/>
        </w:rPr>
        <w:t xml:space="preserve">  </w:t>
      </w:r>
      <w:r>
        <w:rPr>
          <w:rFonts w:hint="eastAsia" w:ascii="宋体" w:hAnsi="宋体" w:cs="宋体"/>
          <w:b/>
          <w:color w:val="auto"/>
          <w:sz w:val="36"/>
          <w:szCs w:val="36"/>
        </w:rPr>
        <w:t>目</w:t>
      </w:r>
      <w:r>
        <w:rPr>
          <w:rFonts w:ascii="宋体" w:hAnsi="宋体" w:cs="宋体"/>
          <w:b/>
          <w:color w:val="auto"/>
          <w:sz w:val="36"/>
          <w:szCs w:val="36"/>
        </w:rPr>
        <w:t xml:space="preserve">  </w:t>
      </w:r>
      <w:r>
        <w:rPr>
          <w:rFonts w:hint="eastAsia" w:ascii="宋体" w:hAnsi="宋体" w:cs="宋体"/>
          <w:b/>
          <w:color w:val="auto"/>
          <w:sz w:val="36"/>
          <w:szCs w:val="36"/>
        </w:rPr>
        <w:t>录</w:t>
      </w:r>
    </w:p>
    <w:p>
      <w:pPr>
        <w:pStyle w:val="17"/>
        <w:tabs>
          <w:tab w:val="right" w:leader="dot" w:pos="9015"/>
        </w:tabs>
        <w:spacing w:before="0" w:after="0" w:line="360" w:lineRule="auto"/>
        <w:rPr>
          <w:rFonts w:ascii="宋体" w:hAnsi="宋体" w:cs="宋体"/>
          <w:color w:val="auto"/>
          <w:sz w:val="21"/>
          <w:szCs w:val="21"/>
        </w:rPr>
      </w:pPr>
      <w:r>
        <w:rPr>
          <w:rFonts w:hint="eastAsia" w:ascii="宋体" w:hAnsi="宋体" w:cs="宋体"/>
          <w:bCs w:val="0"/>
          <w:caps w:val="0"/>
          <w:color w:val="auto"/>
          <w:sz w:val="21"/>
          <w:szCs w:val="21"/>
        </w:rPr>
        <w:fldChar w:fldCharType="begin"/>
      </w:r>
      <w:r>
        <w:rPr>
          <w:rFonts w:ascii="宋体" w:hAnsi="宋体" w:cs="宋体"/>
          <w:bCs w:val="0"/>
          <w:caps w:val="0"/>
          <w:color w:val="auto"/>
          <w:sz w:val="21"/>
          <w:szCs w:val="21"/>
        </w:rPr>
        <w:instrText xml:space="preserve"> TOC \o "1-2" \h \z \u </w:instrText>
      </w:r>
      <w:r>
        <w:rPr>
          <w:rFonts w:hint="eastAsia" w:ascii="宋体" w:hAnsi="宋体" w:cs="宋体"/>
          <w:bCs w:val="0"/>
          <w:caps w:val="0"/>
          <w:color w:val="auto"/>
          <w:sz w:val="21"/>
          <w:szCs w:val="21"/>
        </w:rPr>
        <w:fldChar w:fldCharType="separate"/>
      </w:r>
      <w:r>
        <w:rPr>
          <w:color w:val="auto"/>
        </w:rPr>
        <w:fldChar w:fldCharType="begin"/>
      </w:r>
      <w:r>
        <w:rPr>
          <w:color w:val="auto"/>
        </w:rPr>
        <w:instrText xml:space="preserve"> HYPERLINK \l "_Toc118" </w:instrText>
      </w:r>
      <w:r>
        <w:rPr>
          <w:color w:val="auto"/>
        </w:rPr>
        <w:fldChar w:fldCharType="separate"/>
      </w:r>
      <w:r>
        <w:rPr>
          <w:rFonts w:hint="eastAsia" w:ascii="宋体" w:hAnsi="宋体" w:cs="宋体"/>
          <w:color w:val="auto"/>
          <w:kern w:val="44"/>
          <w:sz w:val="21"/>
          <w:szCs w:val="21"/>
        </w:rPr>
        <w:t>第</w:t>
      </w:r>
      <w:r>
        <w:rPr>
          <w:rFonts w:ascii="宋体" w:hAnsi="宋体" w:cs="宋体"/>
          <w:color w:val="auto"/>
          <w:kern w:val="44"/>
          <w:sz w:val="21"/>
          <w:szCs w:val="21"/>
        </w:rPr>
        <w:t xml:space="preserve">  </w:t>
      </w:r>
      <w:r>
        <w:rPr>
          <w:rFonts w:hint="eastAsia" w:ascii="宋体" w:hAnsi="宋体" w:cs="宋体"/>
          <w:color w:val="auto"/>
          <w:kern w:val="44"/>
          <w:sz w:val="21"/>
          <w:szCs w:val="21"/>
        </w:rPr>
        <w:t>Ⅰ</w:t>
      </w:r>
      <w:r>
        <w:rPr>
          <w:rFonts w:ascii="宋体" w:hAnsi="宋体" w:cs="宋体"/>
          <w:color w:val="auto"/>
          <w:kern w:val="44"/>
          <w:sz w:val="21"/>
          <w:szCs w:val="21"/>
        </w:rPr>
        <w:t xml:space="preserve">  </w:t>
      </w:r>
      <w:r>
        <w:rPr>
          <w:rFonts w:hint="eastAsia" w:ascii="宋体" w:hAnsi="宋体" w:cs="宋体"/>
          <w:color w:val="auto"/>
          <w:kern w:val="44"/>
          <w:sz w:val="21"/>
          <w:szCs w:val="21"/>
        </w:rPr>
        <w:t>卷</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_Toc118 </w:instrText>
      </w:r>
      <w:r>
        <w:rPr>
          <w:rFonts w:hint="eastAsia" w:ascii="宋体" w:hAnsi="宋体" w:cs="宋体"/>
          <w:color w:val="auto"/>
          <w:sz w:val="21"/>
          <w:szCs w:val="21"/>
        </w:rPr>
        <w:fldChar w:fldCharType="separate"/>
      </w:r>
      <w:r>
        <w:rPr>
          <w:rFonts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"_Toc29105" </w:instrText>
      </w:r>
      <w:r>
        <w:rPr>
          <w:color w:val="auto"/>
        </w:rPr>
        <w:fldChar w:fldCharType="separate"/>
      </w:r>
      <w:r>
        <w:rPr>
          <w:rFonts w:hint="eastAsia" w:ascii="宋体" w:hAnsi="宋体" w:cs="宋体"/>
          <w:color w:val="auto"/>
          <w:kern w:val="44"/>
          <w:sz w:val="21"/>
          <w:szCs w:val="21"/>
        </w:rPr>
        <w:t>投</w:t>
      </w:r>
      <w:r>
        <w:rPr>
          <w:rFonts w:ascii="宋体" w:hAnsi="宋体" w:cs="宋体"/>
          <w:color w:val="auto"/>
          <w:kern w:val="44"/>
          <w:sz w:val="21"/>
          <w:szCs w:val="21"/>
        </w:rPr>
        <w:t xml:space="preserve"> </w:t>
      </w:r>
      <w:r>
        <w:rPr>
          <w:rFonts w:hint="eastAsia" w:ascii="宋体" w:hAnsi="宋体" w:cs="宋体"/>
          <w:color w:val="auto"/>
          <w:kern w:val="44"/>
          <w:sz w:val="21"/>
          <w:szCs w:val="21"/>
        </w:rPr>
        <w:t>标</w:t>
      </w:r>
      <w:r>
        <w:rPr>
          <w:rFonts w:ascii="宋体" w:hAnsi="宋体" w:cs="宋体"/>
          <w:color w:val="auto"/>
          <w:kern w:val="44"/>
          <w:sz w:val="21"/>
          <w:szCs w:val="21"/>
        </w:rPr>
        <w:t xml:space="preserve"> </w:t>
      </w:r>
      <w:r>
        <w:rPr>
          <w:rFonts w:hint="eastAsia" w:ascii="宋体" w:hAnsi="宋体" w:cs="宋体"/>
          <w:color w:val="auto"/>
          <w:kern w:val="44"/>
          <w:sz w:val="21"/>
          <w:szCs w:val="21"/>
        </w:rPr>
        <w:t>须</w:t>
      </w:r>
      <w:r>
        <w:rPr>
          <w:rFonts w:ascii="宋体" w:hAnsi="宋体" w:cs="宋体"/>
          <w:color w:val="auto"/>
          <w:kern w:val="44"/>
          <w:sz w:val="21"/>
          <w:szCs w:val="21"/>
        </w:rPr>
        <w:t xml:space="preserve"> </w:t>
      </w:r>
      <w:r>
        <w:rPr>
          <w:rFonts w:hint="eastAsia" w:ascii="宋体" w:hAnsi="宋体" w:cs="宋体"/>
          <w:color w:val="auto"/>
          <w:kern w:val="44"/>
          <w:sz w:val="21"/>
          <w:szCs w:val="21"/>
        </w:rPr>
        <w:t>知</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_Toc29105 </w:instrText>
      </w:r>
      <w:r>
        <w:rPr>
          <w:rFonts w:hint="eastAsia" w:ascii="宋体" w:hAnsi="宋体" w:cs="宋体"/>
          <w:color w:val="auto"/>
          <w:sz w:val="21"/>
          <w:szCs w:val="21"/>
        </w:rPr>
        <w:fldChar w:fldCharType="separate"/>
      </w:r>
      <w:r>
        <w:rPr>
          <w:rFonts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"_Toc29137" </w:instrText>
      </w:r>
      <w:r>
        <w:rPr>
          <w:color w:val="auto"/>
        </w:rPr>
        <w:fldChar w:fldCharType="separate"/>
      </w:r>
      <w:r>
        <w:rPr>
          <w:rFonts w:ascii="宋体" w:hAnsi="宋体" w:cs="宋体"/>
          <w:bCs/>
          <w:color w:val="auto"/>
          <w:sz w:val="21"/>
          <w:szCs w:val="21"/>
        </w:rPr>
        <w:t xml:space="preserve">1. </w:t>
      </w:r>
      <w:r>
        <w:rPr>
          <w:rFonts w:hint="eastAsia" w:ascii="宋体" w:hAnsi="宋体" w:cs="宋体"/>
          <w:bCs/>
          <w:color w:val="auto"/>
          <w:sz w:val="21"/>
          <w:szCs w:val="21"/>
        </w:rPr>
        <w:t>总则</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_Toc29137 </w:instrText>
      </w:r>
      <w:r>
        <w:rPr>
          <w:rFonts w:hint="eastAsia" w:ascii="宋体" w:hAnsi="宋体" w:cs="宋体"/>
          <w:color w:val="auto"/>
          <w:sz w:val="21"/>
          <w:szCs w:val="21"/>
        </w:rPr>
        <w:fldChar w:fldCharType="separate"/>
      </w:r>
      <w:r>
        <w:rPr>
          <w:rFonts w:ascii="宋体" w:hAnsi="宋体" w:cs="宋体"/>
          <w:color w:val="auto"/>
          <w:sz w:val="21"/>
          <w:szCs w:val="21"/>
        </w:rPr>
        <w:t>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"_Toc7150" </w:instrText>
      </w:r>
      <w:r>
        <w:rPr>
          <w:color w:val="auto"/>
        </w:rPr>
        <w:fldChar w:fldCharType="separate"/>
      </w:r>
      <w:r>
        <w:rPr>
          <w:rFonts w:ascii="宋体" w:hAnsi="宋体" w:cs="宋体"/>
          <w:bCs/>
          <w:color w:val="auto"/>
          <w:sz w:val="21"/>
          <w:szCs w:val="21"/>
        </w:rPr>
        <w:t xml:space="preserve">2. </w:t>
      </w:r>
      <w:r>
        <w:rPr>
          <w:rFonts w:hint="eastAsia" w:ascii="宋体" w:hAnsi="宋体" w:cs="宋体"/>
          <w:bCs/>
          <w:color w:val="auto"/>
          <w:sz w:val="21"/>
          <w:szCs w:val="21"/>
        </w:rPr>
        <w:t>招标文件</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_Toc7150 </w:instrText>
      </w:r>
      <w:r>
        <w:rPr>
          <w:rFonts w:hint="eastAsia" w:ascii="宋体" w:hAnsi="宋体" w:cs="宋体"/>
          <w:color w:val="auto"/>
          <w:sz w:val="21"/>
          <w:szCs w:val="21"/>
        </w:rPr>
        <w:fldChar w:fldCharType="separate"/>
      </w:r>
      <w:r>
        <w:rPr>
          <w:rFonts w:ascii="宋体" w:hAnsi="宋体" w:cs="宋体"/>
          <w:color w:val="auto"/>
          <w:sz w:val="21"/>
          <w:szCs w:val="21"/>
        </w:rPr>
        <w:t>10</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"_Toc27724" </w:instrText>
      </w:r>
      <w:r>
        <w:rPr>
          <w:color w:val="auto"/>
        </w:rPr>
        <w:fldChar w:fldCharType="separate"/>
      </w:r>
      <w:r>
        <w:rPr>
          <w:rFonts w:ascii="宋体" w:hAnsi="宋体" w:cs="宋体"/>
          <w:bCs/>
          <w:color w:val="auto"/>
          <w:sz w:val="21"/>
          <w:szCs w:val="21"/>
        </w:rPr>
        <w:t xml:space="preserve">3. </w:t>
      </w:r>
      <w:r>
        <w:rPr>
          <w:rFonts w:hint="eastAsia" w:ascii="宋体" w:hAnsi="宋体" w:cs="宋体"/>
          <w:bCs/>
          <w:color w:val="auto"/>
          <w:sz w:val="21"/>
          <w:szCs w:val="21"/>
        </w:rPr>
        <w:t>投标文件的编制</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_Toc27724 </w:instrText>
      </w:r>
      <w:r>
        <w:rPr>
          <w:rFonts w:hint="eastAsia" w:ascii="宋体" w:hAnsi="宋体" w:cs="宋体"/>
          <w:color w:val="auto"/>
          <w:sz w:val="21"/>
          <w:szCs w:val="21"/>
        </w:rPr>
        <w:fldChar w:fldCharType="separate"/>
      </w:r>
      <w:r>
        <w:rPr>
          <w:rFonts w:ascii="宋体" w:hAnsi="宋体" w:cs="宋体"/>
          <w:color w:val="auto"/>
          <w:sz w:val="21"/>
          <w:szCs w:val="21"/>
        </w:rPr>
        <w:t>11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"_Toc25727" </w:instrText>
      </w:r>
      <w:r>
        <w:rPr>
          <w:color w:val="auto"/>
        </w:rPr>
        <w:fldChar w:fldCharType="separate"/>
      </w:r>
      <w:r>
        <w:rPr>
          <w:rFonts w:ascii="宋体" w:hAnsi="宋体" w:cs="宋体"/>
          <w:bCs/>
          <w:color w:val="auto"/>
          <w:sz w:val="21"/>
          <w:szCs w:val="21"/>
        </w:rPr>
        <w:t xml:space="preserve">4. </w:t>
      </w:r>
      <w:r>
        <w:rPr>
          <w:rFonts w:hint="eastAsia" w:ascii="宋体" w:hAnsi="宋体" w:cs="宋体"/>
          <w:bCs/>
          <w:color w:val="auto"/>
          <w:sz w:val="21"/>
          <w:szCs w:val="21"/>
        </w:rPr>
        <w:t>投标书的递交</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_Toc25727 </w:instrText>
      </w:r>
      <w:r>
        <w:rPr>
          <w:rFonts w:hint="eastAsia" w:ascii="宋体" w:hAnsi="宋体" w:cs="宋体"/>
          <w:color w:val="auto"/>
          <w:sz w:val="21"/>
          <w:szCs w:val="21"/>
        </w:rPr>
        <w:fldChar w:fldCharType="separate"/>
      </w:r>
      <w:r>
        <w:rPr>
          <w:rFonts w:ascii="宋体" w:hAnsi="宋体" w:cs="宋体"/>
          <w:color w:val="auto"/>
          <w:sz w:val="21"/>
          <w:szCs w:val="21"/>
        </w:rPr>
        <w:t>14</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"_Toc32689" </w:instrText>
      </w:r>
      <w:r>
        <w:rPr>
          <w:color w:val="auto"/>
        </w:rPr>
        <w:fldChar w:fldCharType="separate"/>
      </w:r>
      <w:r>
        <w:rPr>
          <w:rFonts w:ascii="宋体" w:hAnsi="宋体" w:cs="宋体"/>
          <w:bCs/>
          <w:color w:val="auto"/>
          <w:sz w:val="21"/>
          <w:szCs w:val="21"/>
        </w:rPr>
        <w:t xml:space="preserve">5. </w:t>
      </w:r>
      <w:r>
        <w:rPr>
          <w:rFonts w:hint="eastAsia" w:ascii="宋体" w:hAnsi="宋体" w:cs="宋体"/>
          <w:bCs/>
          <w:color w:val="auto"/>
          <w:sz w:val="21"/>
          <w:szCs w:val="21"/>
        </w:rPr>
        <w:t>开标与评标</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_Toc32689 </w:instrText>
      </w:r>
      <w:r>
        <w:rPr>
          <w:rFonts w:hint="eastAsia" w:ascii="宋体" w:hAnsi="宋体" w:cs="宋体"/>
          <w:color w:val="auto"/>
          <w:sz w:val="21"/>
          <w:szCs w:val="21"/>
        </w:rPr>
        <w:fldChar w:fldCharType="separate"/>
      </w:r>
      <w:r>
        <w:rPr>
          <w:rFonts w:ascii="宋体" w:hAnsi="宋体" w:cs="宋体"/>
          <w:color w:val="auto"/>
          <w:sz w:val="21"/>
          <w:szCs w:val="21"/>
        </w:rPr>
        <w:t>15</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"_Toc9129" </w:instrText>
      </w:r>
      <w:r>
        <w:rPr>
          <w:color w:val="auto"/>
        </w:rPr>
        <w:fldChar w:fldCharType="separate"/>
      </w:r>
      <w:r>
        <w:rPr>
          <w:rFonts w:ascii="宋体" w:hAnsi="宋体" w:cs="宋体"/>
          <w:bCs/>
          <w:color w:val="auto"/>
          <w:sz w:val="21"/>
          <w:szCs w:val="21"/>
        </w:rPr>
        <w:t xml:space="preserve">6. </w:t>
      </w:r>
      <w:r>
        <w:rPr>
          <w:rFonts w:hint="eastAsia" w:ascii="宋体" w:hAnsi="宋体" w:cs="宋体"/>
          <w:bCs/>
          <w:color w:val="auto"/>
          <w:sz w:val="21"/>
          <w:szCs w:val="21"/>
        </w:rPr>
        <w:t>授予合同</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_Toc9129 </w:instrText>
      </w:r>
      <w:r>
        <w:rPr>
          <w:rFonts w:hint="eastAsia" w:ascii="宋体" w:hAnsi="宋体" w:cs="宋体"/>
          <w:color w:val="auto"/>
          <w:sz w:val="21"/>
          <w:szCs w:val="21"/>
        </w:rPr>
        <w:fldChar w:fldCharType="separate"/>
      </w:r>
      <w:r>
        <w:rPr>
          <w:rFonts w:ascii="宋体" w:hAnsi="宋体" w:cs="宋体"/>
          <w:color w:val="auto"/>
          <w:sz w:val="21"/>
          <w:szCs w:val="21"/>
        </w:rPr>
        <w:t>17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"_Toc5194" </w:instrText>
      </w:r>
      <w:r>
        <w:rPr>
          <w:color w:val="auto"/>
        </w:rPr>
        <w:fldChar w:fldCharType="separate"/>
      </w:r>
      <w:r>
        <w:rPr>
          <w:rFonts w:hint="eastAsia" w:ascii="宋体" w:hAnsi="宋体" w:cs="宋体"/>
          <w:color w:val="auto"/>
          <w:kern w:val="44"/>
          <w:sz w:val="21"/>
          <w:szCs w:val="21"/>
        </w:rPr>
        <w:t>第Ⅱ卷</w:t>
      </w:r>
      <w:r>
        <w:rPr>
          <w:rFonts w:ascii="宋体" w:hAnsi="宋体" w:cs="宋体"/>
          <w:color w:val="auto"/>
          <w:kern w:val="44"/>
          <w:sz w:val="21"/>
          <w:szCs w:val="21"/>
        </w:rPr>
        <w:t xml:space="preserve">  </w:t>
      </w:r>
      <w:r>
        <w:rPr>
          <w:rFonts w:hint="eastAsia" w:ascii="宋体" w:hAnsi="宋体" w:cs="宋体"/>
          <w:color w:val="auto"/>
          <w:kern w:val="44"/>
          <w:sz w:val="21"/>
          <w:szCs w:val="21"/>
        </w:rPr>
        <w:t>合同条件</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_Toc5194 </w:instrText>
      </w:r>
      <w:r>
        <w:rPr>
          <w:rFonts w:hint="eastAsia" w:ascii="宋体" w:hAnsi="宋体" w:cs="宋体"/>
          <w:color w:val="auto"/>
          <w:sz w:val="21"/>
          <w:szCs w:val="21"/>
        </w:rPr>
        <w:fldChar w:fldCharType="separate"/>
      </w:r>
      <w:r>
        <w:rPr>
          <w:rFonts w:ascii="宋体" w:hAnsi="宋体" w:cs="宋体"/>
          <w:color w:val="auto"/>
          <w:sz w:val="21"/>
          <w:szCs w:val="21"/>
        </w:rPr>
        <w:t>20</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"_Toc13632" </w:instrText>
      </w:r>
      <w:r>
        <w:rPr>
          <w:color w:val="auto"/>
        </w:rPr>
        <w:fldChar w:fldCharType="separate"/>
      </w:r>
      <w:r>
        <w:rPr>
          <w:rFonts w:hint="eastAsia" w:ascii="宋体" w:hAnsi="宋体" w:cs="宋体"/>
          <w:color w:val="auto"/>
          <w:kern w:val="44"/>
          <w:sz w:val="21"/>
          <w:szCs w:val="21"/>
        </w:rPr>
        <w:t>第Ⅲ卷</w:t>
      </w:r>
      <w:r>
        <w:rPr>
          <w:rFonts w:ascii="宋体" w:hAnsi="宋体" w:cs="宋体"/>
          <w:color w:val="auto"/>
          <w:kern w:val="44"/>
          <w:sz w:val="21"/>
          <w:szCs w:val="21"/>
        </w:rPr>
        <w:t xml:space="preserve">  </w:t>
      </w:r>
      <w:r>
        <w:rPr>
          <w:rFonts w:hint="eastAsia" w:ascii="宋体" w:hAnsi="宋体" w:cs="宋体"/>
          <w:color w:val="auto"/>
          <w:kern w:val="44"/>
          <w:sz w:val="21"/>
          <w:szCs w:val="21"/>
        </w:rPr>
        <w:t>投标文件格式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_Toc13632 </w:instrText>
      </w:r>
      <w:r>
        <w:rPr>
          <w:rFonts w:hint="eastAsia" w:ascii="宋体" w:hAnsi="宋体" w:cs="宋体"/>
          <w:color w:val="auto"/>
          <w:sz w:val="21"/>
          <w:szCs w:val="21"/>
        </w:rPr>
        <w:fldChar w:fldCharType="separate"/>
      </w:r>
      <w:r>
        <w:rPr>
          <w:rFonts w:ascii="宋体" w:hAnsi="宋体" w:cs="宋体"/>
          <w:color w:val="auto"/>
          <w:sz w:val="21"/>
          <w:szCs w:val="21"/>
        </w:rPr>
        <w:t>21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"_Toc8319" </w:instrText>
      </w:r>
      <w:r>
        <w:rPr>
          <w:color w:val="auto"/>
        </w:rPr>
        <w:fldChar w:fldCharType="separate"/>
      </w:r>
      <w:r>
        <w:rPr>
          <w:rFonts w:ascii="宋体" w:hAnsi="宋体" w:cs="宋体"/>
          <w:color w:val="auto"/>
          <w:sz w:val="21"/>
          <w:szCs w:val="21"/>
        </w:rPr>
        <w:t xml:space="preserve">0 </w:t>
      </w:r>
      <w:r>
        <w:rPr>
          <w:rFonts w:hint="eastAsia" w:ascii="宋体" w:hAnsi="宋体" w:cs="宋体"/>
          <w:color w:val="auto"/>
          <w:sz w:val="21"/>
          <w:szCs w:val="21"/>
        </w:rPr>
        <w:t>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_Toc8319 </w:instrText>
      </w:r>
      <w:r>
        <w:rPr>
          <w:rFonts w:hint="eastAsia" w:ascii="宋体" w:hAnsi="宋体" w:cs="宋体"/>
          <w:color w:val="auto"/>
          <w:sz w:val="21"/>
          <w:szCs w:val="21"/>
        </w:rPr>
        <w:fldChar w:fldCharType="separate"/>
      </w:r>
      <w:r>
        <w:rPr>
          <w:rFonts w:ascii="宋体" w:hAnsi="宋体" w:cs="宋体"/>
          <w:color w:val="auto"/>
          <w:sz w:val="21"/>
          <w:szCs w:val="21"/>
        </w:rPr>
        <w:t>22</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"_Toc16459" </w:instrText>
      </w:r>
      <w:r>
        <w:rPr>
          <w:color w:val="auto"/>
        </w:rPr>
        <w:fldChar w:fldCharType="separate"/>
      </w:r>
      <w:r>
        <w:rPr>
          <w:rFonts w:ascii="宋体" w:hAnsi="宋体" w:cs="宋体"/>
          <w:color w:val="auto"/>
          <w:sz w:val="21"/>
          <w:szCs w:val="21"/>
        </w:rPr>
        <w:t>0-1资格审查评审索引表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_Toc16459 </w:instrText>
      </w:r>
      <w:r>
        <w:rPr>
          <w:rFonts w:hint="eastAsia" w:ascii="宋体" w:hAnsi="宋体" w:cs="宋体"/>
          <w:color w:val="auto"/>
          <w:sz w:val="21"/>
          <w:szCs w:val="21"/>
        </w:rPr>
        <w:fldChar w:fldCharType="separate"/>
      </w:r>
      <w:r>
        <w:rPr>
          <w:rFonts w:ascii="宋体" w:hAnsi="宋体" w:cs="宋体"/>
          <w:color w:val="auto"/>
          <w:sz w:val="21"/>
          <w:szCs w:val="21"/>
        </w:rPr>
        <w:t>22</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"_Toc6269" </w:instrText>
      </w:r>
      <w:r>
        <w:rPr>
          <w:color w:val="auto"/>
        </w:rPr>
        <w:fldChar w:fldCharType="separate"/>
      </w:r>
      <w:r>
        <w:rPr>
          <w:rFonts w:ascii="宋体" w:hAnsi="宋体" w:cs="宋体"/>
          <w:color w:val="auto"/>
          <w:sz w:val="21"/>
          <w:szCs w:val="21"/>
        </w:rPr>
        <w:t>0-2技术标有效性审查评审索引表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_Toc6269 </w:instrText>
      </w:r>
      <w:r>
        <w:rPr>
          <w:rFonts w:hint="eastAsia" w:ascii="宋体" w:hAnsi="宋体" w:cs="宋体"/>
          <w:color w:val="auto"/>
          <w:sz w:val="21"/>
          <w:szCs w:val="21"/>
        </w:rPr>
        <w:fldChar w:fldCharType="separate"/>
      </w:r>
      <w:r>
        <w:rPr>
          <w:rFonts w:ascii="宋体" w:hAnsi="宋体" w:cs="宋体"/>
          <w:color w:val="auto"/>
          <w:sz w:val="21"/>
          <w:szCs w:val="21"/>
        </w:rPr>
        <w:t>22</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"_Toc5274" </w:instrText>
      </w:r>
      <w:r>
        <w:rPr>
          <w:color w:val="auto"/>
        </w:rPr>
        <w:fldChar w:fldCharType="separate"/>
      </w:r>
      <w:r>
        <w:rPr>
          <w:rFonts w:ascii="宋体" w:hAnsi="宋体" w:cs="宋体"/>
          <w:color w:val="auto"/>
          <w:sz w:val="21"/>
          <w:szCs w:val="21"/>
        </w:rPr>
        <w:t>0-3经济标有效性审查评审索引表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_Toc5274 </w:instrText>
      </w:r>
      <w:r>
        <w:rPr>
          <w:rFonts w:hint="eastAsia" w:ascii="宋体" w:hAnsi="宋体" w:cs="宋体"/>
          <w:color w:val="auto"/>
          <w:sz w:val="21"/>
          <w:szCs w:val="21"/>
        </w:rPr>
        <w:fldChar w:fldCharType="separate"/>
      </w:r>
      <w:r>
        <w:rPr>
          <w:rFonts w:ascii="宋体" w:hAnsi="宋体" w:cs="宋体"/>
          <w:color w:val="auto"/>
          <w:sz w:val="21"/>
          <w:szCs w:val="21"/>
        </w:rPr>
        <w:t>23</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"_Toc20441" </w:instrText>
      </w:r>
      <w:r>
        <w:rPr>
          <w:color w:val="auto"/>
        </w:rPr>
        <w:fldChar w:fldCharType="separate"/>
      </w:r>
      <w:r>
        <w:rPr>
          <w:rFonts w:ascii="宋体" w:hAnsi="宋体" w:cs="宋体"/>
          <w:color w:val="auto"/>
          <w:sz w:val="21"/>
          <w:szCs w:val="21"/>
        </w:rPr>
        <w:t>0-4技术标详细审查评审索引表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_Toc20441 </w:instrText>
      </w:r>
      <w:r>
        <w:rPr>
          <w:rFonts w:hint="eastAsia" w:ascii="宋体" w:hAnsi="宋体" w:cs="宋体"/>
          <w:color w:val="auto"/>
          <w:sz w:val="21"/>
          <w:szCs w:val="21"/>
        </w:rPr>
        <w:fldChar w:fldCharType="separate"/>
      </w:r>
      <w:r>
        <w:rPr>
          <w:rFonts w:ascii="宋体" w:hAnsi="宋体" w:cs="宋体"/>
          <w:color w:val="auto"/>
          <w:sz w:val="21"/>
          <w:szCs w:val="21"/>
        </w:rPr>
        <w:t>23</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"_Toc5708" </w:instrText>
      </w:r>
      <w:r>
        <w:rPr>
          <w:color w:val="auto"/>
        </w:rPr>
        <w:fldChar w:fldCharType="separate"/>
      </w:r>
      <w:r>
        <w:rPr>
          <w:rFonts w:ascii="宋体" w:hAnsi="宋体" w:cs="宋体"/>
          <w:bCs/>
          <w:color w:val="auto"/>
          <w:sz w:val="21"/>
          <w:szCs w:val="21"/>
        </w:rPr>
        <w:t xml:space="preserve">1  </w:t>
      </w:r>
      <w:r>
        <w:rPr>
          <w:rFonts w:hint="eastAsia" w:ascii="宋体" w:hAnsi="宋体" w:cs="宋体"/>
          <w:bCs/>
          <w:color w:val="auto"/>
          <w:sz w:val="21"/>
          <w:szCs w:val="21"/>
        </w:rPr>
        <w:t>投标函格式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_Toc5708 </w:instrText>
      </w:r>
      <w:r>
        <w:rPr>
          <w:rFonts w:hint="eastAsia" w:ascii="宋体" w:hAnsi="宋体" w:cs="宋体"/>
          <w:color w:val="auto"/>
          <w:sz w:val="21"/>
          <w:szCs w:val="21"/>
        </w:rPr>
        <w:fldChar w:fldCharType="separate"/>
      </w:r>
      <w:r>
        <w:rPr>
          <w:rFonts w:ascii="宋体" w:hAnsi="宋体" w:cs="宋体"/>
          <w:color w:val="auto"/>
          <w:sz w:val="21"/>
          <w:szCs w:val="21"/>
        </w:rPr>
        <w:t>24</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"_Toc1424" </w:instrText>
      </w:r>
      <w:r>
        <w:rPr>
          <w:color w:val="auto"/>
        </w:rPr>
        <w:fldChar w:fldCharType="separate"/>
      </w:r>
      <w:r>
        <w:rPr>
          <w:rFonts w:ascii="宋体" w:hAnsi="宋体" w:cs="宋体"/>
          <w:bCs/>
          <w:color w:val="auto"/>
          <w:sz w:val="21"/>
          <w:szCs w:val="21"/>
        </w:rPr>
        <w:t xml:space="preserve">2  </w:t>
      </w:r>
      <w:r>
        <w:rPr>
          <w:rFonts w:hint="eastAsia" w:ascii="宋体" w:hAnsi="宋体" w:cs="宋体"/>
          <w:bCs/>
          <w:color w:val="auto"/>
          <w:sz w:val="21"/>
          <w:szCs w:val="21"/>
        </w:rPr>
        <w:t>投标函附录格式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_Toc1424 </w:instrText>
      </w:r>
      <w:r>
        <w:rPr>
          <w:rFonts w:hint="eastAsia" w:ascii="宋体" w:hAnsi="宋体" w:cs="宋体"/>
          <w:color w:val="auto"/>
          <w:sz w:val="21"/>
          <w:szCs w:val="21"/>
        </w:rPr>
        <w:fldChar w:fldCharType="separate"/>
      </w:r>
      <w:r>
        <w:rPr>
          <w:rFonts w:ascii="宋体" w:hAnsi="宋体" w:cs="宋体"/>
          <w:color w:val="auto"/>
          <w:sz w:val="21"/>
          <w:szCs w:val="21"/>
        </w:rPr>
        <w:t>26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"_Toc11869" </w:instrText>
      </w:r>
      <w:r>
        <w:rPr>
          <w:color w:val="auto"/>
        </w:rPr>
        <w:fldChar w:fldCharType="separate"/>
      </w:r>
      <w:r>
        <w:rPr>
          <w:rFonts w:ascii="宋体" w:hAnsi="宋体" w:cs="宋体"/>
          <w:bCs/>
          <w:color w:val="auto"/>
          <w:sz w:val="21"/>
          <w:szCs w:val="21"/>
        </w:rPr>
        <w:t xml:space="preserve">3  </w:t>
      </w:r>
      <w:r>
        <w:rPr>
          <w:rFonts w:hint="eastAsia" w:ascii="宋体" w:hAnsi="宋体" w:cs="宋体"/>
          <w:bCs/>
          <w:color w:val="auto"/>
          <w:sz w:val="21"/>
          <w:szCs w:val="21"/>
        </w:rPr>
        <w:t>法定代表人证明书格式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_Toc11869 </w:instrText>
      </w:r>
      <w:r>
        <w:rPr>
          <w:rFonts w:hint="eastAsia" w:ascii="宋体" w:hAnsi="宋体" w:cs="宋体"/>
          <w:color w:val="auto"/>
          <w:sz w:val="21"/>
          <w:szCs w:val="21"/>
        </w:rPr>
        <w:fldChar w:fldCharType="separate"/>
      </w:r>
      <w:r>
        <w:rPr>
          <w:rFonts w:ascii="宋体" w:hAnsi="宋体" w:cs="宋体"/>
          <w:color w:val="auto"/>
          <w:sz w:val="21"/>
          <w:szCs w:val="21"/>
        </w:rPr>
        <w:t>27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"_Toc21722" </w:instrText>
      </w:r>
      <w:r>
        <w:rPr>
          <w:color w:val="auto"/>
        </w:rPr>
        <w:fldChar w:fldCharType="separate"/>
      </w:r>
      <w:r>
        <w:rPr>
          <w:rFonts w:ascii="宋体" w:hAnsi="宋体" w:cs="宋体"/>
          <w:bCs/>
          <w:color w:val="auto"/>
          <w:sz w:val="21"/>
          <w:szCs w:val="21"/>
        </w:rPr>
        <w:t xml:space="preserve">4  </w:t>
      </w:r>
      <w:r>
        <w:rPr>
          <w:rFonts w:hint="eastAsia" w:ascii="宋体" w:hAnsi="宋体" w:cs="宋体"/>
          <w:bCs/>
          <w:color w:val="auto"/>
          <w:sz w:val="21"/>
          <w:szCs w:val="21"/>
        </w:rPr>
        <w:t>授权书格式</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_Toc21722 </w:instrText>
      </w:r>
      <w:r>
        <w:rPr>
          <w:rFonts w:hint="eastAsia" w:ascii="宋体" w:hAnsi="宋体" w:cs="宋体"/>
          <w:color w:val="auto"/>
          <w:sz w:val="21"/>
          <w:szCs w:val="21"/>
        </w:rPr>
        <w:fldChar w:fldCharType="separate"/>
      </w:r>
      <w:r>
        <w:rPr>
          <w:rFonts w:ascii="宋体" w:hAnsi="宋体" w:cs="宋体"/>
          <w:color w:val="auto"/>
          <w:sz w:val="21"/>
          <w:szCs w:val="21"/>
        </w:rPr>
        <w:t>28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"_Toc12457" </w:instrText>
      </w:r>
      <w:r>
        <w:rPr>
          <w:color w:val="auto"/>
        </w:rPr>
        <w:fldChar w:fldCharType="separate"/>
      </w:r>
      <w:r>
        <w:rPr>
          <w:rFonts w:ascii="宋体" w:hAnsi="宋体" w:cs="宋体"/>
          <w:bCs/>
          <w:color w:val="auto"/>
          <w:sz w:val="21"/>
          <w:szCs w:val="21"/>
        </w:rPr>
        <w:t xml:space="preserve">5  </w:t>
      </w:r>
      <w:r>
        <w:rPr>
          <w:rFonts w:hint="eastAsia" w:ascii="宋体" w:hAnsi="宋体" w:cs="宋体"/>
          <w:bCs/>
          <w:color w:val="auto"/>
          <w:sz w:val="21"/>
          <w:szCs w:val="21"/>
        </w:rPr>
        <w:t>投标人简介</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_Toc12457 </w:instrText>
      </w:r>
      <w:r>
        <w:rPr>
          <w:rFonts w:hint="eastAsia" w:ascii="宋体" w:hAnsi="宋体" w:cs="宋体"/>
          <w:color w:val="auto"/>
          <w:sz w:val="21"/>
          <w:szCs w:val="21"/>
        </w:rPr>
        <w:fldChar w:fldCharType="separate"/>
      </w:r>
      <w:r>
        <w:rPr>
          <w:rFonts w:ascii="宋体" w:hAnsi="宋体" w:cs="宋体"/>
          <w:color w:val="auto"/>
          <w:sz w:val="21"/>
          <w:szCs w:val="21"/>
        </w:rPr>
        <w:t>29</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"_Toc22941" </w:instrText>
      </w:r>
      <w:r>
        <w:rPr>
          <w:color w:val="auto"/>
        </w:rPr>
        <w:fldChar w:fldCharType="separate"/>
      </w:r>
      <w:r>
        <w:rPr>
          <w:rFonts w:ascii="宋体" w:hAnsi="宋体" w:cs="宋体"/>
          <w:bCs/>
          <w:color w:val="auto"/>
          <w:sz w:val="21"/>
          <w:szCs w:val="21"/>
        </w:rPr>
        <w:t xml:space="preserve">6  </w:t>
      </w:r>
      <w:r>
        <w:rPr>
          <w:rFonts w:hint="eastAsia" w:ascii="宋体" w:hAnsi="宋体" w:cs="宋体"/>
          <w:bCs/>
          <w:color w:val="auto"/>
          <w:sz w:val="21"/>
          <w:szCs w:val="21"/>
        </w:rPr>
        <w:t>本项目组织机构和拟派人员</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_Toc22941 </w:instrText>
      </w:r>
      <w:r>
        <w:rPr>
          <w:rFonts w:hint="eastAsia" w:ascii="宋体" w:hAnsi="宋体" w:cs="宋体"/>
          <w:color w:val="auto"/>
          <w:sz w:val="21"/>
          <w:szCs w:val="21"/>
        </w:rPr>
        <w:fldChar w:fldCharType="separate"/>
      </w:r>
      <w:r>
        <w:rPr>
          <w:rFonts w:ascii="宋体" w:hAnsi="宋体" w:cs="宋体"/>
          <w:color w:val="auto"/>
          <w:sz w:val="21"/>
          <w:szCs w:val="21"/>
        </w:rPr>
        <w:t>31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"_Toc27403" </w:instrText>
      </w:r>
      <w:r>
        <w:rPr>
          <w:color w:val="auto"/>
        </w:rPr>
        <w:fldChar w:fldCharType="separate"/>
      </w:r>
      <w:r>
        <w:rPr>
          <w:rFonts w:ascii="宋体" w:hAnsi="宋体" w:cs="宋体"/>
          <w:bCs/>
          <w:color w:val="auto"/>
          <w:sz w:val="21"/>
          <w:szCs w:val="21"/>
        </w:rPr>
        <w:t xml:space="preserve">7  </w:t>
      </w:r>
      <w:r>
        <w:rPr>
          <w:rFonts w:hint="eastAsia" w:ascii="宋体" w:hAnsi="宋体" w:cs="宋体"/>
          <w:bCs/>
          <w:color w:val="auto"/>
          <w:sz w:val="21"/>
          <w:szCs w:val="21"/>
        </w:rPr>
        <w:t>试验检测投标单位近八年内试验检测业绩</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_Toc27403 </w:instrText>
      </w:r>
      <w:r>
        <w:rPr>
          <w:rFonts w:hint="eastAsia" w:ascii="宋体" w:hAnsi="宋体" w:cs="宋体"/>
          <w:color w:val="auto"/>
          <w:sz w:val="21"/>
          <w:szCs w:val="21"/>
        </w:rPr>
        <w:fldChar w:fldCharType="separate"/>
      </w:r>
      <w:r>
        <w:rPr>
          <w:rFonts w:ascii="宋体" w:hAnsi="宋体" w:cs="宋体"/>
          <w:color w:val="auto"/>
          <w:sz w:val="21"/>
          <w:szCs w:val="21"/>
        </w:rPr>
        <w:t>33</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"_Toc3471" </w:instrText>
      </w:r>
      <w:r>
        <w:rPr>
          <w:color w:val="auto"/>
        </w:rPr>
        <w:fldChar w:fldCharType="separate"/>
      </w:r>
      <w:r>
        <w:rPr>
          <w:rFonts w:ascii="宋体" w:hAnsi="宋体" w:cs="宋体"/>
          <w:bCs/>
          <w:color w:val="auto"/>
          <w:sz w:val="21"/>
          <w:szCs w:val="21"/>
        </w:rPr>
        <w:t xml:space="preserve">8  </w:t>
      </w:r>
      <w:r>
        <w:rPr>
          <w:rFonts w:hint="eastAsia" w:ascii="宋体" w:hAnsi="宋体" w:cs="宋体"/>
          <w:bCs/>
          <w:color w:val="auto"/>
          <w:sz w:val="21"/>
          <w:szCs w:val="21"/>
        </w:rPr>
        <w:t>拟投入本项目的主要试验检测仪器设备一览表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_Toc3471 </w:instrText>
      </w:r>
      <w:r>
        <w:rPr>
          <w:rFonts w:hint="eastAsia" w:ascii="宋体" w:hAnsi="宋体" w:cs="宋体"/>
          <w:color w:val="auto"/>
          <w:sz w:val="21"/>
          <w:szCs w:val="21"/>
        </w:rPr>
        <w:fldChar w:fldCharType="separate"/>
      </w:r>
      <w:r>
        <w:rPr>
          <w:rFonts w:ascii="宋体" w:hAnsi="宋体" w:cs="宋体"/>
          <w:color w:val="auto"/>
          <w:sz w:val="21"/>
          <w:szCs w:val="21"/>
        </w:rPr>
        <w:t>34</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"_Toc28295" </w:instrText>
      </w:r>
      <w:r>
        <w:rPr>
          <w:color w:val="auto"/>
        </w:rPr>
        <w:fldChar w:fldCharType="separate"/>
      </w:r>
      <w:r>
        <w:rPr>
          <w:rFonts w:ascii="宋体" w:hAnsi="宋体" w:cs="宋体"/>
          <w:bCs/>
          <w:color w:val="auto"/>
          <w:sz w:val="21"/>
          <w:szCs w:val="21"/>
        </w:rPr>
        <w:t xml:space="preserve">9  </w:t>
      </w:r>
      <w:r>
        <w:rPr>
          <w:rFonts w:hint="eastAsia" w:ascii="宋体" w:hAnsi="宋体" w:cs="宋体"/>
          <w:bCs/>
          <w:color w:val="auto"/>
          <w:sz w:val="21"/>
          <w:szCs w:val="21"/>
        </w:rPr>
        <w:t>实施本项目工作大纲</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_Toc28295 </w:instrText>
      </w:r>
      <w:r>
        <w:rPr>
          <w:rFonts w:hint="eastAsia" w:ascii="宋体" w:hAnsi="宋体" w:cs="宋体"/>
          <w:color w:val="auto"/>
          <w:sz w:val="21"/>
          <w:szCs w:val="21"/>
        </w:rPr>
        <w:fldChar w:fldCharType="separate"/>
      </w:r>
      <w:r>
        <w:rPr>
          <w:rFonts w:ascii="宋体" w:hAnsi="宋体" w:cs="宋体"/>
          <w:color w:val="auto"/>
          <w:sz w:val="21"/>
          <w:szCs w:val="21"/>
        </w:rPr>
        <w:t>35</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"_Toc19267" </w:instrText>
      </w:r>
      <w:r>
        <w:rPr>
          <w:color w:val="auto"/>
        </w:rPr>
        <w:fldChar w:fldCharType="separate"/>
      </w:r>
      <w:r>
        <w:rPr>
          <w:rFonts w:ascii="宋体" w:hAnsi="宋体" w:cs="宋体"/>
          <w:bCs/>
          <w:color w:val="auto"/>
          <w:sz w:val="21"/>
          <w:szCs w:val="21"/>
        </w:rPr>
        <w:t xml:space="preserve">10  </w:t>
      </w:r>
      <w:r>
        <w:rPr>
          <w:rFonts w:hint="eastAsia" w:ascii="宋体" w:hAnsi="宋体" w:cs="宋体"/>
          <w:bCs/>
          <w:color w:val="auto"/>
          <w:sz w:val="21"/>
          <w:szCs w:val="21"/>
        </w:rPr>
        <w:t>实施本项目检测工作应符合的检测规范及要求</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_Toc19267 </w:instrText>
      </w:r>
      <w:r>
        <w:rPr>
          <w:rFonts w:hint="eastAsia" w:ascii="宋体" w:hAnsi="宋体" w:cs="宋体"/>
          <w:color w:val="auto"/>
          <w:sz w:val="21"/>
          <w:szCs w:val="21"/>
        </w:rPr>
        <w:fldChar w:fldCharType="separate"/>
      </w:r>
      <w:r>
        <w:rPr>
          <w:rFonts w:ascii="宋体" w:hAnsi="宋体" w:cs="宋体"/>
          <w:color w:val="auto"/>
          <w:sz w:val="21"/>
          <w:szCs w:val="21"/>
        </w:rPr>
        <w:t>35</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"_Toc27288" </w:instrText>
      </w:r>
      <w:r>
        <w:rPr>
          <w:color w:val="auto"/>
        </w:rPr>
        <w:fldChar w:fldCharType="separate"/>
      </w:r>
      <w:r>
        <w:rPr>
          <w:rFonts w:ascii="宋体" w:hAnsi="宋体" w:cs="宋体"/>
          <w:bCs/>
          <w:color w:val="auto"/>
          <w:sz w:val="21"/>
          <w:szCs w:val="21"/>
        </w:rPr>
        <w:t xml:space="preserve">11  </w:t>
      </w:r>
      <w:r>
        <w:rPr>
          <w:rFonts w:hint="eastAsia" w:ascii="宋体" w:hAnsi="宋体" w:cs="宋体"/>
          <w:bCs/>
          <w:color w:val="auto"/>
          <w:sz w:val="21"/>
          <w:szCs w:val="21"/>
        </w:rPr>
        <w:t>报价表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_Toc27288 </w:instrText>
      </w:r>
      <w:r>
        <w:rPr>
          <w:rFonts w:hint="eastAsia" w:ascii="宋体" w:hAnsi="宋体" w:cs="宋体"/>
          <w:color w:val="auto"/>
          <w:sz w:val="21"/>
          <w:szCs w:val="21"/>
        </w:rPr>
        <w:fldChar w:fldCharType="separate"/>
      </w:r>
      <w:r>
        <w:rPr>
          <w:rFonts w:ascii="宋体" w:hAnsi="宋体" w:cs="宋体"/>
          <w:color w:val="auto"/>
          <w:sz w:val="21"/>
          <w:szCs w:val="21"/>
        </w:rPr>
        <w:t>36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"_Toc3759" </w:instrText>
      </w:r>
      <w:r>
        <w:rPr>
          <w:color w:val="auto"/>
        </w:rPr>
        <w:fldChar w:fldCharType="separate"/>
      </w:r>
      <w:r>
        <w:rPr>
          <w:rFonts w:ascii="宋体" w:hAnsi="宋体" w:cs="宋体"/>
          <w:bCs/>
          <w:color w:val="auto"/>
          <w:sz w:val="21"/>
          <w:szCs w:val="21"/>
        </w:rPr>
        <w:t xml:space="preserve">12  </w:t>
      </w:r>
      <w:r>
        <w:rPr>
          <w:rFonts w:hint="eastAsia" w:ascii="宋体" w:hAnsi="宋体" w:cs="宋体"/>
          <w:bCs/>
          <w:color w:val="auto"/>
          <w:sz w:val="21"/>
          <w:szCs w:val="21"/>
        </w:rPr>
        <w:t>其它要求</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_Toc3759 </w:instrText>
      </w:r>
      <w:r>
        <w:rPr>
          <w:rFonts w:hint="eastAsia" w:ascii="宋体" w:hAnsi="宋体" w:cs="宋体"/>
          <w:color w:val="auto"/>
          <w:sz w:val="21"/>
          <w:szCs w:val="21"/>
        </w:rPr>
        <w:fldChar w:fldCharType="separate"/>
      </w:r>
      <w:r>
        <w:rPr>
          <w:rFonts w:ascii="宋体" w:hAnsi="宋体" w:cs="宋体"/>
          <w:color w:val="auto"/>
          <w:sz w:val="21"/>
          <w:szCs w:val="21"/>
        </w:rPr>
        <w:t>36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"_Toc29721" </w:instrText>
      </w:r>
      <w:r>
        <w:rPr>
          <w:color w:val="auto"/>
        </w:rPr>
        <w:fldChar w:fldCharType="separate"/>
      </w:r>
      <w:r>
        <w:rPr>
          <w:rFonts w:ascii="宋体" w:hAnsi="宋体" w:cs="宋体"/>
          <w:bCs/>
          <w:color w:val="auto"/>
          <w:sz w:val="21"/>
          <w:szCs w:val="21"/>
        </w:rPr>
        <w:t xml:space="preserve">13  </w:t>
      </w:r>
      <w:r>
        <w:rPr>
          <w:rFonts w:hint="eastAsia" w:ascii="宋体" w:hAnsi="宋体" w:cs="宋体"/>
          <w:bCs/>
          <w:color w:val="auto"/>
          <w:sz w:val="21"/>
          <w:szCs w:val="21"/>
        </w:rPr>
        <w:t>投标申请人声明</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_Toc29721 </w:instrText>
      </w:r>
      <w:r>
        <w:rPr>
          <w:rFonts w:hint="eastAsia" w:ascii="宋体" w:hAnsi="宋体" w:cs="宋体"/>
          <w:color w:val="auto"/>
          <w:sz w:val="21"/>
          <w:szCs w:val="21"/>
        </w:rPr>
        <w:fldChar w:fldCharType="separate"/>
      </w:r>
      <w:r>
        <w:rPr>
          <w:rFonts w:ascii="宋体" w:hAnsi="宋体" w:cs="宋体"/>
          <w:color w:val="auto"/>
          <w:sz w:val="21"/>
          <w:szCs w:val="21"/>
        </w:rPr>
        <w:t>37</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"_Toc1785" </w:instrText>
      </w:r>
      <w:r>
        <w:rPr>
          <w:color w:val="auto"/>
        </w:rPr>
        <w:fldChar w:fldCharType="separate"/>
      </w:r>
      <w:r>
        <w:rPr>
          <w:rFonts w:ascii="宋体" w:hAnsi="宋体" w:cs="宋体"/>
          <w:bCs/>
          <w:color w:val="auto"/>
          <w:sz w:val="21"/>
          <w:szCs w:val="21"/>
        </w:rPr>
        <w:t xml:space="preserve">14  </w:t>
      </w:r>
      <w:r>
        <w:rPr>
          <w:rFonts w:hint="eastAsia" w:ascii="宋体" w:hAnsi="宋体" w:cs="宋体"/>
          <w:bCs/>
          <w:color w:val="auto"/>
          <w:sz w:val="21"/>
          <w:szCs w:val="21"/>
        </w:rPr>
        <w:t>廉洁承诺书</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_Toc1785 </w:instrText>
      </w:r>
      <w:r>
        <w:rPr>
          <w:rFonts w:hint="eastAsia" w:ascii="宋体" w:hAnsi="宋体" w:cs="宋体"/>
          <w:color w:val="auto"/>
          <w:sz w:val="21"/>
          <w:szCs w:val="21"/>
        </w:rPr>
        <w:fldChar w:fldCharType="separate"/>
      </w:r>
      <w:r>
        <w:rPr>
          <w:rFonts w:ascii="宋体" w:hAnsi="宋体" w:cs="宋体"/>
          <w:color w:val="auto"/>
          <w:sz w:val="21"/>
          <w:szCs w:val="21"/>
        </w:rPr>
        <w:t>38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"_Toc7278" </w:instrText>
      </w:r>
      <w:r>
        <w:rPr>
          <w:color w:val="auto"/>
        </w:rPr>
        <w:fldChar w:fldCharType="separate"/>
      </w:r>
      <w:r>
        <w:rPr>
          <w:rFonts w:hint="eastAsia" w:ascii="宋体" w:hAnsi="宋体" w:cs="宋体"/>
          <w:color w:val="auto"/>
          <w:kern w:val="44"/>
          <w:sz w:val="21"/>
          <w:szCs w:val="21"/>
        </w:rPr>
        <w:t>第Ⅳ卷</w:t>
      </w:r>
      <w:r>
        <w:rPr>
          <w:rFonts w:ascii="宋体" w:hAnsi="宋体" w:cs="宋体"/>
          <w:color w:val="auto"/>
          <w:kern w:val="44"/>
          <w:sz w:val="21"/>
          <w:szCs w:val="21"/>
        </w:rPr>
        <w:t xml:space="preserve">  </w:t>
      </w:r>
      <w:r>
        <w:rPr>
          <w:rFonts w:hint="eastAsia" w:ascii="宋体" w:hAnsi="宋体" w:cs="宋体"/>
          <w:color w:val="auto"/>
          <w:kern w:val="44"/>
          <w:sz w:val="21"/>
          <w:szCs w:val="21"/>
        </w:rPr>
        <w:t>工程量清单</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_Toc7278 </w:instrText>
      </w:r>
      <w:r>
        <w:rPr>
          <w:rFonts w:hint="eastAsia" w:ascii="宋体" w:hAnsi="宋体" w:cs="宋体"/>
          <w:color w:val="auto"/>
          <w:sz w:val="21"/>
          <w:szCs w:val="21"/>
        </w:rPr>
        <w:fldChar w:fldCharType="separate"/>
      </w:r>
      <w:r>
        <w:rPr>
          <w:rFonts w:ascii="宋体" w:hAnsi="宋体" w:cs="宋体"/>
          <w:color w:val="auto"/>
          <w:sz w:val="21"/>
          <w:szCs w:val="21"/>
        </w:rPr>
        <w:t>39</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"_Toc27526" </w:instrText>
      </w:r>
      <w:r>
        <w:rPr>
          <w:color w:val="auto"/>
        </w:rPr>
        <w:fldChar w:fldCharType="separate"/>
      </w:r>
      <w:r>
        <w:rPr>
          <w:rFonts w:ascii="宋体" w:hAnsi="宋体" w:cs="宋体"/>
          <w:bCs/>
          <w:color w:val="auto"/>
          <w:sz w:val="21"/>
          <w:szCs w:val="21"/>
        </w:rPr>
        <w:t xml:space="preserve">1  </w:t>
      </w:r>
      <w:r>
        <w:rPr>
          <w:rFonts w:hint="eastAsia" w:ascii="宋体" w:hAnsi="宋体" w:cs="宋体"/>
          <w:bCs/>
          <w:color w:val="auto"/>
          <w:sz w:val="21"/>
          <w:szCs w:val="21"/>
        </w:rPr>
        <w:t>工程量清单说明</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_Toc27526 </w:instrText>
      </w:r>
      <w:r>
        <w:rPr>
          <w:rFonts w:hint="eastAsia" w:ascii="宋体" w:hAnsi="宋体" w:cs="宋体"/>
          <w:color w:val="auto"/>
          <w:sz w:val="21"/>
          <w:szCs w:val="21"/>
        </w:rPr>
        <w:fldChar w:fldCharType="separate"/>
      </w:r>
      <w:r>
        <w:rPr>
          <w:rFonts w:ascii="宋体" w:hAnsi="宋体" w:cs="宋体"/>
          <w:color w:val="auto"/>
          <w:sz w:val="21"/>
          <w:szCs w:val="21"/>
        </w:rPr>
        <w:t>40</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"_Toc8901" </w:instrText>
      </w:r>
      <w:r>
        <w:rPr>
          <w:color w:val="auto"/>
        </w:rPr>
        <w:fldChar w:fldCharType="separate"/>
      </w:r>
      <w:r>
        <w:rPr>
          <w:rFonts w:ascii="宋体" w:hAnsi="宋体" w:cs="宋体"/>
          <w:color w:val="auto"/>
          <w:spacing w:val="-5"/>
          <w:kern w:val="0"/>
          <w:sz w:val="21"/>
          <w:szCs w:val="21"/>
        </w:rPr>
        <w:t xml:space="preserve">2 </w:t>
      </w:r>
      <w:r>
        <w:rPr>
          <w:rFonts w:hint="eastAsia" w:ascii="宋体" w:hAnsi="宋体" w:cs="宋体"/>
          <w:color w:val="auto"/>
          <w:spacing w:val="-5"/>
          <w:kern w:val="0"/>
          <w:sz w:val="21"/>
          <w:szCs w:val="21"/>
        </w:rPr>
        <w:t>工程量清单汇总表</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_Toc8901 </w:instrText>
      </w:r>
      <w:r>
        <w:rPr>
          <w:rFonts w:hint="eastAsia" w:ascii="宋体" w:hAnsi="宋体" w:cs="宋体"/>
          <w:color w:val="auto"/>
          <w:sz w:val="21"/>
          <w:szCs w:val="21"/>
        </w:rPr>
        <w:fldChar w:fldCharType="separate"/>
      </w:r>
      <w:r>
        <w:rPr>
          <w:rFonts w:ascii="宋体" w:hAnsi="宋体" w:cs="宋体"/>
          <w:color w:val="auto"/>
          <w:sz w:val="21"/>
          <w:szCs w:val="21"/>
        </w:rPr>
        <w:t>41</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r>
        <w:rPr>
          <w:color w:val="auto"/>
        </w:rPr>
        <w:fldChar w:fldCharType="begin"/>
      </w:r>
      <w:r>
        <w:rPr>
          <w:color w:val="auto"/>
        </w:rPr>
        <w:instrText xml:space="preserve"> HYPERLINK \l "_Toc22177" </w:instrText>
      </w:r>
      <w:r>
        <w:rPr>
          <w:color w:val="auto"/>
        </w:rPr>
        <w:fldChar w:fldCharType="separate"/>
      </w:r>
      <w:r>
        <w:rPr>
          <w:rFonts w:hint="eastAsia" w:ascii="宋体" w:hAnsi="宋体" w:cs="宋体"/>
          <w:color w:val="auto"/>
          <w:kern w:val="44"/>
          <w:sz w:val="21"/>
          <w:szCs w:val="21"/>
        </w:rPr>
        <w:t>第Ⅴ卷</w:t>
      </w:r>
      <w:r>
        <w:rPr>
          <w:rFonts w:ascii="宋体" w:hAnsi="宋体" w:cs="宋体"/>
          <w:color w:val="auto"/>
          <w:kern w:val="44"/>
          <w:sz w:val="21"/>
          <w:szCs w:val="21"/>
        </w:rPr>
        <w:t xml:space="preserve">  </w:t>
      </w:r>
      <w:r>
        <w:rPr>
          <w:rFonts w:hint="eastAsia" w:ascii="宋体" w:hAnsi="宋体" w:cs="宋体"/>
          <w:color w:val="auto"/>
          <w:kern w:val="44"/>
          <w:sz w:val="21"/>
          <w:szCs w:val="21"/>
        </w:rPr>
        <w:t>评标办法</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_Toc22177 </w:instrText>
      </w:r>
      <w:r>
        <w:rPr>
          <w:rFonts w:hint="eastAsia" w:ascii="宋体" w:hAnsi="宋体" w:cs="宋体"/>
          <w:color w:val="auto"/>
          <w:sz w:val="21"/>
          <w:szCs w:val="21"/>
        </w:rPr>
        <w:fldChar w:fldCharType="separate"/>
      </w:r>
      <w:r>
        <w:rPr>
          <w:rFonts w:ascii="宋体" w:hAnsi="宋体" w:cs="宋体"/>
          <w:color w:val="auto"/>
          <w:sz w:val="21"/>
          <w:szCs w:val="21"/>
        </w:rPr>
        <w:t>46</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"_Toc6324" </w:instrText>
      </w:r>
      <w:r>
        <w:rPr>
          <w:color w:val="auto"/>
        </w:rPr>
        <w:fldChar w:fldCharType="separate"/>
      </w:r>
      <w:r>
        <w:rPr>
          <w:rFonts w:hint="eastAsia" w:ascii="宋体" w:hAnsi="宋体" w:cs="宋体"/>
          <w:color w:val="auto"/>
          <w:sz w:val="21"/>
          <w:szCs w:val="21"/>
        </w:rPr>
        <w:t>（一）总则</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_Toc6324 </w:instrText>
      </w:r>
      <w:r>
        <w:rPr>
          <w:rFonts w:hint="eastAsia" w:ascii="宋体" w:hAnsi="宋体" w:cs="宋体"/>
          <w:color w:val="auto"/>
          <w:sz w:val="21"/>
          <w:szCs w:val="21"/>
        </w:rPr>
        <w:fldChar w:fldCharType="separate"/>
      </w:r>
      <w:r>
        <w:rPr>
          <w:rFonts w:ascii="宋体" w:hAnsi="宋体" w:cs="宋体"/>
          <w:color w:val="auto"/>
          <w:sz w:val="21"/>
          <w:szCs w:val="21"/>
        </w:rPr>
        <w:t>48</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23"/>
        <w:tabs>
          <w:tab w:val="right" w:leader="dot" w:pos="9015"/>
        </w:tabs>
        <w:spacing w:line="360" w:lineRule="auto"/>
        <w:rPr>
          <w:rFonts w:ascii="宋体" w:hAnsi="宋体" w:cs="宋体"/>
          <w:color w:val="auto"/>
          <w:sz w:val="21"/>
          <w:szCs w:val="21"/>
        </w:rPr>
      </w:pPr>
      <w:r>
        <w:rPr>
          <w:color w:val="auto"/>
        </w:rPr>
        <w:fldChar w:fldCharType="begin"/>
      </w:r>
      <w:r>
        <w:rPr>
          <w:color w:val="auto"/>
        </w:rPr>
        <w:instrText xml:space="preserve"> HYPERLINK \l "_Toc14899" </w:instrText>
      </w:r>
      <w:r>
        <w:rPr>
          <w:color w:val="auto"/>
        </w:rPr>
        <w:fldChar w:fldCharType="separate"/>
      </w:r>
      <w:r>
        <w:rPr>
          <w:rFonts w:hint="eastAsia" w:ascii="宋体" w:hAnsi="宋体" w:cs="宋体"/>
          <w:color w:val="auto"/>
          <w:sz w:val="21"/>
          <w:szCs w:val="21"/>
        </w:rPr>
        <w:t>（二）开标评标办法程序和细则</w:t>
      </w:r>
      <w:r>
        <w:rPr>
          <w:rFonts w:ascii="宋体" w:hAnsi="宋体" w:cs="宋体"/>
          <w:color w:val="auto"/>
          <w:sz w:val="21"/>
          <w:szCs w:val="21"/>
        </w:rPr>
        <w:tab/>
      </w:r>
      <w:r>
        <w:rPr>
          <w:rFonts w:hint="eastAsia" w:ascii="宋体" w:hAnsi="宋体" w:cs="宋体"/>
          <w:color w:val="auto"/>
          <w:sz w:val="21"/>
          <w:szCs w:val="21"/>
        </w:rPr>
        <w:fldChar w:fldCharType="begin"/>
      </w:r>
      <w:r>
        <w:rPr>
          <w:rFonts w:ascii="宋体" w:hAnsi="宋体" w:cs="宋体"/>
          <w:color w:val="auto"/>
          <w:sz w:val="21"/>
          <w:szCs w:val="21"/>
        </w:rPr>
        <w:instrText xml:space="preserve"> PAGEREF _Toc14899 </w:instrText>
      </w:r>
      <w:r>
        <w:rPr>
          <w:rFonts w:hint="eastAsia" w:ascii="宋体" w:hAnsi="宋体" w:cs="宋体"/>
          <w:color w:val="auto"/>
          <w:sz w:val="21"/>
          <w:szCs w:val="21"/>
        </w:rPr>
        <w:fldChar w:fldCharType="separate"/>
      </w:r>
      <w:r>
        <w:rPr>
          <w:rFonts w:ascii="宋体" w:hAnsi="宋体" w:cs="宋体"/>
          <w:color w:val="auto"/>
          <w:sz w:val="21"/>
          <w:szCs w:val="21"/>
        </w:rPr>
        <w:t>49</w:t>
      </w:r>
      <w:r>
        <w:rPr>
          <w:rFonts w:hint="eastAsia" w:ascii="宋体" w:hAnsi="宋体" w:cs="宋体"/>
          <w:color w:val="auto"/>
          <w:sz w:val="21"/>
          <w:szCs w:val="21"/>
        </w:rPr>
        <w:fldChar w:fldCharType="end"/>
      </w:r>
      <w:r>
        <w:rPr>
          <w:rFonts w:hint="eastAsia" w:ascii="宋体" w:hAnsi="宋体" w:cs="宋体"/>
          <w:color w:val="auto"/>
          <w:sz w:val="21"/>
          <w:szCs w:val="21"/>
        </w:rPr>
        <w:fldChar w:fldCharType="end"/>
      </w:r>
    </w:p>
    <w:p>
      <w:pPr>
        <w:pStyle w:val="17"/>
        <w:tabs>
          <w:tab w:val="right" w:leader="dot" w:pos="9015"/>
        </w:tabs>
        <w:spacing w:before="0" w:after="0" w:line="360" w:lineRule="auto"/>
        <w:rPr>
          <w:rFonts w:ascii="宋体" w:hAnsi="宋体" w:cs="宋体"/>
          <w:color w:val="auto"/>
          <w:sz w:val="21"/>
          <w:szCs w:val="21"/>
        </w:rPr>
      </w:pPr>
    </w:p>
    <w:p>
      <w:pPr>
        <w:spacing w:line="360" w:lineRule="auto"/>
        <w:jc w:val="center"/>
        <w:rPr>
          <w:rFonts w:ascii="宋体" w:hAnsi="宋体" w:cs="宋体"/>
          <w:b/>
          <w:color w:val="auto"/>
          <w:szCs w:val="21"/>
        </w:rPr>
        <w:sectPr>
          <w:footerReference r:id="rId4" w:type="default"/>
          <w:pgSz w:w="12240" w:h="15840"/>
          <w:pgMar w:top="1440" w:right="1425" w:bottom="1440" w:left="1800" w:header="720" w:footer="720" w:gutter="0"/>
          <w:pgNumType w:start="1"/>
          <w:cols w:space="720" w:num="1"/>
          <w:docGrid w:linePitch="286" w:charSpace="0"/>
        </w:sectPr>
      </w:pPr>
      <w:r>
        <w:rPr>
          <w:rFonts w:hint="eastAsia" w:ascii="宋体" w:hAnsi="宋体" w:cs="宋体"/>
          <w:color w:val="auto"/>
          <w:szCs w:val="21"/>
        </w:rPr>
        <w:fldChar w:fldCharType="end"/>
      </w:r>
      <w:bookmarkStart w:id="0" w:name="_Toc377719897"/>
    </w:p>
    <w:p>
      <w:pPr>
        <w:jc w:val="center"/>
        <w:outlineLvl w:val="0"/>
        <w:rPr>
          <w:rFonts w:ascii="宋体" w:hAnsi="宋体" w:cs="宋体"/>
          <w:b/>
          <w:bCs/>
          <w:color w:val="auto"/>
          <w:kern w:val="44"/>
          <w:sz w:val="36"/>
          <w:szCs w:val="36"/>
        </w:rPr>
      </w:pPr>
      <w:r>
        <w:rPr>
          <w:rFonts w:hint="eastAsia" w:ascii="宋体" w:hAnsi="宋体" w:cs="宋体"/>
          <w:b/>
          <w:bCs/>
          <w:color w:val="auto"/>
          <w:kern w:val="44"/>
          <w:sz w:val="36"/>
          <w:szCs w:val="36"/>
        </w:rPr>
        <w:t>投</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标</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须</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知</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前</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附</w:t>
      </w:r>
      <w:r>
        <w:rPr>
          <w:rFonts w:ascii="宋体" w:hAnsi="宋体" w:cs="宋体"/>
          <w:b/>
          <w:bCs/>
          <w:color w:val="auto"/>
          <w:kern w:val="44"/>
          <w:sz w:val="36"/>
          <w:szCs w:val="36"/>
        </w:rPr>
        <w:t xml:space="preserve"> </w:t>
      </w:r>
      <w:r>
        <w:rPr>
          <w:rFonts w:hint="eastAsia" w:ascii="宋体" w:hAnsi="宋体" w:cs="宋体"/>
          <w:b/>
          <w:bCs/>
          <w:color w:val="auto"/>
          <w:kern w:val="44"/>
          <w:sz w:val="36"/>
          <w:szCs w:val="36"/>
        </w:rPr>
        <w:t>表</w:t>
      </w:r>
      <w:bookmarkEnd w:id="0"/>
    </w:p>
    <w:p>
      <w:pPr>
        <w:rPr>
          <w:rFonts w:ascii="宋体" w:hAnsi="宋体" w:cs="宋体"/>
          <w:color w:val="auto"/>
        </w:rPr>
      </w:pPr>
    </w:p>
    <w:tbl>
      <w:tblPr>
        <w:tblStyle w:val="28"/>
        <w:tblW w:w="9514"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44"/>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blHeader/>
        </w:trPr>
        <w:tc>
          <w:tcPr>
            <w:tcW w:w="777" w:type="dxa"/>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944" w:type="dxa"/>
            <w:vAlign w:val="center"/>
          </w:tcPr>
          <w:p>
            <w:pPr>
              <w:jc w:val="center"/>
              <w:rPr>
                <w:rFonts w:ascii="宋体" w:hAnsi="宋体" w:cs="宋体"/>
                <w:b/>
                <w:bCs/>
                <w:color w:val="auto"/>
                <w:szCs w:val="21"/>
              </w:rPr>
            </w:pPr>
            <w:r>
              <w:rPr>
                <w:rFonts w:hint="eastAsia" w:ascii="宋体" w:hAnsi="宋体" w:cs="宋体"/>
                <w:b/>
                <w:bCs/>
                <w:color w:val="auto"/>
                <w:szCs w:val="21"/>
              </w:rPr>
              <w:t>条款号</w:t>
            </w:r>
          </w:p>
        </w:tc>
        <w:tc>
          <w:tcPr>
            <w:tcW w:w="7793" w:type="dxa"/>
            <w:vAlign w:val="center"/>
          </w:tcPr>
          <w:p>
            <w:pPr>
              <w:jc w:val="center"/>
              <w:rPr>
                <w:rFonts w:ascii="宋体" w:hAnsi="宋体" w:cs="宋体"/>
                <w:b/>
                <w:bCs/>
                <w:color w:val="auto"/>
                <w:szCs w:val="21"/>
              </w:rPr>
            </w:pPr>
            <w:r>
              <w:rPr>
                <w:rFonts w:hint="eastAsia" w:ascii="宋体" w:hAnsi="宋体" w:cs="宋体"/>
                <w:b/>
                <w:bCs/>
                <w:color w:val="auto"/>
                <w:szCs w:val="21"/>
              </w:rPr>
              <w:t>内</w:t>
            </w:r>
            <w:r>
              <w:rPr>
                <w:rFonts w:ascii="宋体" w:hAnsi="宋体" w:cs="宋体"/>
                <w:b/>
                <w:bCs/>
                <w:color w:val="auto"/>
                <w:szCs w:val="21"/>
              </w:rPr>
              <w:t xml:space="preserve">   </w:t>
            </w:r>
            <w:r>
              <w:rPr>
                <w:rFonts w:hint="eastAsia" w:ascii="宋体" w:hAnsi="宋体" w:cs="宋体"/>
                <w:b/>
                <w:bCs/>
                <w:color w:val="auto"/>
                <w:szCs w:val="21"/>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77" w:type="dxa"/>
            <w:vAlign w:val="center"/>
          </w:tcPr>
          <w:p>
            <w:pPr>
              <w:jc w:val="center"/>
              <w:rPr>
                <w:rFonts w:ascii="宋体" w:hAnsi="宋体" w:cs="宋体"/>
                <w:color w:val="auto"/>
                <w:szCs w:val="21"/>
              </w:rPr>
            </w:pPr>
            <w:r>
              <w:rPr>
                <w:rFonts w:ascii="宋体" w:hAnsi="宋体" w:cs="宋体"/>
                <w:color w:val="auto"/>
                <w:szCs w:val="21"/>
              </w:rPr>
              <w:t>1</w:t>
            </w:r>
          </w:p>
        </w:tc>
        <w:tc>
          <w:tcPr>
            <w:tcW w:w="944" w:type="dxa"/>
            <w:vAlign w:val="center"/>
          </w:tcPr>
          <w:p>
            <w:pPr>
              <w:jc w:val="center"/>
              <w:rPr>
                <w:rFonts w:ascii="宋体" w:hAnsi="宋体" w:cs="宋体"/>
                <w:color w:val="auto"/>
                <w:szCs w:val="21"/>
              </w:rPr>
            </w:pPr>
            <w:r>
              <w:rPr>
                <w:rFonts w:ascii="宋体" w:hAnsi="宋体" w:cs="宋体"/>
                <w:color w:val="auto"/>
                <w:szCs w:val="21"/>
              </w:rPr>
              <w:t>1.4</w:t>
            </w:r>
          </w:p>
        </w:tc>
        <w:tc>
          <w:tcPr>
            <w:tcW w:w="7793" w:type="dxa"/>
          </w:tcPr>
          <w:p>
            <w:pPr>
              <w:ind w:firstLine="72"/>
              <w:rPr>
                <w:rFonts w:ascii="宋体" w:hAnsi="宋体" w:cs="宋体"/>
                <w:color w:val="auto"/>
                <w:szCs w:val="21"/>
              </w:rPr>
            </w:pPr>
            <w:r>
              <w:rPr>
                <w:rFonts w:hint="eastAsia" w:ascii="宋体" w:hAnsi="宋体" w:cs="宋体"/>
                <w:color w:val="auto"/>
                <w:szCs w:val="21"/>
              </w:rPr>
              <w:t>资格标准：见投标须知</w:t>
            </w:r>
            <w:r>
              <w:rPr>
                <w:rFonts w:ascii="宋体" w:hAnsi="宋体" w:cs="宋体"/>
                <w:color w:val="auto"/>
                <w:szCs w:val="21"/>
              </w:rPr>
              <w:t>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77" w:type="dxa"/>
            <w:vAlign w:val="center"/>
          </w:tcPr>
          <w:p>
            <w:pPr>
              <w:jc w:val="center"/>
              <w:rPr>
                <w:rFonts w:ascii="宋体" w:hAnsi="宋体" w:cs="宋体"/>
                <w:color w:val="auto"/>
                <w:szCs w:val="21"/>
              </w:rPr>
            </w:pPr>
            <w:r>
              <w:rPr>
                <w:rFonts w:ascii="宋体" w:hAnsi="宋体" w:cs="宋体"/>
                <w:color w:val="auto"/>
                <w:szCs w:val="21"/>
              </w:rPr>
              <w:t>2</w:t>
            </w:r>
          </w:p>
        </w:tc>
        <w:tc>
          <w:tcPr>
            <w:tcW w:w="944" w:type="dxa"/>
            <w:vAlign w:val="center"/>
          </w:tcPr>
          <w:p>
            <w:pPr>
              <w:jc w:val="center"/>
              <w:rPr>
                <w:rFonts w:ascii="宋体" w:hAnsi="宋体" w:cs="宋体"/>
                <w:color w:val="auto"/>
                <w:szCs w:val="21"/>
              </w:rPr>
            </w:pPr>
            <w:r>
              <w:rPr>
                <w:rFonts w:ascii="宋体" w:hAnsi="宋体" w:cs="宋体"/>
                <w:color w:val="auto"/>
                <w:szCs w:val="21"/>
              </w:rPr>
              <w:t>3.3</w:t>
            </w:r>
          </w:p>
        </w:tc>
        <w:tc>
          <w:tcPr>
            <w:tcW w:w="7793" w:type="dxa"/>
          </w:tcPr>
          <w:p>
            <w:pPr>
              <w:rPr>
                <w:rFonts w:ascii="宋体" w:hAnsi="宋体" w:cs="宋体"/>
                <w:color w:val="auto"/>
                <w:szCs w:val="21"/>
              </w:rPr>
            </w:pPr>
            <w:r>
              <w:rPr>
                <w:rFonts w:hint="eastAsia" w:ascii="宋体" w:hAnsi="宋体" w:cs="宋体"/>
                <w:color w:val="auto"/>
                <w:szCs w:val="21"/>
              </w:rPr>
              <w:t>投标有效期：标书递交截止期限起</w:t>
            </w:r>
            <w:r>
              <w:rPr>
                <w:rFonts w:ascii="宋体" w:hAnsi="宋体" w:cs="宋体"/>
                <w:color w:val="auto"/>
                <w:szCs w:val="21"/>
              </w:rPr>
              <w:t>180</w:t>
            </w:r>
            <w:r>
              <w:rPr>
                <w:rFonts w:hint="eastAsia" w:ascii="宋体" w:hAnsi="宋体" w:cs="宋体"/>
                <w:color w:val="auto"/>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777" w:type="dxa"/>
            <w:vAlign w:val="center"/>
          </w:tcPr>
          <w:p>
            <w:pPr>
              <w:jc w:val="center"/>
              <w:rPr>
                <w:rFonts w:ascii="宋体" w:hAnsi="宋体" w:cs="宋体"/>
                <w:color w:val="auto"/>
                <w:szCs w:val="21"/>
              </w:rPr>
            </w:pPr>
            <w:r>
              <w:rPr>
                <w:rFonts w:ascii="宋体" w:hAnsi="宋体" w:cs="宋体"/>
                <w:color w:val="auto"/>
                <w:szCs w:val="21"/>
              </w:rPr>
              <w:t>3</w:t>
            </w:r>
          </w:p>
        </w:tc>
        <w:tc>
          <w:tcPr>
            <w:tcW w:w="944" w:type="dxa"/>
            <w:vAlign w:val="center"/>
          </w:tcPr>
          <w:p>
            <w:pPr>
              <w:jc w:val="center"/>
              <w:rPr>
                <w:rFonts w:ascii="宋体" w:hAnsi="宋体" w:cs="宋体"/>
                <w:color w:val="auto"/>
                <w:szCs w:val="21"/>
              </w:rPr>
            </w:pPr>
            <w:r>
              <w:rPr>
                <w:rFonts w:ascii="宋体" w:hAnsi="宋体" w:cs="宋体"/>
                <w:color w:val="auto"/>
                <w:szCs w:val="21"/>
              </w:rPr>
              <w:t>3.4</w:t>
            </w:r>
          </w:p>
        </w:tc>
        <w:tc>
          <w:tcPr>
            <w:tcW w:w="7793" w:type="dxa"/>
          </w:tcPr>
          <w:p>
            <w:pPr>
              <w:rPr>
                <w:rFonts w:ascii="宋体" w:hAnsi="宋体" w:cs="宋体"/>
                <w:color w:val="auto"/>
                <w:szCs w:val="21"/>
              </w:rPr>
            </w:pPr>
            <w:r>
              <w:rPr>
                <w:rFonts w:ascii="宋体" w:hAnsi="宋体" w:cs="宋体"/>
                <w:color w:val="auto"/>
                <w:szCs w:val="21"/>
              </w:rPr>
              <w:t>1、投标保证金：金额为10万元人民币；</w:t>
            </w:r>
          </w:p>
          <w:p>
            <w:pPr>
              <w:rPr>
                <w:rFonts w:ascii="宋体" w:hAnsi="宋体" w:cs="宋体"/>
                <w:color w:val="auto"/>
                <w:szCs w:val="21"/>
              </w:rPr>
            </w:pPr>
            <w:r>
              <w:rPr>
                <w:rFonts w:ascii="宋体" w:hAnsi="宋体" w:cs="宋体"/>
                <w:color w:val="auto"/>
                <w:szCs w:val="21"/>
              </w:rPr>
              <w:t>2、缴纳时间：投标保证金必须在投标截止时间前到达（时间以到账的时间为准）。</w:t>
            </w:r>
          </w:p>
          <w:p>
            <w:pPr>
              <w:rPr>
                <w:rFonts w:ascii="宋体" w:hAnsi="宋体" w:cs="宋体"/>
                <w:color w:val="auto"/>
                <w:szCs w:val="21"/>
              </w:rPr>
            </w:pPr>
            <w:r>
              <w:rPr>
                <w:rFonts w:hint="eastAsia" w:ascii="宋体" w:hAnsi="宋体" w:cs="宋体"/>
                <w:color w:val="auto"/>
                <w:szCs w:val="21"/>
              </w:rPr>
              <w:t>收款单位：东莞市轨道一号线建设发展有限公司</w:t>
            </w:r>
          </w:p>
          <w:p>
            <w:pPr>
              <w:rPr>
                <w:rFonts w:ascii="宋体" w:hAnsi="宋体" w:cs="宋体"/>
                <w:color w:val="auto"/>
                <w:szCs w:val="21"/>
              </w:rPr>
            </w:pPr>
            <w:r>
              <w:rPr>
                <w:rFonts w:hint="eastAsia" w:ascii="宋体" w:hAnsi="宋体" w:cs="宋体"/>
                <w:color w:val="auto"/>
                <w:szCs w:val="21"/>
              </w:rPr>
              <w:t>汇款或转账的银行：</w:t>
            </w:r>
            <w:r>
              <w:rPr>
                <w:rFonts w:hint="eastAsia"/>
                <w:color w:val="auto"/>
              </w:rPr>
              <w:t>广发银行股份有限公司东莞南城支行</w:t>
            </w:r>
          </w:p>
          <w:p>
            <w:pPr>
              <w:rPr>
                <w:rFonts w:ascii="宋体" w:hAnsi="宋体" w:cs="宋体"/>
                <w:color w:val="auto"/>
                <w:szCs w:val="21"/>
              </w:rPr>
            </w:pPr>
            <w:r>
              <w:rPr>
                <w:rFonts w:hint="eastAsia" w:ascii="宋体" w:hAnsi="宋体" w:cs="宋体"/>
                <w:color w:val="auto"/>
                <w:szCs w:val="21"/>
              </w:rPr>
              <w:t>银行账号：</w:t>
            </w:r>
            <w:r>
              <w:rPr>
                <w:color w:val="auto"/>
              </w:rPr>
              <w:t>9550880215310600132</w:t>
            </w:r>
          </w:p>
          <w:p>
            <w:pPr>
              <w:rPr>
                <w:rFonts w:ascii="宋体" w:hAnsi="宋体" w:cs="宋体"/>
                <w:color w:val="auto"/>
                <w:szCs w:val="21"/>
              </w:rPr>
            </w:pPr>
            <w:r>
              <w:rPr>
                <w:rFonts w:hint="eastAsia" w:ascii="宋体" w:hAnsi="宋体" w:cs="宋体"/>
                <w:color w:val="auto"/>
                <w:szCs w:val="21"/>
              </w:rPr>
              <w:t>投标人在缴纳投标保证金时应注明所投项目名称。收款单位确认投标保证金到账后开具收据，投标人按《投标须知前附表》的附件一“投标人领取投标保证金收据指引”的要求前往招标人处领取收据。投标人必须将复印件放进投标文件（技术标），有效投标必须有投标保证金到账后收据，否则视为放弃此次投标机会。</w:t>
            </w:r>
          </w:p>
          <w:p>
            <w:pPr>
              <w:rPr>
                <w:rFonts w:ascii="宋体" w:hAnsi="宋体" w:cs="宋体"/>
                <w:color w:val="auto"/>
                <w:szCs w:val="21"/>
              </w:rPr>
            </w:pPr>
            <w:r>
              <w:rPr>
                <w:rFonts w:ascii="宋体" w:hAnsi="宋体" w:cs="宋体"/>
                <w:color w:val="auto"/>
                <w:szCs w:val="21"/>
              </w:rPr>
              <w:t>3、东莞市城市轨道交通1号线一期工程【质量专项检测项目】1405标、1406标、1407标等三个标段共用一份投标保证金。如同一个投标人同时参加三个标段的投标，仅需提供一份投标保证金，投标人必须将收据复印件放进所参加投标标段的投标文件（技术标）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777" w:type="dxa"/>
            <w:vAlign w:val="center"/>
          </w:tcPr>
          <w:p>
            <w:pPr>
              <w:jc w:val="center"/>
              <w:rPr>
                <w:rFonts w:ascii="宋体" w:hAnsi="宋体" w:cs="宋体"/>
                <w:color w:val="auto"/>
                <w:szCs w:val="21"/>
              </w:rPr>
            </w:pPr>
            <w:r>
              <w:rPr>
                <w:rFonts w:ascii="宋体" w:hAnsi="宋体" w:cs="宋体"/>
                <w:color w:val="auto"/>
                <w:szCs w:val="21"/>
              </w:rPr>
              <w:t>4</w:t>
            </w:r>
          </w:p>
        </w:tc>
        <w:tc>
          <w:tcPr>
            <w:tcW w:w="944" w:type="dxa"/>
            <w:vAlign w:val="center"/>
          </w:tcPr>
          <w:p>
            <w:pPr>
              <w:rPr>
                <w:rFonts w:ascii="宋体" w:hAnsi="宋体" w:cs="宋体"/>
                <w:color w:val="auto"/>
                <w:szCs w:val="21"/>
              </w:rPr>
            </w:pPr>
          </w:p>
        </w:tc>
        <w:tc>
          <w:tcPr>
            <w:tcW w:w="7793" w:type="dxa"/>
          </w:tcPr>
          <w:p>
            <w:pPr>
              <w:ind w:firstLine="1025" w:firstLineChars="486"/>
              <w:rPr>
                <w:rFonts w:ascii="宋体" w:hAnsi="宋体" w:cs="宋体"/>
                <w:b/>
                <w:strike/>
                <w:color w:val="auto"/>
                <w:szCs w:val="21"/>
              </w:rPr>
            </w:pPr>
          </w:p>
          <w:p>
            <w:pPr>
              <w:jc w:val="left"/>
              <w:rPr>
                <w:rFonts w:ascii="宋体" w:hAnsi="宋体" w:cs="宋体"/>
                <w:b/>
                <w:color w:val="auto"/>
                <w:szCs w:val="21"/>
              </w:rPr>
            </w:pPr>
            <w:r>
              <w:rPr>
                <w:rFonts w:hint="eastAsia" w:ascii="宋体" w:hAnsi="宋体" w:cs="宋体"/>
                <w:b/>
                <w:color w:val="auto"/>
                <w:szCs w:val="21"/>
              </w:rPr>
              <w:t>招标文件的获取：</w:t>
            </w:r>
            <w:r>
              <w:rPr>
                <w:rFonts w:hint="eastAsia" w:ascii="宋体" w:hAnsi="宋体"/>
                <w:color w:val="auto"/>
                <w:szCs w:val="21"/>
              </w:rPr>
              <w:t>由投标人登陆广州公共资源交易中心网站</w:t>
            </w:r>
            <w:r>
              <w:rPr>
                <w:rFonts w:ascii="宋体" w:hAnsi="宋体"/>
                <w:color w:val="auto"/>
                <w:szCs w:val="21"/>
              </w:rPr>
              <w:t>www.gzggzy.cn从本项目招标公告附件中下载电子招标文件及其他招标资料。</w:t>
            </w:r>
          </w:p>
          <w:p>
            <w:pPr>
              <w:jc w:val="left"/>
              <w:rPr>
                <w:rFonts w:ascii="宋体" w:hAnsi="宋体" w:cs="宋体"/>
                <w:b/>
                <w:color w:val="auto"/>
                <w:szCs w:val="21"/>
              </w:rPr>
            </w:pPr>
            <w:r>
              <w:rPr>
                <w:rFonts w:hint="eastAsia" w:ascii="宋体" w:hAnsi="宋体" w:cs="宋体"/>
                <w:b/>
                <w:color w:val="auto"/>
                <w:szCs w:val="21"/>
              </w:rPr>
              <w:t>招标图纸（如有）：提供电子版本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777" w:type="dxa"/>
            <w:vAlign w:val="center"/>
          </w:tcPr>
          <w:p>
            <w:pPr>
              <w:jc w:val="center"/>
              <w:rPr>
                <w:rFonts w:ascii="宋体" w:hAnsi="宋体" w:cs="宋体"/>
                <w:color w:val="auto"/>
                <w:szCs w:val="21"/>
              </w:rPr>
            </w:pPr>
            <w:r>
              <w:rPr>
                <w:rFonts w:ascii="宋体" w:hAnsi="宋体" w:cs="宋体"/>
                <w:color w:val="auto"/>
                <w:szCs w:val="21"/>
              </w:rPr>
              <w:t>5</w:t>
            </w:r>
          </w:p>
        </w:tc>
        <w:tc>
          <w:tcPr>
            <w:tcW w:w="944" w:type="dxa"/>
            <w:vAlign w:val="center"/>
          </w:tcPr>
          <w:p>
            <w:pPr>
              <w:jc w:val="center"/>
              <w:rPr>
                <w:rFonts w:ascii="宋体" w:hAnsi="宋体" w:cs="宋体"/>
                <w:color w:val="auto"/>
                <w:szCs w:val="21"/>
              </w:rPr>
            </w:pPr>
            <w:r>
              <w:rPr>
                <w:rFonts w:ascii="宋体" w:hAnsi="宋体" w:cs="宋体"/>
                <w:color w:val="auto"/>
                <w:szCs w:val="21"/>
              </w:rPr>
              <w:t>3.5</w:t>
            </w:r>
          </w:p>
          <w:p>
            <w:pPr>
              <w:jc w:val="center"/>
              <w:rPr>
                <w:rFonts w:ascii="宋体" w:hAnsi="宋体" w:cs="宋体"/>
                <w:color w:val="auto"/>
                <w:szCs w:val="21"/>
              </w:rPr>
            </w:pPr>
            <w:r>
              <w:rPr>
                <w:rFonts w:ascii="宋体" w:hAnsi="宋体" w:cs="宋体"/>
                <w:color w:val="auto"/>
                <w:szCs w:val="21"/>
              </w:rPr>
              <w:t>3.6</w:t>
            </w:r>
          </w:p>
        </w:tc>
        <w:tc>
          <w:tcPr>
            <w:tcW w:w="7793" w:type="dxa"/>
            <w:vAlign w:val="center"/>
          </w:tcPr>
          <w:p>
            <w:pPr>
              <w:ind w:left="1692" w:hanging="1692"/>
              <w:rPr>
                <w:rFonts w:ascii="宋体" w:hAnsi="宋体" w:cs="宋体"/>
                <w:color w:val="auto"/>
                <w:szCs w:val="21"/>
              </w:rPr>
            </w:pPr>
            <w:r>
              <w:rPr>
                <w:rFonts w:hint="eastAsia" w:ascii="宋体" w:hAnsi="宋体" w:cs="宋体"/>
                <w:color w:val="auto"/>
                <w:szCs w:val="21"/>
              </w:rPr>
              <w:t>投标文件份数：正本</w:t>
            </w:r>
            <w:r>
              <w:rPr>
                <w:rFonts w:ascii="宋体" w:hAnsi="宋体" w:cs="宋体"/>
                <w:color w:val="auto"/>
                <w:szCs w:val="21"/>
              </w:rPr>
              <w:t>1套，副本5套，共计6套。正本单独包封，以便开标时使用。</w:t>
            </w:r>
          </w:p>
          <w:p>
            <w:pPr>
              <w:ind w:left="1692" w:hanging="1692"/>
              <w:rPr>
                <w:rFonts w:ascii="宋体" w:hAnsi="宋体" w:cs="宋体"/>
                <w:color w:val="auto"/>
                <w:szCs w:val="21"/>
              </w:rPr>
            </w:pPr>
            <w:r>
              <w:rPr>
                <w:rFonts w:hint="eastAsia" w:ascii="宋体" w:hAnsi="宋体" w:cs="宋体"/>
                <w:color w:val="auto"/>
                <w:szCs w:val="21"/>
              </w:rPr>
              <w:t>标书装订要求：详见第</w:t>
            </w:r>
            <w:r>
              <w:rPr>
                <w:rFonts w:ascii="宋体" w:hAnsi="宋体" w:cs="宋体"/>
                <w:color w:val="auto"/>
                <w:szCs w:val="21"/>
              </w:rPr>
              <w:t>1章投标须知3.5条和3.6条要求。</w:t>
            </w:r>
          </w:p>
          <w:p>
            <w:pPr>
              <w:jc w:val="left"/>
              <w:rPr>
                <w:rFonts w:ascii="宋体" w:hAnsi="宋体" w:cs="宋体"/>
                <w:color w:val="auto"/>
                <w:szCs w:val="21"/>
              </w:rPr>
            </w:pPr>
            <w:r>
              <w:rPr>
                <w:rFonts w:hint="eastAsia" w:ascii="宋体" w:hAnsi="宋体" w:cs="宋体"/>
                <w:color w:val="auto"/>
                <w:szCs w:val="21"/>
              </w:rPr>
              <w:t>注：中标单位在领取中标通知书前应再补交</w:t>
            </w:r>
            <w:r>
              <w:rPr>
                <w:rFonts w:ascii="宋体" w:hAnsi="宋体" w:cs="宋体"/>
                <w:color w:val="auto"/>
                <w:szCs w:val="21"/>
              </w:rPr>
              <w:t>9</w:t>
            </w:r>
            <w:r>
              <w:rPr>
                <w:rFonts w:hint="eastAsia" w:ascii="宋体" w:hAnsi="宋体" w:cs="宋体"/>
                <w:color w:val="auto"/>
                <w:szCs w:val="21"/>
                <w:u w:val="single"/>
              </w:rPr>
              <w:t>套</w:t>
            </w:r>
            <w:r>
              <w:rPr>
                <w:rFonts w:hint="eastAsia" w:ascii="宋体" w:hAnsi="宋体" w:cs="宋体"/>
                <w:color w:val="auto"/>
                <w:szCs w:val="21"/>
              </w:rPr>
              <w:t>内容、装订与原投标文件完全一致的投标文件副本以及评标过程中的投标澄清文件。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777" w:type="dxa"/>
            <w:vAlign w:val="center"/>
          </w:tcPr>
          <w:p>
            <w:pPr>
              <w:jc w:val="center"/>
              <w:rPr>
                <w:rFonts w:ascii="宋体" w:hAnsi="宋体" w:cs="宋体"/>
                <w:color w:val="auto"/>
                <w:szCs w:val="21"/>
              </w:rPr>
            </w:pPr>
            <w:r>
              <w:rPr>
                <w:rFonts w:ascii="宋体" w:hAnsi="宋体" w:cs="宋体"/>
                <w:color w:val="auto"/>
                <w:szCs w:val="21"/>
              </w:rPr>
              <w:t>6</w:t>
            </w:r>
          </w:p>
        </w:tc>
        <w:tc>
          <w:tcPr>
            <w:tcW w:w="944" w:type="dxa"/>
            <w:vAlign w:val="center"/>
          </w:tcPr>
          <w:p>
            <w:pPr>
              <w:jc w:val="center"/>
              <w:rPr>
                <w:rFonts w:ascii="宋体" w:hAnsi="宋体" w:cs="宋体"/>
                <w:color w:val="auto"/>
                <w:szCs w:val="21"/>
              </w:rPr>
            </w:pPr>
            <w:r>
              <w:rPr>
                <w:rFonts w:ascii="宋体" w:hAnsi="宋体" w:cs="宋体"/>
                <w:color w:val="auto"/>
                <w:szCs w:val="21"/>
              </w:rPr>
              <w:t>4.2</w:t>
            </w:r>
          </w:p>
        </w:tc>
        <w:tc>
          <w:tcPr>
            <w:tcW w:w="7793" w:type="dxa"/>
          </w:tcPr>
          <w:p>
            <w:pPr>
              <w:spacing w:line="242" w:lineRule="auto"/>
              <w:rPr>
                <w:rFonts w:ascii="宋体" w:hAnsi="宋体" w:cs="宋体"/>
                <w:b/>
                <w:color w:val="auto"/>
                <w:szCs w:val="21"/>
                <w:u w:val="single"/>
              </w:rPr>
            </w:pPr>
            <w:r>
              <w:rPr>
                <w:rFonts w:hint="eastAsia" w:ascii="宋体" w:hAnsi="宋体" w:cs="宋体"/>
                <w:color w:val="auto"/>
                <w:szCs w:val="21"/>
              </w:rPr>
              <w:t>投标递交至：</w:t>
            </w:r>
            <w:r>
              <w:rPr>
                <w:rFonts w:hint="eastAsia" w:ascii="宋体" w:hAnsi="宋体" w:cs="宋体"/>
                <w:color w:val="auto"/>
                <w:szCs w:val="21"/>
                <w:u w:val="single"/>
              </w:rPr>
              <w:t>广州公共资源交易中心</w:t>
            </w:r>
          </w:p>
          <w:p>
            <w:pPr>
              <w:spacing w:line="242" w:lineRule="auto"/>
              <w:rPr>
                <w:rFonts w:ascii="宋体" w:hAnsi="宋体" w:cs="宋体"/>
                <w:b/>
                <w:color w:val="auto"/>
                <w:szCs w:val="21"/>
                <w:u w:val="single"/>
              </w:rPr>
            </w:pPr>
            <w:r>
              <w:rPr>
                <w:rFonts w:hint="eastAsia" w:ascii="宋体" w:hAnsi="宋体" w:cs="宋体"/>
                <w:color w:val="auto"/>
                <w:szCs w:val="21"/>
              </w:rPr>
              <w:t>地</w:t>
            </w:r>
            <w:r>
              <w:rPr>
                <w:rFonts w:ascii="宋体" w:hAnsi="宋体" w:cs="宋体"/>
                <w:color w:val="auto"/>
                <w:szCs w:val="21"/>
              </w:rPr>
              <w:t xml:space="preserve">      </w:t>
            </w:r>
            <w:r>
              <w:rPr>
                <w:rFonts w:hint="eastAsia" w:ascii="宋体" w:hAnsi="宋体" w:cs="宋体"/>
                <w:color w:val="auto"/>
                <w:szCs w:val="21"/>
              </w:rPr>
              <w:t>址；</w:t>
            </w:r>
            <w:r>
              <w:rPr>
                <w:rFonts w:hint="eastAsia" w:ascii="宋体" w:hAnsi="宋体" w:cs="宋体"/>
                <w:color w:val="auto"/>
                <w:szCs w:val="21"/>
                <w:u w:val="single"/>
              </w:rPr>
              <w:t>广州市天河区天润路</w:t>
            </w:r>
            <w:r>
              <w:rPr>
                <w:rFonts w:ascii="宋体" w:hAnsi="宋体" w:cs="宋体"/>
                <w:color w:val="auto"/>
                <w:szCs w:val="21"/>
                <w:u w:val="single"/>
              </w:rPr>
              <w:t>333号</w:t>
            </w:r>
          </w:p>
          <w:p>
            <w:pPr>
              <w:spacing w:line="242" w:lineRule="auto"/>
              <w:rPr>
                <w:rFonts w:ascii="宋体" w:hAnsi="宋体" w:cs="宋体"/>
                <w:color w:val="auto"/>
                <w:szCs w:val="21"/>
              </w:rPr>
            </w:pPr>
            <w:r>
              <w:rPr>
                <w:rFonts w:hint="eastAsia" w:ascii="宋体" w:hAnsi="宋体" w:cs="宋体"/>
                <w:color w:val="auto"/>
                <w:szCs w:val="21"/>
              </w:rPr>
              <w:t>联</w:t>
            </w:r>
            <w:r>
              <w:rPr>
                <w:rFonts w:ascii="宋体" w:hAnsi="宋体" w:cs="宋体"/>
                <w:color w:val="auto"/>
                <w:szCs w:val="21"/>
              </w:rPr>
              <w:t xml:space="preserve">  </w:t>
            </w:r>
            <w:r>
              <w:rPr>
                <w:rFonts w:hint="eastAsia" w:ascii="宋体" w:hAnsi="宋体" w:cs="宋体"/>
                <w:color w:val="auto"/>
                <w:szCs w:val="21"/>
              </w:rPr>
              <w:t>系</w:t>
            </w:r>
            <w:r>
              <w:rPr>
                <w:rFonts w:ascii="宋体" w:hAnsi="宋体" w:cs="宋体"/>
                <w:color w:val="auto"/>
                <w:szCs w:val="21"/>
              </w:rPr>
              <w:t xml:space="preserve">  </w:t>
            </w:r>
            <w:r>
              <w:rPr>
                <w:rFonts w:hint="eastAsia" w:ascii="宋体" w:hAnsi="宋体" w:cs="宋体"/>
                <w:color w:val="auto"/>
                <w:szCs w:val="21"/>
              </w:rPr>
              <w:t>人：</w:t>
            </w:r>
            <w:r>
              <w:rPr>
                <w:rFonts w:ascii="宋体" w:hAnsi="宋体" w:cs="宋体"/>
                <w:b/>
                <w:color w:val="auto"/>
                <w:szCs w:val="21"/>
                <w:u w:val="single"/>
              </w:rPr>
              <w:t xml:space="preserve">        /         </w:t>
            </w:r>
          </w:p>
          <w:p>
            <w:pPr>
              <w:spacing w:line="242" w:lineRule="auto"/>
              <w:rPr>
                <w:rFonts w:ascii="宋体" w:hAnsi="宋体" w:cs="宋体"/>
                <w:color w:val="auto"/>
                <w:szCs w:val="21"/>
              </w:rPr>
            </w:pPr>
            <w:r>
              <w:rPr>
                <w:rFonts w:hint="eastAsia" w:ascii="宋体" w:hAnsi="宋体" w:cs="宋体"/>
                <w:color w:val="auto"/>
                <w:szCs w:val="21"/>
              </w:rPr>
              <w:t>电</w:t>
            </w:r>
            <w:r>
              <w:rPr>
                <w:rFonts w:ascii="宋体" w:hAnsi="宋体" w:cs="宋体"/>
                <w:color w:val="auto"/>
                <w:szCs w:val="21"/>
              </w:rPr>
              <w:t xml:space="preserve">      </w:t>
            </w:r>
            <w:r>
              <w:rPr>
                <w:rFonts w:hint="eastAsia" w:ascii="宋体" w:hAnsi="宋体" w:cs="宋体"/>
                <w:color w:val="auto"/>
                <w:szCs w:val="21"/>
              </w:rPr>
              <w:t>话：</w:t>
            </w:r>
            <w:r>
              <w:rPr>
                <w:rFonts w:ascii="宋体" w:hAnsi="宋体" w:cs="宋体"/>
                <w:b/>
                <w:color w:val="auto"/>
                <w:szCs w:val="21"/>
                <w:u w:val="single"/>
              </w:rPr>
              <w:t xml:space="preserve">        /         </w:t>
            </w:r>
          </w:p>
          <w:p>
            <w:pPr>
              <w:rPr>
                <w:rFonts w:ascii="宋体" w:hAnsi="宋体" w:cs="宋体"/>
                <w:color w:val="auto"/>
                <w:szCs w:val="21"/>
              </w:rPr>
            </w:pPr>
            <w:r>
              <w:rPr>
                <w:rFonts w:hint="eastAsia" w:ascii="宋体" w:hAnsi="宋体" w:cs="宋体"/>
                <w:color w:val="auto"/>
                <w:szCs w:val="21"/>
              </w:rPr>
              <w:t>传</w:t>
            </w:r>
            <w:r>
              <w:rPr>
                <w:rFonts w:ascii="宋体" w:hAnsi="宋体" w:cs="宋体"/>
                <w:color w:val="auto"/>
                <w:szCs w:val="21"/>
              </w:rPr>
              <w:t xml:space="preserve">      </w:t>
            </w:r>
            <w:r>
              <w:rPr>
                <w:rFonts w:hint="eastAsia" w:ascii="宋体" w:hAnsi="宋体" w:cs="宋体"/>
                <w:color w:val="auto"/>
                <w:szCs w:val="21"/>
              </w:rPr>
              <w:t>真：</w:t>
            </w:r>
            <w:r>
              <w:rPr>
                <w:rFonts w:ascii="宋体" w:hAnsi="宋体" w:cs="宋体"/>
                <w:b/>
                <w:color w:val="auto"/>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777" w:type="dxa"/>
            <w:vAlign w:val="center"/>
          </w:tcPr>
          <w:p>
            <w:pPr>
              <w:jc w:val="center"/>
              <w:rPr>
                <w:rFonts w:ascii="宋体" w:hAnsi="宋体" w:cs="宋体"/>
                <w:color w:val="auto"/>
                <w:szCs w:val="21"/>
              </w:rPr>
            </w:pPr>
            <w:r>
              <w:rPr>
                <w:rFonts w:ascii="宋体" w:hAnsi="宋体" w:cs="宋体"/>
                <w:color w:val="auto"/>
                <w:szCs w:val="21"/>
              </w:rPr>
              <w:t>7</w:t>
            </w:r>
          </w:p>
        </w:tc>
        <w:tc>
          <w:tcPr>
            <w:tcW w:w="944" w:type="dxa"/>
            <w:vAlign w:val="center"/>
          </w:tcPr>
          <w:p>
            <w:pPr>
              <w:jc w:val="center"/>
              <w:rPr>
                <w:rFonts w:ascii="宋体" w:hAnsi="宋体" w:cs="宋体"/>
                <w:color w:val="auto"/>
                <w:szCs w:val="21"/>
              </w:rPr>
            </w:pPr>
            <w:r>
              <w:rPr>
                <w:rFonts w:ascii="宋体" w:hAnsi="宋体" w:cs="宋体"/>
                <w:color w:val="auto"/>
                <w:szCs w:val="21"/>
              </w:rPr>
              <w:t>4.2</w:t>
            </w:r>
          </w:p>
        </w:tc>
        <w:tc>
          <w:tcPr>
            <w:tcW w:w="7793" w:type="dxa"/>
          </w:tcPr>
          <w:p>
            <w:pPr>
              <w:spacing w:line="242" w:lineRule="auto"/>
              <w:rPr>
                <w:rFonts w:ascii="宋体" w:hAnsi="宋体" w:cs="宋体"/>
                <w:color w:val="auto"/>
                <w:szCs w:val="21"/>
              </w:rPr>
            </w:pPr>
            <w:r>
              <w:rPr>
                <w:rFonts w:hint="eastAsia" w:ascii="宋体" w:hAnsi="宋体" w:cs="宋体"/>
                <w:color w:val="auto"/>
                <w:szCs w:val="21"/>
              </w:rPr>
              <w:t>投标时间：</w:t>
            </w: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日（星期</w:t>
            </w:r>
            <w:r>
              <w:rPr>
                <w:rFonts w:ascii="宋体" w:hAnsi="宋体" w:cs="宋体"/>
                <w:color w:val="auto"/>
                <w:szCs w:val="21"/>
                <w:u w:val="single"/>
              </w:rPr>
              <w:t xml:space="preserve">  </w:t>
            </w:r>
            <w:r>
              <w:rPr>
                <w:rFonts w:hint="eastAsia" w:ascii="宋体" w:hAnsi="宋体" w:cs="宋体"/>
                <w:color w:val="auto"/>
                <w:szCs w:val="21"/>
              </w:rPr>
              <w:t>）</w:t>
            </w:r>
          </w:p>
          <w:p>
            <w:pPr>
              <w:ind w:firstLine="1201" w:firstLineChars="572"/>
              <w:rPr>
                <w:rFonts w:ascii="宋体" w:hAnsi="宋体" w:cs="宋体"/>
                <w:color w:val="auto"/>
                <w:szCs w:val="21"/>
              </w:rPr>
            </w:pPr>
            <w:r>
              <w:rPr>
                <w:rFonts w:hint="eastAsia" w:ascii="宋体" w:hAnsi="宋体" w:cs="宋体"/>
                <w:color w:val="auto"/>
                <w:szCs w:val="21"/>
              </w:rPr>
              <w:t>时间：</w:t>
            </w:r>
            <w:r>
              <w:rPr>
                <w:rFonts w:ascii="宋体" w:hAnsi="宋体" w:cs="宋体"/>
                <w:color w:val="auto"/>
                <w:szCs w:val="21"/>
              </w:rPr>
              <w:t xml:space="preserve"> </w:t>
            </w:r>
            <w:r>
              <w:rPr>
                <w:rFonts w:ascii="宋体" w:hAnsi="宋体" w:cs="宋体"/>
                <w:b/>
                <w:color w:val="auto"/>
                <w:szCs w:val="21"/>
                <w:u w:val="single"/>
              </w:rPr>
              <w:t xml:space="preserve">                        </w:t>
            </w:r>
            <w:r>
              <w:rPr>
                <w:rFonts w:ascii="宋体" w:hAnsi="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777" w:type="dxa"/>
            <w:vAlign w:val="center"/>
          </w:tcPr>
          <w:p>
            <w:pPr>
              <w:jc w:val="center"/>
              <w:rPr>
                <w:rFonts w:ascii="宋体" w:hAnsi="宋体" w:cs="宋体"/>
                <w:color w:val="auto"/>
                <w:szCs w:val="21"/>
              </w:rPr>
            </w:pPr>
            <w:r>
              <w:rPr>
                <w:rFonts w:ascii="宋体" w:hAnsi="宋体" w:cs="宋体"/>
                <w:color w:val="auto"/>
                <w:szCs w:val="21"/>
              </w:rPr>
              <w:t>8</w:t>
            </w:r>
          </w:p>
        </w:tc>
        <w:tc>
          <w:tcPr>
            <w:tcW w:w="944" w:type="dxa"/>
            <w:vAlign w:val="center"/>
          </w:tcPr>
          <w:p>
            <w:pPr>
              <w:jc w:val="center"/>
              <w:rPr>
                <w:rFonts w:ascii="宋体" w:hAnsi="宋体" w:cs="宋体"/>
                <w:color w:val="auto"/>
                <w:szCs w:val="21"/>
              </w:rPr>
            </w:pPr>
            <w:r>
              <w:rPr>
                <w:rFonts w:ascii="宋体" w:hAnsi="宋体" w:cs="宋体"/>
                <w:color w:val="auto"/>
                <w:szCs w:val="21"/>
              </w:rPr>
              <w:t>5.1</w:t>
            </w:r>
          </w:p>
        </w:tc>
        <w:tc>
          <w:tcPr>
            <w:tcW w:w="7793" w:type="dxa"/>
          </w:tcPr>
          <w:p>
            <w:pPr>
              <w:spacing w:line="242" w:lineRule="auto"/>
              <w:rPr>
                <w:rFonts w:ascii="宋体" w:hAnsi="宋体" w:cs="宋体"/>
                <w:color w:val="auto"/>
                <w:szCs w:val="21"/>
              </w:rPr>
            </w:pPr>
            <w:r>
              <w:rPr>
                <w:rFonts w:hint="eastAsia" w:ascii="宋体" w:hAnsi="宋体" w:cs="宋体"/>
                <w:color w:val="auto"/>
                <w:szCs w:val="21"/>
              </w:rPr>
              <w:t>开标：</w:t>
            </w:r>
            <w:r>
              <w:rPr>
                <w:rFonts w:ascii="宋体" w:hAnsi="宋体" w:cs="宋体"/>
                <w:color w:val="auto"/>
                <w:szCs w:val="21"/>
              </w:rPr>
              <w:t xml:space="preserve"> </w:t>
            </w: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日（星期</w:t>
            </w:r>
            <w:r>
              <w:rPr>
                <w:rFonts w:ascii="宋体" w:hAnsi="宋体" w:cs="宋体"/>
                <w:color w:val="auto"/>
                <w:szCs w:val="21"/>
                <w:u w:val="single"/>
              </w:rPr>
              <w:t xml:space="preserve">  </w:t>
            </w:r>
            <w:r>
              <w:rPr>
                <w:rFonts w:hint="eastAsia" w:ascii="宋体" w:hAnsi="宋体" w:cs="宋体"/>
                <w:color w:val="auto"/>
                <w:szCs w:val="21"/>
              </w:rPr>
              <w:t>）（本次开技术标，经济标开标时间待定）</w:t>
            </w:r>
          </w:p>
          <w:p>
            <w:pPr>
              <w:spacing w:line="242" w:lineRule="auto"/>
              <w:ind w:firstLine="753" w:firstLineChars="359"/>
              <w:rPr>
                <w:rFonts w:ascii="宋体" w:hAnsi="宋体" w:cs="宋体"/>
                <w:color w:val="auto"/>
                <w:szCs w:val="21"/>
              </w:rPr>
            </w:pPr>
            <w:r>
              <w:rPr>
                <w:rFonts w:hint="eastAsia" w:ascii="宋体" w:hAnsi="宋体" w:cs="宋体"/>
                <w:color w:val="auto"/>
                <w:szCs w:val="21"/>
              </w:rPr>
              <w:t>时间：</w:t>
            </w:r>
            <w:r>
              <w:rPr>
                <w:rFonts w:ascii="宋体" w:hAnsi="宋体" w:cs="宋体"/>
                <w:b/>
                <w:color w:val="auto"/>
                <w:szCs w:val="21"/>
                <w:u w:val="single"/>
              </w:rPr>
              <w:t xml:space="preserve">                       </w:t>
            </w:r>
          </w:p>
          <w:p>
            <w:pPr>
              <w:ind w:firstLine="766" w:firstLineChars="365"/>
              <w:rPr>
                <w:rFonts w:ascii="宋体" w:hAnsi="宋体" w:cs="宋体"/>
                <w:color w:val="auto"/>
                <w:szCs w:val="21"/>
              </w:rPr>
            </w:pPr>
            <w:r>
              <w:rPr>
                <w:rFonts w:hint="eastAsia" w:ascii="宋体" w:hAnsi="宋体" w:cs="宋体"/>
                <w:color w:val="auto"/>
                <w:szCs w:val="21"/>
              </w:rPr>
              <w:t>地点：</w:t>
            </w:r>
            <w:r>
              <w:rPr>
                <w:rFonts w:hint="eastAsia" w:ascii="宋体" w:hAnsi="宋体" w:cs="宋体"/>
                <w:color w:val="auto"/>
                <w:szCs w:val="21"/>
                <w:u w:val="single"/>
              </w:rPr>
              <w:t>广州市天河区天润路</w:t>
            </w:r>
            <w:r>
              <w:rPr>
                <w:rFonts w:ascii="宋体" w:hAnsi="宋体" w:cs="宋体"/>
                <w:color w:val="auto"/>
                <w:szCs w:val="21"/>
                <w:u w:val="single"/>
              </w:rPr>
              <w:t>333号广州公共资源交易中心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7" w:type="dxa"/>
            <w:tcBorders>
              <w:bottom w:val="single" w:color="auto" w:sz="4" w:space="0"/>
            </w:tcBorders>
            <w:vAlign w:val="center"/>
          </w:tcPr>
          <w:p>
            <w:pPr>
              <w:jc w:val="center"/>
              <w:rPr>
                <w:rFonts w:ascii="宋体" w:hAnsi="宋体" w:cs="宋体"/>
                <w:color w:val="auto"/>
                <w:szCs w:val="21"/>
              </w:rPr>
            </w:pPr>
            <w:r>
              <w:rPr>
                <w:rFonts w:ascii="宋体" w:hAnsi="宋体" w:cs="宋体"/>
                <w:color w:val="auto"/>
                <w:szCs w:val="21"/>
              </w:rPr>
              <w:t>9</w:t>
            </w:r>
          </w:p>
        </w:tc>
        <w:tc>
          <w:tcPr>
            <w:tcW w:w="944" w:type="dxa"/>
            <w:tcBorders>
              <w:bottom w:val="single" w:color="auto" w:sz="4" w:space="0"/>
            </w:tcBorders>
            <w:vAlign w:val="center"/>
          </w:tcPr>
          <w:p>
            <w:pPr>
              <w:jc w:val="center"/>
              <w:rPr>
                <w:rFonts w:ascii="宋体" w:hAnsi="宋体" w:cs="宋体"/>
                <w:color w:val="auto"/>
                <w:szCs w:val="21"/>
              </w:rPr>
            </w:pPr>
          </w:p>
        </w:tc>
        <w:tc>
          <w:tcPr>
            <w:tcW w:w="7793" w:type="dxa"/>
            <w:tcBorders>
              <w:bottom w:val="single" w:color="auto" w:sz="4" w:space="0"/>
            </w:tcBorders>
            <w:vAlign w:val="center"/>
          </w:tcPr>
          <w:p>
            <w:pPr>
              <w:rPr>
                <w:rFonts w:ascii="宋体" w:hAnsi="宋体" w:cs="宋体"/>
                <w:b/>
                <w:bCs/>
                <w:color w:val="auto"/>
                <w:szCs w:val="21"/>
              </w:rPr>
            </w:pPr>
            <w:r>
              <w:rPr>
                <w:rFonts w:hint="eastAsia" w:ascii="宋体" w:hAnsi="宋体" w:cs="宋体"/>
                <w:b/>
                <w:bCs/>
                <w:color w:val="auto"/>
                <w:szCs w:val="21"/>
              </w:rPr>
              <w:t>评标准则：具体内容以招标人颁布的“评标办法”为准。（见第Ⅴ卷）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777" w:type="dxa"/>
            <w:vAlign w:val="center"/>
          </w:tcPr>
          <w:p>
            <w:pPr>
              <w:jc w:val="center"/>
              <w:rPr>
                <w:rFonts w:ascii="宋体" w:hAnsi="宋体" w:cs="宋体"/>
                <w:color w:val="auto"/>
                <w:szCs w:val="21"/>
              </w:rPr>
            </w:pPr>
            <w:r>
              <w:rPr>
                <w:rFonts w:ascii="宋体" w:hAnsi="宋体" w:cs="宋体"/>
                <w:color w:val="auto"/>
                <w:szCs w:val="21"/>
              </w:rPr>
              <w:t>10</w:t>
            </w:r>
          </w:p>
        </w:tc>
        <w:tc>
          <w:tcPr>
            <w:tcW w:w="944" w:type="dxa"/>
            <w:vAlign w:val="center"/>
          </w:tcPr>
          <w:p>
            <w:pPr>
              <w:jc w:val="center"/>
              <w:rPr>
                <w:rFonts w:ascii="宋体" w:hAnsi="宋体" w:cs="宋体"/>
                <w:color w:val="auto"/>
                <w:szCs w:val="21"/>
              </w:rPr>
            </w:pPr>
            <w:r>
              <w:rPr>
                <w:rFonts w:ascii="宋体" w:hAnsi="宋体" w:cs="宋体"/>
                <w:color w:val="auto"/>
                <w:szCs w:val="21"/>
              </w:rPr>
              <w:t>2.2</w:t>
            </w:r>
          </w:p>
        </w:tc>
        <w:tc>
          <w:tcPr>
            <w:tcW w:w="7793" w:type="dxa"/>
            <w:vAlign w:val="center"/>
          </w:tcPr>
          <w:p>
            <w:pPr>
              <w:spacing w:line="242" w:lineRule="auto"/>
              <w:rPr>
                <w:rFonts w:ascii="宋体" w:hAnsi="宋体" w:cs="宋体"/>
                <w:color w:val="auto"/>
                <w:szCs w:val="21"/>
              </w:rPr>
            </w:pPr>
            <w:r>
              <w:rPr>
                <w:rFonts w:hint="eastAsia" w:ascii="宋体" w:hAnsi="宋体" w:cs="宋体"/>
                <w:color w:val="auto"/>
                <w:szCs w:val="21"/>
              </w:rPr>
              <w:t>疑问提交时间：投标</w:t>
            </w:r>
            <w:r>
              <w:rPr>
                <w:rFonts w:hint="eastAsia" w:ascii="宋体" w:hAnsi="宋体" w:cs="宋体"/>
                <w:color w:val="auto"/>
                <w:szCs w:val="21"/>
                <w:lang w:eastAsia="zh-CN"/>
              </w:rPr>
              <w:t>登记</w:t>
            </w:r>
            <w:r>
              <w:rPr>
                <w:rFonts w:hint="eastAsia" w:ascii="宋体" w:hAnsi="宋体" w:cs="宋体"/>
                <w:color w:val="auto"/>
                <w:szCs w:val="21"/>
              </w:rPr>
              <w:t>截止日后第</w:t>
            </w:r>
            <w:r>
              <w:rPr>
                <w:rFonts w:ascii="宋体" w:hAnsi="宋体" w:cs="宋体"/>
                <w:color w:val="auto"/>
                <w:szCs w:val="21"/>
              </w:rPr>
              <w:t>2个工作日的17时前。</w:t>
            </w:r>
          </w:p>
          <w:p>
            <w:pPr>
              <w:spacing w:line="242" w:lineRule="auto"/>
              <w:rPr>
                <w:rFonts w:ascii="宋体" w:hAnsi="宋体" w:cs="宋体"/>
                <w:color w:val="auto"/>
                <w:szCs w:val="21"/>
              </w:rPr>
            </w:pPr>
            <w:r>
              <w:rPr>
                <w:rFonts w:hint="eastAsia" w:ascii="宋体" w:hAnsi="宋体" w:cs="宋体"/>
                <w:color w:val="auto"/>
                <w:szCs w:val="21"/>
              </w:rPr>
              <w:t>提出疑问的方式：同时将澄清文件答疑问题盖章扫描件及内容完全一致的可编辑电子文档发送到</w:t>
            </w:r>
            <w:r>
              <w:rPr>
                <w:rFonts w:ascii="宋体" w:hAnsi="宋体" w:cs="宋体"/>
                <w:color w:val="auto"/>
                <w:szCs w:val="21"/>
              </w:rPr>
              <w:t>zbgs6b@126.com。否则不予受理。</w:t>
            </w:r>
          </w:p>
          <w:p>
            <w:pPr>
              <w:spacing w:line="242" w:lineRule="auto"/>
              <w:rPr>
                <w:rFonts w:ascii="宋体" w:hAnsi="宋体" w:cs="宋体"/>
                <w:color w:val="auto"/>
                <w:szCs w:val="21"/>
              </w:rPr>
            </w:pPr>
            <w:r>
              <w:rPr>
                <w:rFonts w:hint="eastAsia" w:ascii="宋体" w:hAnsi="宋体" w:cs="宋体"/>
                <w:color w:val="auto"/>
                <w:szCs w:val="21"/>
              </w:rPr>
              <w:t>注：答疑纪要一旦在交易中心网站发布，视为已经发送给投标人，请投标人自行下载查阅。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777" w:type="dxa"/>
            <w:vAlign w:val="center"/>
          </w:tcPr>
          <w:p>
            <w:pPr>
              <w:jc w:val="center"/>
              <w:rPr>
                <w:rFonts w:ascii="宋体" w:hAnsi="宋体" w:cs="宋体"/>
                <w:color w:val="auto"/>
                <w:szCs w:val="21"/>
              </w:rPr>
            </w:pPr>
            <w:r>
              <w:rPr>
                <w:rFonts w:ascii="宋体" w:hAnsi="宋体" w:cs="宋体"/>
                <w:color w:val="auto"/>
                <w:szCs w:val="21"/>
              </w:rPr>
              <w:t>11</w:t>
            </w:r>
          </w:p>
        </w:tc>
        <w:tc>
          <w:tcPr>
            <w:tcW w:w="944" w:type="dxa"/>
            <w:vAlign w:val="center"/>
          </w:tcPr>
          <w:p>
            <w:pPr>
              <w:jc w:val="center"/>
              <w:rPr>
                <w:rFonts w:ascii="宋体" w:hAnsi="宋体" w:cs="宋体"/>
                <w:color w:val="auto"/>
                <w:szCs w:val="21"/>
              </w:rPr>
            </w:pPr>
          </w:p>
        </w:tc>
        <w:tc>
          <w:tcPr>
            <w:tcW w:w="7793" w:type="dxa"/>
            <w:vAlign w:val="center"/>
          </w:tcPr>
          <w:p>
            <w:pPr>
              <w:numPr>
                <w:ilvl w:val="0"/>
                <w:numId w:val="1"/>
              </w:numPr>
              <w:spacing w:line="242" w:lineRule="auto"/>
              <w:rPr>
                <w:rFonts w:ascii="宋体" w:hAnsi="宋体" w:cs="宋体"/>
                <w:color w:val="auto"/>
                <w:szCs w:val="21"/>
              </w:rPr>
            </w:pPr>
            <w:r>
              <w:rPr>
                <w:rFonts w:hint="eastAsia" w:ascii="宋体" w:hAnsi="宋体" w:cs="宋体"/>
                <w:color w:val="auto"/>
                <w:szCs w:val="21"/>
              </w:rPr>
              <w:t>投标文件语言：中文。</w:t>
            </w:r>
          </w:p>
          <w:p>
            <w:pPr>
              <w:numPr>
                <w:ilvl w:val="0"/>
                <w:numId w:val="1"/>
              </w:numPr>
              <w:spacing w:line="242" w:lineRule="auto"/>
              <w:rPr>
                <w:rFonts w:ascii="宋体" w:hAnsi="宋体" w:cs="宋体"/>
                <w:color w:val="auto"/>
                <w:szCs w:val="21"/>
              </w:rPr>
            </w:pPr>
            <w:r>
              <w:rPr>
                <w:rFonts w:hint="eastAsia" w:ascii="宋体" w:hAnsi="宋体" w:cs="宋体"/>
                <w:color w:val="auto"/>
                <w:szCs w:val="21"/>
              </w:rPr>
              <w:t>评标原则以本招标文件所附的“评标办法”为准。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7" w:type="dxa"/>
            <w:vAlign w:val="center"/>
          </w:tcPr>
          <w:p>
            <w:pPr>
              <w:jc w:val="center"/>
              <w:rPr>
                <w:rFonts w:ascii="宋体" w:hAnsi="宋体" w:cs="宋体"/>
                <w:color w:val="auto"/>
                <w:szCs w:val="21"/>
              </w:rPr>
            </w:pPr>
            <w:r>
              <w:rPr>
                <w:rFonts w:ascii="宋体" w:hAnsi="宋体" w:cs="宋体"/>
                <w:color w:val="auto"/>
                <w:szCs w:val="21"/>
              </w:rPr>
              <w:t>12</w:t>
            </w:r>
          </w:p>
        </w:tc>
        <w:tc>
          <w:tcPr>
            <w:tcW w:w="944" w:type="dxa"/>
            <w:vAlign w:val="center"/>
          </w:tcPr>
          <w:p>
            <w:pPr>
              <w:jc w:val="center"/>
              <w:rPr>
                <w:rFonts w:ascii="宋体" w:hAnsi="宋体" w:cs="宋体"/>
                <w:color w:val="auto"/>
                <w:szCs w:val="21"/>
              </w:rPr>
            </w:pPr>
            <w:r>
              <w:rPr>
                <w:rFonts w:hint="eastAsia" w:ascii="宋体" w:hAnsi="宋体" w:cs="宋体"/>
                <w:color w:val="auto"/>
                <w:szCs w:val="21"/>
              </w:rPr>
              <w:t>互检要求</w:t>
            </w:r>
          </w:p>
        </w:tc>
        <w:tc>
          <w:tcPr>
            <w:tcW w:w="7793" w:type="dxa"/>
            <w:vAlign w:val="center"/>
          </w:tcPr>
          <w:p>
            <w:pPr>
              <w:spacing w:line="360" w:lineRule="auto"/>
              <w:rPr>
                <w:rFonts w:ascii="宋体" w:hAnsi="宋体" w:cs="宋体"/>
                <w:color w:val="auto"/>
                <w:szCs w:val="21"/>
              </w:rPr>
            </w:pPr>
            <w:r>
              <w:rPr>
                <w:rFonts w:hint="eastAsia" w:ascii="宋体" w:hAnsi="宋体" w:cs="宋体"/>
                <w:color w:val="auto"/>
                <w:szCs w:val="21"/>
              </w:rPr>
              <w:t>互检要求：</w:t>
            </w:r>
            <w:r>
              <w:rPr>
                <w:rFonts w:hint="eastAsia" w:ascii="宋体" w:hAnsi="宋体" w:cs="宋体"/>
                <w:bCs/>
                <w:color w:val="auto"/>
                <w:szCs w:val="21"/>
              </w:rPr>
              <w:t>根据《关于加强东莞市建设工程质量检测机构监督管理的通知》（东建质安〔</w:t>
            </w:r>
            <w:r>
              <w:rPr>
                <w:rFonts w:ascii="宋体" w:hAnsi="宋体" w:cs="宋体"/>
                <w:bCs/>
                <w:color w:val="auto"/>
                <w:szCs w:val="21"/>
              </w:rPr>
              <w:t>2018〕33号）规定，“工程基桩检测结果验证，同一单位工程的基桩完整性检测与承载力检测应委托不同的检测机构实施的规定”相关要求，1405标基桩承载力检测由1407标中标单位进行检测；1406基桩承载力检测由1405标中标单位进行检测。1407标基桩承载力检测由1406标中标单位进行检测。</w:t>
            </w:r>
            <w:r>
              <w:rPr>
                <w:rFonts w:hint="eastAsia" w:ascii="宋体" w:hAnsi="宋体" w:cs="宋体"/>
                <w:bCs/>
                <w:color w:val="auto"/>
                <w:szCs w:val="21"/>
              </w:rPr>
              <w:t>（如果出现互检单位与检测范围内的施工单位存在控股和管理关系时，该标段内的基桩承载力检测任务由项目业主调配至无控股和管理关系的本批次其他中标单位负责）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777" w:type="dxa"/>
            <w:vAlign w:val="center"/>
          </w:tcPr>
          <w:p>
            <w:pPr>
              <w:jc w:val="center"/>
              <w:rPr>
                <w:rFonts w:ascii="宋体" w:hAnsi="宋体" w:cs="宋体"/>
                <w:color w:val="auto"/>
                <w:szCs w:val="21"/>
              </w:rPr>
            </w:pPr>
            <w:r>
              <w:rPr>
                <w:rFonts w:ascii="宋体" w:hAnsi="宋体" w:cs="宋体"/>
                <w:color w:val="auto"/>
                <w:szCs w:val="21"/>
              </w:rPr>
              <w:t>13</w:t>
            </w:r>
          </w:p>
        </w:tc>
        <w:tc>
          <w:tcPr>
            <w:tcW w:w="944" w:type="dxa"/>
            <w:vAlign w:val="center"/>
          </w:tcPr>
          <w:p>
            <w:pPr>
              <w:jc w:val="center"/>
              <w:rPr>
                <w:rFonts w:ascii="宋体" w:hAnsi="宋体" w:cs="宋体"/>
                <w:color w:val="auto"/>
                <w:szCs w:val="21"/>
              </w:rPr>
            </w:pPr>
            <w:r>
              <w:rPr>
                <w:rFonts w:hint="eastAsia" w:ascii="宋体" w:hAnsi="宋体" w:cs="宋体"/>
                <w:color w:val="auto"/>
                <w:szCs w:val="21"/>
              </w:rPr>
              <w:t>分包要求</w:t>
            </w:r>
          </w:p>
        </w:tc>
        <w:tc>
          <w:tcPr>
            <w:tcW w:w="7793" w:type="dxa"/>
            <w:vAlign w:val="center"/>
          </w:tcPr>
          <w:p>
            <w:pPr>
              <w:spacing w:line="360" w:lineRule="auto"/>
              <w:rPr>
                <w:rFonts w:ascii="宋体" w:hAnsi="宋体" w:cs="宋体"/>
                <w:color w:val="auto"/>
                <w:szCs w:val="21"/>
              </w:rPr>
            </w:pPr>
            <w:r>
              <w:rPr>
                <w:rFonts w:hint="eastAsia" w:ascii="宋体" w:hAnsi="宋体" w:cs="仿宋_GB2312"/>
                <w:color w:val="auto"/>
                <w:szCs w:val="21"/>
              </w:rPr>
              <w:t>中标人确需将本项目的部分非主要检测工作、非关键性工作分包给其他单位的，须经招标人同意，同时符合法律、法规规定，当且仅当中标人对该部分专业工程检测不具备相应承包资质时，方可按有关规定分包给具备相应资质的单位。接受分包的单位应当具备相应的资质条件，并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777" w:type="dxa"/>
            <w:vAlign w:val="center"/>
          </w:tcPr>
          <w:p>
            <w:pPr>
              <w:jc w:val="center"/>
              <w:rPr>
                <w:rFonts w:ascii="宋体" w:hAnsi="宋体" w:cs="宋体"/>
                <w:color w:val="auto"/>
                <w:szCs w:val="21"/>
              </w:rPr>
            </w:pPr>
            <w:r>
              <w:rPr>
                <w:rFonts w:ascii="宋体" w:hAnsi="宋体" w:cs="宋体"/>
                <w:color w:val="auto"/>
                <w:szCs w:val="21"/>
              </w:rPr>
              <w:t>14</w:t>
            </w:r>
          </w:p>
        </w:tc>
        <w:tc>
          <w:tcPr>
            <w:tcW w:w="944" w:type="dxa"/>
            <w:vAlign w:val="center"/>
          </w:tcPr>
          <w:p>
            <w:pPr>
              <w:jc w:val="center"/>
              <w:rPr>
                <w:rFonts w:ascii="宋体" w:hAnsi="宋体" w:cs="宋体"/>
                <w:color w:val="auto"/>
                <w:szCs w:val="21"/>
              </w:rPr>
            </w:pPr>
            <w:r>
              <w:rPr>
                <w:rFonts w:hint="eastAsia" w:ascii="宋体" w:hAnsi="宋体" w:cs="宋体"/>
                <w:color w:val="auto"/>
                <w:szCs w:val="21"/>
              </w:rPr>
              <w:t>否决性条款汇总</w:t>
            </w:r>
          </w:p>
        </w:tc>
        <w:tc>
          <w:tcPr>
            <w:tcW w:w="7793" w:type="dxa"/>
          </w:tcPr>
          <w:p>
            <w:pPr>
              <w:rPr>
                <w:rFonts w:ascii="宋体" w:hAnsi="宋体" w:cs="宋体"/>
                <w:b/>
                <w:bCs/>
                <w:color w:val="auto"/>
                <w:szCs w:val="21"/>
              </w:rPr>
            </w:pPr>
            <w:r>
              <w:rPr>
                <w:rFonts w:hint="eastAsia" w:ascii="宋体" w:hAnsi="宋体" w:cs="宋体"/>
                <w:b/>
                <w:bCs/>
                <w:color w:val="auto"/>
                <w:szCs w:val="21"/>
              </w:rPr>
              <w:t>否决性条款内容详见如下：</w:t>
            </w:r>
          </w:p>
          <w:p>
            <w:pPr>
              <w:rPr>
                <w:rFonts w:ascii="宋体" w:hAnsi="宋体" w:cs="宋体"/>
                <w:b/>
                <w:bCs/>
                <w:color w:val="auto"/>
                <w:szCs w:val="21"/>
              </w:rPr>
            </w:pPr>
          </w:p>
          <w:tbl>
            <w:tblPr>
              <w:tblStyle w:val="28"/>
              <w:tblW w:w="6326" w:type="dxa"/>
              <w:tblInd w:w="7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ascii="宋体" w:hAnsi="宋体" w:cs="宋体"/>
                      <w:b/>
                      <w:bCs/>
                      <w:color w:val="auto"/>
                      <w:szCs w:val="21"/>
                    </w:rPr>
                  </w:pPr>
                  <w:r>
                    <w:rPr>
                      <w:rFonts w:hint="eastAsia" w:ascii="宋体" w:hAnsi="宋体" w:cs="宋体"/>
                      <w:b/>
                      <w:bCs/>
                      <w:color w:val="auto"/>
                      <w:szCs w:val="21"/>
                    </w:rPr>
                    <w:t>序号</w:t>
                  </w:r>
                </w:p>
              </w:tc>
              <w:tc>
                <w:tcPr>
                  <w:tcW w:w="5341" w:type="dxa"/>
                </w:tcPr>
                <w:p>
                  <w:pPr>
                    <w:rPr>
                      <w:rFonts w:ascii="宋体" w:hAnsi="宋体" w:cs="宋体"/>
                      <w:b/>
                      <w:bCs/>
                      <w:color w:val="auto"/>
                      <w:szCs w:val="21"/>
                    </w:rPr>
                  </w:pPr>
                  <w:r>
                    <w:rPr>
                      <w:rFonts w:hint="eastAsia" w:ascii="宋体" w:hAnsi="宋体" w:cs="宋体"/>
                      <w:b/>
                      <w:bCs/>
                      <w:color w:val="auto"/>
                      <w:szCs w:val="21"/>
                    </w:rPr>
                    <w:t>条款号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ascii="宋体" w:hAnsi="宋体" w:cs="宋体"/>
                      <w:b/>
                      <w:bCs/>
                      <w:color w:val="auto"/>
                      <w:szCs w:val="21"/>
                    </w:rPr>
                  </w:pPr>
                  <w:r>
                    <w:rPr>
                      <w:rFonts w:hint="eastAsia" w:ascii="宋体" w:hAnsi="宋体" w:cs="宋体"/>
                      <w:b/>
                      <w:bCs/>
                      <w:color w:val="auto"/>
                      <w:szCs w:val="21"/>
                    </w:rPr>
                    <w:t>一、</w:t>
                  </w:r>
                </w:p>
              </w:tc>
              <w:tc>
                <w:tcPr>
                  <w:tcW w:w="5341" w:type="dxa"/>
                </w:tcPr>
                <w:p>
                  <w:pPr>
                    <w:rPr>
                      <w:rFonts w:ascii="宋体" w:hAnsi="宋体" w:cs="宋体"/>
                      <w:b/>
                      <w:bCs/>
                      <w:color w:val="auto"/>
                      <w:szCs w:val="21"/>
                    </w:rPr>
                  </w:pPr>
                  <w:r>
                    <w:rPr>
                      <w:rFonts w:hint="eastAsia" w:ascii="宋体" w:hAnsi="宋体" w:cs="宋体"/>
                      <w:b/>
                      <w:bCs/>
                      <w:color w:val="auto"/>
                      <w:szCs w:val="21"/>
                    </w:rPr>
                    <w:t>第</w:t>
                  </w:r>
                  <w:r>
                    <w:rPr>
                      <w:rFonts w:ascii="宋体" w:hAnsi="宋体" w:cs="宋体"/>
                      <w:b/>
                      <w:bCs/>
                      <w:color w:val="auto"/>
                      <w:szCs w:val="21"/>
                    </w:rPr>
                    <w:t xml:space="preserve">I卷 </w:t>
                  </w:r>
                  <w:r>
                    <w:rPr>
                      <w:rFonts w:hint="eastAsia" w:ascii="宋体" w:hAnsi="宋体" w:cs="宋体"/>
                      <w:b/>
                      <w:bCs/>
                      <w:color w:val="auto"/>
                      <w:szCs w:val="21"/>
                    </w:rPr>
                    <w:t>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2"/>
                    </w:numPr>
                    <w:rPr>
                      <w:rFonts w:ascii="宋体" w:hAnsi="宋体" w:cs="宋体"/>
                      <w:color w:val="auto"/>
                      <w:szCs w:val="21"/>
                    </w:rPr>
                  </w:pPr>
                </w:p>
              </w:tc>
              <w:tc>
                <w:tcPr>
                  <w:tcW w:w="5341" w:type="dxa"/>
                </w:tcPr>
                <w:p>
                  <w:pPr>
                    <w:rPr>
                      <w:rFonts w:ascii="宋体" w:hAnsi="宋体" w:cs="宋体"/>
                      <w:color w:val="auto"/>
                      <w:szCs w:val="21"/>
                    </w:rPr>
                  </w:pPr>
                  <w:r>
                    <w:rPr>
                      <w:rFonts w:ascii="宋体" w:hAnsi="宋体" w:cs="宋体"/>
                      <w:color w:val="auto"/>
                      <w:szCs w:val="21"/>
                    </w:rPr>
                    <w:t>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rPr>
                      <w:rFonts w:ascii="宋体" w:hAnsi="宋体" w:cs="宋体"/>
                      <w:b/>
                      <w:bCs/>
                      <w:color w:val="auto"/>
                      <w:szCs w:val="21"/>
                    </w:rPr>
                  </w:pPr>
                  <w:r>
                    <w:rPr>
                      <w:rFonts w:hint="eastAsia" w:ascii="宋体" w:hAnsi="宋体" w:cs="宋体"/>
                      <w:b/>
                      <w:bCs/>
                      <w:color w:val="auto"/>
                      <w:szCs w:val="21"/>
                    </w:rPr>
                    <w:t>二、</w:t>
                  </w:r>
                </w:p>
              </w:tc>
              <w:tc>
                <w:tcPr>
                  <w:tcW w:w="5341" w:type="dxa"/>
                </w:tcPr>
                <w:p>
                  <w:pPr>
                    <w:rPr>
                      <w:rFonts w:ascii="宋体" w:hAnsi="宋体" w:cs="宋体"/>
                      <w:b/>
                      <w:bCs/>
                      <w:color w:val="auto"/>
                      <w:szCs w:val="21"/>
                    </w:rPr>
                  </w:pPr>
                  <w:r>
                    <w:rPr>
                      <w:rFonts w:hint="eastAsia" w:ascii="宋体" w:hAnsi="宋体" w:cs="宋体"/>
                      <w:b/>
                      <w:bCs/>
                      <w:color w:val="auto"/>
                      <w:szCs w:val="21"/>
                    </w:rPr>
                    <w:t>第Ⅴ卷</w:t>
                  </w:r>
                  <w:r>
                    <w:rPr>
                      <w:rFonts w:ascii="宋体" w:hAnsi="宋体" w:cs="宋体"/>
                      <w:b/>
                      <w:bCs/>
                      <w:color w:val="auto"/>
                      <w:szCs w:val="21"/>
                    </w:rPr>
                    <w:t xml:space="preserve"> </w:t>
                  </w:r>
                  <w:r>
                    <w:rPr>
                      <w:rFonts w:hint="eastAsia" w:ascii="宋体" w:hAnsi="宋体" w:cs="宋体"/>
                      <w:b/>
                      <w:bCs/>
                      <w:color w:val="auto"/>
                      <w:szCs w:val="21"/>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（一）总则第</w:t>
                  </w:r>
                  <w:r>
                    <w:rPr>
                      <w:rFonts w:ascii="宋体" w:hAnsi="宋体" w:cs="宋体"/>
                      <w:color w:val="auto"/>
                      <w:szCs w:val="21"/>
                    </w:rPr>
                    <w:t>4.4款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（一）总则第</w:t>
                  </w:r>
                  <w:r>
                    <w:rPr>
                      <w:rFonts w:ascii="宋体" w:hAnsi="宋体" w:cs="宋体"/>
                      <w:color w:val="auto"/>
                      <w:szCs w:val="21"/>
                    </w:rPr>
                    <w:t>5.4款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（二）开标评标办法程序和细则第</w:t>
                  </w:r>
                  <w:r>
                    <w:rPr>
                      <w:rFonts w:ascii="宋体" w:hAnsi="宋体" w:cs="宋体"/>
                      <w:color w:val="auto"/>
                      <w:szCs w:val="21"/>
                    </w:rPr>
                    <w:t>3.3.3的f）款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附件一：《资格审查表》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附件二：《技术</w:t>
                  </w:r>
                  <w:r>
                    <w:rPr>
                      <w:rFonts w:ascii="宋体" w:hAnsi="宋体" w:cs="宋体"/>
                      <w:color w:val="auto"/>
                      <w:szCs w:val="21"/>
                    </w:rPr>
                    <w:cr/>
                  </w:r>
                  <w:r>
                    <w:rPr>
                      <w:rFonts w:hint="eastAsia" w:ascii="宋体" w:hAnsi="宋体" w:cs="宋体"/>
                      <w:color w:val="auto"/>
                      <w:szCs w:val="21"/>
                    </w:rPr>
                    <w:t>有效性审查表》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 w:type="dxa"/>
                </w:tcPr>
                <w:p>
                  <w:pPr>
                    <w:numPr>
                      <w:ilvl w:val="0"/>
                      <w:numId w:val="3"/>
                    </w:numPr>
                    <w:rPr>
                      <w:rFonts w:ascii="宋体" w:hAnsi="宋体" w:cs="宋体"/>
                      <w:color w:val="auto"/>
                      <w:szCs w:val="21"/>
                    </w:rPr>
                  </w:pPr>
                </w:p>
              </w:tc>
              <w:tc>
                <w:tcPr>
                  <w:tcW w:w="5341" w:type="dxa"/>
                </w:tcPr>
                <w:p>
                  <w:pPr>
                    <w:rPr>
                      <w:rFonts w:ascii="宋体" w:hAnsi="宋体" w:cs="宋体"/>
                      <w:color w:val="auto"/>
                      <w:szCs w:val="21"/>
                    </w:rPr>
                  </w:pPr>
                  <w:r>
                    <w:rPr>
                      <w:rFonts w:hint="eastAsia" w:ascii="宋体" w:hAnsi="宋体" w:cs="宋体"/>
                      <w:color w:val="auto"/>
                      <w:szCs w:val="21"/>
                    </w:rPr>
                    <w:t>附件四：《经济标有效性审查表》</w:t>
                  </w:r>
                </w:p>
              </w:tc>
            </w:tr>
          </w:tbl>
          <w:p>
            <w:pPr>
              <w:rPr>
                <w:rFonts w:ascii="宋体" w:hAnsi="宋体" w:cs="宋体"/>
                <w:b/>
                <w:bCs/>
                <w:color w:val="auto"/>
                <w:szCs w:val="21"/>
              </w:rPr>
            </w:pPr>
          </w:p>
          <w:p>
            <w:pPr>
              <w:rPr>
                <w:rFonts w:ascii="宋体" w:hAnsi="宋体" w:cs="宋体"/>
                <w:color w:val="auto"/>
                <w:szCs w:val="21"/>
              </w:rPr>
            </w:pPr>
          </w:p>
        </w:tc>
      </w:tr>
    </w:tbl>
    <w:p>
      <w:pPr>
        <w:keepNext/>
        <w:keepLines/>
        <w:spacing w:line="578" w:lineRule="auto"/>
        <w:jc w:val="center"/>
        <w:outlineLvl w:val="0"/>
        <w:rPr>
          <w:rFonts w:ascii="宋体" w:hAnsi="宋体" w:cs="宋体"/>
          <w:b/>
          <w:bCs/>
          <w:color w:val="auto"/>
          <w:kern w:val="44"/>
          <w:szCs w:val="21"/>
        </w:rPr>
      </w:pPr>
    </w:p>
    <w:p>
      <w:pPr>
        <w:spacing w:line="0" w:lineRule="atLeast"/>
        <w:rPr>
          <w:rFonts w:ascii="宋体" w:hAnsi="宋体" w:cs="宋体"/>
          <w:b/>
          <w:color w:val="auto"/>
        </w:rPr>
        <w:sectPr>
          <w:pgSz w:w="12240" w:h="15840"/>
          <w:pgMar w:top="1440" w:right="1425" w:bottom="1440" w:left="1800" w:header="720" w:footer="720" w:gutter="0"/>
          <w:cols w:space="720" w:num="1"/>
          <w:docGrid w:linePitch="286" w:charSpace="0"/>
        </w:sectPr>
      </w:pPr>
    </w:p>
    <w:p>
      <w:pPr>
        <w:spacing w:line="0" w:lineRule="atLeast"/>
        <w:rPr>
          <w:rFonts w:ascii="宋体" w:hAnsi="宋体" w:cs="宋体"/>
          <w:b/>
          <w:color w:val="auto"/>
        </w:rPr>
      </w:pPr>
      <w:r>
        <w:rPr>
          <w:rFonts w:hint="eastAsia" w:ascii="宋体" w:hAnsi="宋体" w:cs="宋体"/>
          <w:b/>
          <w:color w:val="auto"/>
        </w:rPr>
        <w:t>附件一“投标人领取投标保证金收据指引”</w:t>
      </w:r>
      <w:r>
        <w:rPr>
          <w:rFonts w:ascii="宋体" w:hAnsi="宋体" w:cs="宋体"/>
          <w:b/>
          <w:color w:val="auto"/>
        </w:rPr>
        <w:t xml:space="preserve"> </w:t>
      </w:r>
    </w:p>
    <w:p>
      <w:pPr>
        <w:spacing w:line="0" w:lineRule="atLeast"/>
        <w:rPr>
          <w:rFonts w:ascii="宋体" w:hAnsi="宋体" w:cs="宋体"/>
          <w:color w:val="auto"/>
        </w:rPr>
      </w:pPr>
    </w:p>
    <w:p>
      <w:pPr>
        <w:spacing w:line="360" w:lineRule="auto"/>
        <w:ind w:firstLine="420" w:firstLineChars="200"/>
        <w:rPr>
          <w:rFonts w:ascii="宋体" w:hAnsi="宋体" w:cs="宋体"/>
          <w:color w:val="auto"/>
          <w:szCs w:val="21"/>
        </w:rPr>
      </w:pPr>
      <w:r>
        <w:rPr>
          <w:rFonts w:ascii="宋体" w:hAnsi="宋体" w:cs="宋体"/>
          <w:color w:val="auto"/>
          <w:szCs w:val="21"/>
        </w:rPr>
        <w:t>1、投标人在办理汇缴投标保证金后请与招标人联系,确定到账后到以下地址领取收据：</w:t>
      </w:r>
    </w:p>
    <w:p>
      <w:pPr>
        <w:spacing w:line="360" w:lineRule="auto"/>
        <w:ind w:firstLine="735" w:firstLineChars="350"/>
        <w:rPr>
          <w:rFonts w:ascii="宋体" w:hAnsi="宋体" w:cs="宋体"/>
          <w:color w:val="auto"/>
          <w:szCs w:val="21"/>
        </w:rPr>
      </w:pPr>
      <w:r>
        <w:rPr>
          <w:rFonts w:hint="eastAsia" w:ascii="宋体" w:hAnsi="宋体" w:cs="宋体"/>
          <w:color w:val="auto"/>
          <w:szCs w:val="21"/>
        </w:rPr>
        <w:t>名称：东莞市轨道一号线建设发展有限公司</w:t>
      </w:r>
    </w:p>
    <w:p>
      <w:pPr>
        <w:spacing w:line="360" w:lineRule="auto"/>
        <w:ind w:firstLine="735" w:firstLineChars="350"/>
        <w:rPr>
          <w:rFonts w:ascii="宋体" w:hAnsi="宋体" w:cs="宋体"/>
          <w:color w:val="auto"/>
          <w:szCs w:val="21"/>
        </w:rPr>
      </w:pPr>
      <w:r>
        <w:rPr>
          <w:rFonts w:hint="eastAsia" w:ascii="宋体" w:hAnsi="宋体" w:cs="宋体"/>
          <w:color w:val="auto"/>
          <w:szCs w:val="21"/>
        </w:rPr>
        <w:t>地址：</w:t>
      </w:r>
      <w:r>
        <w:rPr>
          <w:rFonts w:hint="eastAsia"/>
          <w:color w:val="auto"/>
        </w:rPr>
        <w:t>东莞市寮步镇浮竹山村佛岭路莞深高速管理中心二楼一号线财务部</w:t>
      </w:r>
    </w:p>
    <w:p>
      <w:pPr>
        <w:spacing w:line="360" w:lineRule="auto"/>
        <w:ind w:firstLine="735" w:firstLineChars="350"/>
        <w:rPr>
          <w:rFonts w:ascii="宋体" w:hAnsi="宋体" w:cs="宋体"/>
          <w:color w:val="auto"/>
          <w:szCs w:val="21"/>
        </w:rPr>
      </w:pPr>
      <w:r>
        <w:rPr>
          <w:rFonts w:hint="eastAsia" w:ascii="宋体" w:hAnsi="宋体" w:cs="宋体"/>
          <w:color w:val="auto"/>
          <w:szCs w:val="21"/>
        </w:rPr>
        <w:t>联系人：</w:t>
      </w:r>
      <w:r>
        <w:rPr>
          <w:rFonts w:hint="eastAsia"/>
          <w:color w:val="auto"/>
        </w:rPr>
        <w:t>陈绮雯</w:t>
      </w:r>
    </w:p>
    <w:p>
      <w:pPr>
        <w:spacing w:line="360" w:lineRule="auto"/>
        <w:ind w:firstLine="735" w:firstLineChars="350"/>
        <w:rPr>
          <w:rFonts w:ascii="宋体" w:hAnsi="宋体" w:cs="宋体"/>
          <w:color w:val="auto"/>
          <w:szCs w:val="21"/>
        </w:rPr>
      </w:pPr>
      <w:r>
        <w:rPr>
          <w:rFonts w:hint="eastAsia" w:ascii="宋体" w:hAnsi="宋体" w:cs="宋体"/>
          <w:color w:val="auto"/>
          <w:szCs w:val="21"/>
        </w:rPr>
        <w:t>联系电话：</w:t>
      </w:r>
      <w:r>
        <w:rPr>
          <w:color w:val="auto"/>
        </w:rPr>
        <w:t>13829290567</w:t>
      </w:r>
    </w:p>
    <w:p>
      <w:pPr>
        <w:spacing w:line="360" w:lineRule="auto"/>
        <w:ind w:firstLine="420" w:firstLineChars="200"/>
        <w:rPr>
          <w:rFonts w:ascii="宋体" w:hAnsi="宋体" w:cs="宋体"/>
          <w:color w:val="auto"/>
          <w:szCs w:val="21"/>
        </w:rPr>
      </w:pPr>
      <w:r>
        <w:rPr>
          <w:rFonts w:ascii="宋体" w:hAnsi="宋体" w:cs="宋体"/>
          <w:color w:val="auto"/>
          <w:szCs w:val="21"/>
        </w:rPr>
        <w:t>2、办理领取投标保证金收据,请提供以下资料：</w:t>
      </w:r>
    </w:p>
    <w:p>
      <w:pPr>
        <w:spacing w:line="360" w:lineRule="auto"/>
        <w:ind w:firstLine="630" w:firstLineChars="300"/>
        <w:rPr>
          <w:rFonts w:ascii="宋体" w:hAnsi="宋体" w:cs="宋体"/>
          <w:color w:val="auto"/>
          <w:szCs w:val="21"/>
        </w:rPr>
      </w:pPr>
      <w:r>
        <w:rPr>
          <w:rFonts w:hint="eastAsia" w:ascii="宋体" w:hAnsi="宋体" w:cs="宋体"/>
          <w:color w:val="auto"/>
          <w:szCs w:val="21"/>
        </w:rPr>
        <w:t>①委托授权书</w:t>
      </w:r>
      <w:r>
        <w:rPr>
          <w:rFonts w:ascii="宋体" w:hAnsi="宋体" w:cs="宋体"/>
          <w:color w:val="auto"/>
          <w:szCs w:val="21"/>
        </w:rPr>
        <w:t xml:space="preserve">(加盖公章, </w:t>
      </w:r>
      <w:r>
        <w:rPr>
          <w:rFonts w:hint="eastAsia" w:ascii="宋体" w:hAnsi="宋体" w:cs="宋体"/>
          <w:color w:val="auto"/>
          <w:szCs w:val="21"/>
        </w:rPr>
        <w:t>格式见后附页</w:t>
      </w:r>
      <w:r>
        <w:rPr>
          <w:rFonts w:ascii="宋体" w:hAnsi="宋体" w:cs="宋体"/>
          <w:color w:val="auto"/>
          <w:szCs w:val="21"/>
        </w:rPr>
        <w:t>)</w:t>
      </w:r>
    </w:p>
    <w:p>
      <w:pPr>
        <w:spacing w:line="360" w:lineRule="auto"/>
        <w:ind w:firstLine="630" w:firstLineChars="300"/>
        <w:rPr>
          <w:rFonts w:ascii="宋体" w:hAnsi="宋体" w:cs="宋体"/>
          <w:color w:val="auto"/>
          <w:szCs w:val="21"/>
        </w:rPr>
      </w:pPr>
      <w:r>
        <w:rPr>
          <w:rFonts w:hint="eastAsia" w:ascii="宋体" w:hAnsi="宋体" w:cs="宋体"/>
          <w:color w:val="auto"/>
          <w:szCs w:val="21"/>
        </w:rPr>
        <w:t>②身份证复印件</w:t>
      </w:r>
      <w:r>
        <w:rPr>
          <w:rFonts w:ascii="宋体" w:hAnsi="宋体" w:cs="宋体"/>
          <w:color w:val="auto"/>
          <w:szCs w:val="21"/>
        </w:rPr>
        <w:t>(加盖公章)</w:t>
      </w:r>
    </w:p>
    <w:p>
      <w:pPr>
        <w:pStyle w:val="38"/>
        <w:spacing w:line="480" w:lineRule="auto"/>
        <w:ind w:left="360" w:firstLine="0" w:firstLineChars="0"/>
        <w:jc w:val="center"/>
        <w:rPr>
          <w:rFonts w:ascii="宋体" w:hAnsi="宋体" w:cs="宋体"/>
          <w:b/>
          <w:color w:val="auto"/>
          <w:sz w:val="36"/>
          <w:szCs w:val="36"/>
        </w:rPr>
      </w:pPr>
    </w:p>
    <w:p>
      <w:pPr>
        <w:pStyle w:val="38"/>
        <w:spacing w:line="480" w:lineRule="auto"/>
        <w:ind w:left="360" w:firstLine="0" w:firstLineChars="0"/>
        <w:jc w:val="center"/>
        <w:rPr>
          <w:rFonts w:ascii="宋体" w:hAnsi="宋体" w:cs="宋体"/>
          <w:b/>
          <w:color w:val="auto"/>
          <w:sz w:val="36"/>
          <w:szCs w:val="36"/>
        </w:rPr>
      </w:pPr>
      <w:r>
        <w:rPr>
          <w:rFonts w:hint="eastAsia" w:ascii="宋体" w:hAnsi="宋体" w:cs="宋体"/>
          <w:b/>
          <w:color w:val="auto"/>
          <w:sz w:val="36"/>
          <w:szCs w:val="36"/>
        </w:rPr>
        <w:t>委托授权书</w:t>
      </w:r>
    </w:p>
    <w:p>
      <w:pPr>
        <w:pStyle w:val="38"/>
        <w:spacing w:line="480" w:lineRule="auto"/>
        <w:ind w:left="360" w:firstLine="0" w:firstLineChars="0"/>
        <w:rPr>
          <w:rFonts w:ascii="宋体" w:hAnsi="宋体" w:cs="宋体"/>
          <w:b/>
          <w:color w:val="auto"/>
          <w:szCs w:val="21"/>
        </w:rPr>
      </w:pPr>
    </w:p>
    <w:p>
      <w:pPr>
        <w:spacing w:line="360" w:lineRule="auto"/>
        <w:rPr>
          <w:rFonts w:ascii="宋体" w:hAnsi="宋体" w:cs="宋体"/>
          <w:color w:val="auto"/>
          <w:szCs w:val="21"/>
        </w:rPr>
      </w:pPr>
      <w:r>
        <w:rPr>
          <w:rFonts w:hint="eastAsia" w:ascii="宋体" w:hAnsi="宋体" w:cs="宋体"/>
          <w:color w:val="auto"/>
          <w:szCs w:val="21"/>
        </w:rPr>
        <w:t>东莞市轨道一号线建设发展有限公司：</w:t>
      </w:r>
    </w:p>
    <w:p>
      <w:pPr>
        <w:spacing w:line="360" w:lineRule="auto"/>
        <w:ind w:firstLine="420" w:firstLineChars="200"/>
        <w:rPr>
          <w:rFonts w:ascii="宋体" w:hAnsi="宋体" w:cs="宋体"/>
          <w:color w:val="auto"/>
          <w:szCs w:val="21"/>
        </w:rPr>
      </w:pPr>
      <w:r>
        <w:rPr>
          <w:rFonts w:hint="eastAsia" w:ascii="宋体" w:hAnsi="宋体" w:cs="宋体"/>
          <w:color w:val="auto"/>
          <w:szCs w:val="21"/>
        </w:rPr>
        <w:t>兹委托</w:t>
      </w:r>
      <w:r>
        <w:rPr>
          <w:rFonts w:ascii="宋体" w:hAnsi="宋体" w:cs="宋体"/>
          <w:color w:val="auto"/>
          <w:szCs w:val="21"/>
        </w:rPr>
        <w:t>XXX（身份证号码：XXXXXXXXXXXXX）作为我单位的委托代理人，前往贵公司领取XXXXXXX（项目名称）投标保证金收据。</w:t>
      </w:r>
    </w:p>
    <w:p>
      <w:pPr>
        <w:spacing w:line="360" w:lineRule="auto"/>
        <w:ind w:firstLine="420" w:firstLineChars="200"/>
        <w:rPr>
          <w:rFonts w:ascii="宋体" w:hAnsi="宋体" w:cs="宋体"/>
          <w:color w:val="auto"/>
          <w:szCs w:val="21"/>
        </w:rPr>
      </w:pPr>
      <w:r>
        <w:rPr>
          <w:rFonts w:hint="eastAsia" w:ascii="宋体" w:hAnsi="宋体" w:cs="宋体"/>
          <w:color w:val="auto"/>
          <w:szCs w:val="21"/>
        </w:rPr>
        <w:t>授权期限：</w:t>
      </w:r>
      <w:r>
        <w:rPr>
          <w:rFonts w:ascii="宋体" w:hAnsi="宋体" w:cs="宋体"/>
          <w:color w:val="auto"/>
          <w:szCs w:val="21"/>
        </w:rPr>
        <w:t>XXXXX至XXXXX止</w:t>
      </w:r>
    </w:p>
    <w:p>
      <w:pPr>
        <w:spacing w:line="360" w:lineRule="auto"/>
        <w:rPr>
          <w:rFonts w:ascii="宋体" w:hAnsi="宋体" w:cs="宋体"/>
          <w:color w:val="auto"/>
          <w:szCs w:val="21"/>
        </w:rPr>
      </w:pPr>
    </w:p>
    <w:p>
      <w:pPr>
        <w:spacing w:line="360" w:lineRule="auto"/>
        <w:rPr>
          <w:rFonts w:ascii="宋体" w:hAnsi="宋体" w:cs="宋体"/>
          <w:color w:val="auto"/>
          <w:szCs w:val="21"/>
        </w:rPr>
      </w:pPr>
      <w:r>
        <w:rPr>
          <w:rFonts w:ascii="宋体" w:hAnsi="宋体" w:cs="宋体"/>
          <w:color w:val="auto"/>
          <w:szCs w:val="21"/>
        </w:rPr>
        <w:t xml:space="preserve">                                                   授权单位：XXXXXXX</w:t>
      </w:r>
    </w:p>
    <w:p>
      <w:pPr>
        <w:spacing w:line="360" w:lineRule="auto"/>
        <w:ind w:firstLine="420"/>
        <w:rPr>
          <w:rFonts w:ascii="宋体" w:hAnsi="宋体" w:cs="宋体"/>
          <w:color w:val="auto"/>
          <w:szCs w:val="21"/>
        </w:rPr>
      </w:pPr>
      <w:r>
        <w:rPr>
          <w:rFonts w:ascii="宋体" w:hAnsi="宋体" w:cs="宋体"/>
          <w:color w:val="auto"/>
          <w:szCs w:val="21"/>
        </w:rPr>
        <w:t xml:space="preserve">                                                        （公章）</w:t>
      </w:r>
    </w:p>
    <w:p>
      <w:pPr>
        <w:spacing w:line="300" w:lineRule="auto"/>
        <w:rPr>
          <w:rFonts w:ascii="宋体" w:hAnsi="宋体" w:cs="宋体"/>
          <w:color w:val="auto"/>
          <w:sz w:val="36"/>
        </w:rPr>
      </w:pPr>
    </w:p>
    <w:p>
      <w:pPr>
        <w:keepNext/>
        <w:keepLines/>
        <w:spacing w:line="578" w:lineRule="auto"/>
        <w:jc w:val="center"/>
        <w:outlineLvl w:val="0"/>
        <w:rPr>
          <w:rFonts w:ascii="宋体" w:hAnsi="宋体" w:cs="宋体"/>
          <w:b/>
          <w:bCs/>
          <w:color w:val="auto"/>
          <w:kern w:val="44"/>
          <w:sz w:val="44"/>
          <w:szCs w:val="44"/>
        </w:rPr>
      </w:pPr>
      <w:r>
        <w:rPr>
          <w:rFonts w:ascii="宋体" w:hAnsi="宋体" w:cs="宋体"/>
          <w:b/>
          <w:bCs/>
          <w:color w:val="auto"/>
          <w:kern w:val="44"/>
          <w:szCs w:val="21"/>
        </w:rPr>
        <w:br w:type="page"/>
      </w:r>
      <w:bookmarkStart w:id="1" w:name="_Toc304808641"/>
      <w:bookmarkStart w:id="2" w:name="_Toc118"/>
      <w:bookmarkStart w:id="3" w:name="_Toc377719898"/>
      <w:r>
        <w:rPr>
          <w:rFonts w:hint="eastAsia" w:ascii="宋体" w:hAnsi="宋体" w:cs="宋体"/>
          <w:b/>
          <w:bCs/>
          <w:color w:val="auto"/>
          <w:kern w:val="44"/>
          <w:sz w:val="44"/>
          <w:szCs w:val="44"/>
        </w:rPr>
        <w:t>第</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Ⅰ</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卷</w:t>
      </w:r>
      <w:bookmarkEnd w:id="1"/>
      <w:bookmarkEnd w:id="2"/>
      <w:bookmarkEnd w:id="3"/>
    </w:p>
    <w:p>
      <w:pPr>
        <w:keepNext/>
        <w:keepLines/>
        <w:spacing w:line="578" w:lineRule="auto"/>
        <w:jc w:val="center"/>
        <w:outlineLvl w:val="0"/>
        <w:rPr>
          <w:rFonts w:ascii="宋体" w:hAnsi="宋体" w:cs="宋体"/>
          <w:b/>
          <w:bCs/>
          <w:color w:val="auto"/>
          <w:kern w:val="44"/>
          <w:sz w:val="44"/>
          <w:szCs w:val="44"/>
        </w:rPr>
      </w:pPr>
      <w:bookmarkStart w:id="4" w:name="_Toc29105"/>
      <w:bookmarkStart w:id="5" w:name="_Toc377719899"/>
      <w:r>
        <w:rPr>
          <w:rFonts w:hint="eastAsia" w:ascii="宋体" w:hAnsi="宋体" w:cs="宋体"/>
          <w:b/>
          <w:bCs/>
          <w:color w:val="auto"/>
          <w:kern w:val="44"/>
          <w:sz w:val="44"/>
          <w:szCs w:val="44"/>
        </w:rPr>
        <w:t>投</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标</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须</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知</w:t>
      </w:r>
      <w:bookmarkEnd w:id="4"/>
      <w:bookmarkEnd w:id="5"/>
    </w:p>
    <w:p>
      <w:pPr>
        <w:keepNext/>
        <w:keepLines/>
        <w:spacing w:line="360" w:lineRule="auto"/>
        <w:outlineLvl w:val="1"/>
        <w:rPr>
          <w:rFonts w:ascii="宋体" w:hAnsi="宋体" w:cs="宋体"/>
          <w:b/>
          <w:bCs/>
          <w:color w:val="auto"/>
          <w:szCs w:val="21"/>
        </w:rPr>
      </w:pPr>
      <w:bookmarkStart w:id="6" w:name="_Toc29137"/>
      <w:bookmarkStart w:id="7" w:name="_Toc377719900"/>
      <w:r>
        <w:rPr>
          <w:rFonts w:ascii="宋体" w:hAnsi="宋体" w:cs="宋体"/>
          <w:b/>
          <w:bCs/>
          <w:color w:val="auto"/>
          <w:sz w:val="28"/>
          <w:szCs w:val="28"/>
        </w:rPr>
        <w:t xml:space="preserve">1. </w:t>
      </w:r>
      <w:r>
        <w:rPr>
          <w:rFonts w:hint="eastAsia" w:ascii="宋体" w:hAnsi="宋体" w:cs="宋体"/>
          <w:b/>
          <w:bCs/>
          <w:color w:val="auto"/>
          <w:sz w:val="28"/>
          <w:szCs w:val="28"/>
        </w:rPr>
        <w:t>总则</w:t>
      </w:r>
      <w:bookmarkEnd w:id="6"/>
      <w:bookmarkEnd w:id="7"/>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1.1  </w:t>
      </w:r>
      <w:r>
        <w:rPr>
          <w:rFonts w:hint="eastAsia" w:ascii="宋体" w:hAnsi="宋体" w:cs="宋体"/>
          <w:b/>
          <w:bCs/>
          <w:color w:val="auto"/>
          <w:szCs w:val="21"/>
        </w:rPr>
        <w:t>定义</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本招标文件使用的下列词语具有如下规定的意义：</w:t>
      </w:r>
    </w:p>
    <w:p>
      <w:pPr>
        <w:spacing w:line="360" w:lineRule="auto"/>
        <w:ind w:firstLine="424" w:firstLineChars="202"/>
        <w:jc w:val="left"/>
        <w:rPr>
          <w:rFonts w:ascii="宋体" w:hAnsi="宋体" w:cs="宋体"/>
          <w:color w:val="auto"/>
          <w:szCs w:val="21"/>
        </w:rPr>
      </w:pPr>
      <w:r>
        <w:rPr>
          <w:rFonts w:ascii="宋体" w:hAnsi="宋体" w:cs="宋体"/>
          <w:color w:val="auto"/>
          <w:szCs w:val="21"/>
        </w:rPr>
        <w:t>(1)“招标人”指</w:t>
      </w:r>
      <w:r>
        <w:rPr>
          <w:rFonts w:hint="eastAsia" w:ascii="宋体" w:hAnsi="宋体" w:cs="宋体"/>
          <w:color w:val="auto"/>
          <w:szCs w:val="21"/>
        </w:rPr>
        <w:t>东莞市轨道一号线建设发展有限公司；</w:t>
      </w:r>
    </w:p>
    <w:p>
      <w:pPr>
        <w:spacing w:line="360" w:lineRule="auto"/>
        <w:ind w:firstLine="424" w:firstLineChars="202"/>
        <w:jc w:val="left"/>
        <w:rPr>
          <w:rFonts w:ascii="宋体" w:hAnsi="宋体" w:cs="宋体"/>
          <w:color w:val="auto"/>
          <w:szCs w:val="21"/>
        </w:rPr>
      </w:pPr>
      <w:r>
        <w:rPr>
          <w:rFonts w:ascii="宋体" w:hAnsi="宋体" w:cs="宋体"/>
          <w:color w:val="auto"/>
          <w:szCs w:val="21"/>
        </w:rPr>
        <w:t>(2)“投标人”指向招标人提交投标文件的当事人；</w:t>
      </w:r>
    </w:p>
    <w:p>
      <w:pPr>
        <w:spacing w:line="360" w:lineRule="auto"/>
        <w:ind w:firstLine="424" w:firstLineChars="202"/>
        <w:jc w:val="left"/>
        <w:rPr>
          <w:rFonts w:ascii="宋体" w:hAnsi="宋体" w:cs="宋体"/>
          <w:color w:val="auto"/>
          <w:szCs w:val="21"/>
        </w:rPr>
      </w:pPr>
      <w:r>
        <w:rPr>
          <w:rFonts w:ascii="宋体" w:hAnsi="宋体" w:cs="宋体"/>
          <w:color w:val="auto"/>
          <w:szCs w:val="21"/>
        </w:rPr>
        <w:t>(3)“检测单位”指其投标被招标人接受并与其签订试验检测合同的当事人；</w:t>
      </w:r>
    </w:p>
    <w:p>
      <w:pPr>
        <w:spacing w:line="360" w:lineRule="auto"/>
        <w:ind w:firstLine="424" w:firstLineChars="202"/>
        <w:jc w:val="left"/>
        <w:rPr>
          <w:rFonts w:ascii="宋体" w:hAnsi="宋体" w:cs="宋体"/>
          <w:color w:val="auto"/>
          <w:szCs w:val="21"/>
        </w:rPr>
      </w:pPr>
      <w:r>
        <w:rPr>
          <w:rFonts w:ascii="宋体" w:hAnsi="宋体" w:cs="宋体"/>
          <w:color w:val="auto"/>
          <w:szCs w:val="21"/>
        </w:rPr>
        <w:t>(4)“招标文件”指由招标人发出的本文件，包括全部章节、附件及澄清补充文件；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(5)“投标文件”指投标人根据本招标文件向招标人提交的全部文件；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(6)“书面函件”指打字或印刷的函件，包括电传、电报和传真；</w:t>
      </w:r>
    </w:p>
    <w:p>
      <w:pPr>
        <w:spacing w:line="360" w:lineRule="auto"/>
        <w:ind w:firstLine="424" w:firstLineChars="202"/>
        <w:jc w:val="left"/>
        <w:rPr>
          <w:rFonts w:ascii="宋体" w:hAnsi="宋体" w:cs="宋体"/>
          <w:color w:val="auto"/>
          <w:szCs w:val="21"/>
        </w:rPr>
      </w:pPr>
      <w:r>
        <w:rPr>
          <w:rFonts w:ascii="宋体" w:hAnsi="宋体" w:cs="宋体"/>
          <w:color w:val="auto"/>
          <w:szCs w:val="21"/>
        </w:rPr>
        <w:t>(7)“招标人地址”</w:t>
      </w:r>
      <w:r>
        <w:rPr>
          <w:rFonts w:hint="eastAsia" w:ascii="宋体" w:hAnsi="宋体" w:cs="宋体"/>
          <w:color w:val="auto"/>
          <w:szCs w:val="21"/>
        </w:rPr>
        <w:t>是指</w:t>
      </w:r>
      <w:r>
        <w:rPr>
          <w:rFonts w:hint="eastAsia"/>
          <w:color w:val="auto"/>
        </w:rPr>
        <w:t>东莞市寮步镇浮竹山村佛岭路莞深高速管理中心</w:t>
      </w:r>
      <w:r>
        <w:rPr>
          <w:rFonts w:hint="eastAsia" w:ascii="宋体" w:hAnsi="宋体" w:cs="宋体"/>
          <w:color w:val="auto"/>
          <w:szCs w:val="21"/>
        </w:rPr>
        <w:t>。</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(8) </w:t>
      </w:r>
      <w:r>
        <w:rPr>
          <w:rFonts w:hint="eastAsia" w:ascii="宋体" w:hAnsi="宋体" w:cs="宋体"/>
          <w:color w:val="auto"/>
          <w:szCs w:val="21"/>
        </w:rPr>
        <w:t>“评标委员会”指依《中华人民共和国招标投标法》、《中华人民共和国招标投标法实施条例》组建的专门负责本次招标项目评审工作的临时机构。</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9）“投标价”：投标人投标函中的大写金额。</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10）“评标价”：投标人评标价以经济标投标函中投标总价为评标价；如有价格修正的，以修正后价格为评标价。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11）“中标价”：招标人发出的中标通知书上的金额。</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12）“合同价”：招标人在签订合同前按价格核定原则核定后，拟签订的合同金额。</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1.2  </w:t>
      </w:r>
      <w:r>
        <w:rPr>
          <w:rFonts w:hint="eastAsia" w:ascii="宋体" w:hAnsi="宋体" w:cs="宋体"/>
          <w:b/>
          <w:bCs/>
          <w:color w:val="auto"/>
          <w:szCs w:val="21"/>
        </w:rPr>
        <w:t>招标说明</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1.2.1 </w:t>
      </w:r>
      <w:r>
        <w:rPr>
          <w:rFonts w:ascii="宋体" w:hAnsi="宋体" w:cs="宋体"/>
          <w:color w:val="auto"/>
          <w:szCs w:val="21"/>
        </w:rPr>
        <w:tab/>
      </w:r>
      <w:r>
        <w:rPr>
          <w:rFonts w:hint="eastAsia" w:ascii="宋体" w:hAnsi="宋体" w:cs="宋体"/>
          <w:color w:val="auto"/>
          <w:szCs w:val="21"/>
        </w:rPr>
        <w:t>东莞市轨道交通工程建设引入竞争机制，采取公开招标的办法，以便能选择有经验、有实力、社会信誉好的单位承担工程质量试验检测技术服务任务，确保试验检测工作能按期、优质地完成。招标工作严格按国家和政府的相关规定进行，实行招标人负责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1.2.2 </w:t>
      </w:r>
      <w:r>
        <w:rPr>
          <w:rFonts w:ascii="宋体" w:hAnsi="宋体" w:cs="宋体"/>
          <w:color w:val="auto"/>
          <w:szCs w:val="21"/>
        </w:rPr>
        <w:tab/>
      </w:r>
      <w:r>
        <w:rPr>
          <w:rFonts w:hint="eastAsia" w:ascii="宋体" w:hAnsi="宋体" w:cs="宋体"/>
          <w:color w:val="auto"/>
          <w:szCs w:val="21"/>
        </w:rPr>
        <w:t>投标人不允许有挂靠或转包的行为，招标人或评标委员会在任何时候发现投标人是挂靠或转包的，同时报上级建设主管部门同意的，将否决其投标，或解除合同，并追究该投标人的法律责任。</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1.2.3 </w:t>
      </w:r>
      <w:r>
        <w:rPr>
          <w:rFonts w:ascii="宋体" w:hAnsi="宋体" w:cs="宋体"/>
          <w:color w:val="auto"/>
          <w:szCs w:val="21"/>
        </w:rPr>
        <w:tab/>
      </w:r>
      <w:r>
        <w:rPr>
          <w:rFonts w:hint="eastAsia" w:ascii="宋体" w:hAnsi="宋体" w:cs="宋体"/>
          <w:color w:val="auto"/>
          <w:szCs w:val="21"/>
        </w:rPr>
        <w:t>本次招标投标人采用综合单价包干，投标人须认真阅读理解招标文件，特别是有关责任权利规定，按照招标文件的要求编制投标文件。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1.2.4 </w:t>
      </w:r>
      <w:r>
        <w:rPr>
          <w:rFonts w:ascii="宋体" w:hAnsi="宋体" w:cs="宋体"/>
          <w:color w:val="auto"/>
          <w:szCs w:val="21"/>
        </w:rPr>
        <w:tab/>
      </w:r>
      <w:r>
        <w:rPr>
          <w:rFonts w:hint="eastAsia" w:ascii="宋体" w:hAnsi="宋体" w:cs="宋体"/>
          <w:color w:val="auto"/>
          <w:szCs w:val="21"/>
        </w:rPr>
        <w:t>本招标文件工程量清单列出的单价包干项目及相应的工程量不允许修改。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1.2.5 </w:t>
      </w:r>
      <w:r>
        <w:rPr>
          <w:rFonts w:ascii="宋体" w:hAnsi="宋体" w:cs="宋体"/>
          <w:color w:val="auto"/>
          <w:szCs w:val="21"/>
        </w:rPr>
        <w:tab/>
      </w:r>
      <w:r>
        <w:rPr>
          <w:rFonts w:hint="eastAsia" w:ascii="宋体" w:hAnsi="宋体" w:cs="宋体"/>
          <w:color w:val="auto"/>
          <w:szCs w:val="21"/>
        </w:rPr>
        <w:t>实际检测过程中新增项目的综合单价，在合同工程量清单中有相同项目的，则沿用相同项目的综合单价；如没有相同项目，经双方协商确定综合单价。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1.2.6 </w:t>
      </w:r>
      <w:r>
        <w:rPr>
          <w:rFonts w:ascii="宋体" w:hAnsi="宋体" w:cs="宋体"/>
          <w:color w:val="auto"/>
          <w:szCs w:val="21"/>
        </w:rPr>
        <w:tab/>
      </w:r>
      <w:r>
        <w:rPr>
          <w:rFonts w:hint="eastAsia" w:ascii="宋体" w:hAnsi="宋体" w:cs="宋体"/>
          <w:color w:val="auto"/>
          <w:szCs w:val="21"/>
        </w:rPr>
        <w:t>投标人应认真阅读招标人提供的有关技术文件，根据招标人提供的既有资料，分析招标文件要求的技术成果深度和预计工作量，确定检测工作的方法、设备、存在的风险以及费用等，以便合理报价。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1.2.7 </w:t>
      </w:r>
      <w:r>
        <w:rPr>
          <w:rFonts w:ascii="宋体" w:hAnsi="宋体" w:cs="宋体"/>
          <w:color w:val="auto"/>
          <w:szCs w:val="21"/>
        </w:rPr>
        <w:tab/>
      </w:r>
      <w:r>
        <w:rPr>
          <w:rFonts w:hint="eastAsia" w:ascii="宋体" w:hAnsi="宋体" w:cs="宋体"/>
          <w:color w:val="auto"/>
          <w:szCs w:val="21"/>
        </w:rPr>
        <w:t>招标人特别要求在投标人投标递交印刷的投标文件时，并同时递交</w:t>
      </w:r>
      <w:r>
        <w:rPr>
          <w:rFonts w:ascii="宋体" w:hAnsi="宋体" w:cs="宋体"/>
          <w:color w:val="auto"/>
          <w:szCs w:val="21"/>
        </w:rPr>
        <w:t>2套电子文件(技术标、经济标)，用“Microsoft  Office”系列软件制作（报价文件用Excel制作）。电子文件使用CD-R光盘。所有电子文件不能采用压缩处理，所有递交的光盘必须注明投标单位名称、工程名称和文件名。</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1.2.8  </w:t>
      </w:r>
      <w:r>
        <w:rPr>
          <w:rFonts w:hint="eastAsia" w:ascii="宋体" w:hAnsi="宋体" w:cs="宋体"/>
          <w:color w:val="auto"/>
          <w:szCs w:val="21"/>
        </w:rPr>
        <w:t>参加投标的项目负责人必须是投标单位的在职员工，其项目负责人资质证书标明的工作单位名称（如有）必须和投标单位名称一致。若有违反此条规定，视为实质性不响应招标文件。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1.2.9本招标文件工程量清单列出的工程项目及其相应的工作量，只是为了使投标人能够利用招标人现有的资料，招标人对投标人由此而做出的推论、解释和结论概不负责。投标人应谨慎报价，所产生的一切风险由投标人自担。</w:t>
      </w:r>
    </w:p>
    <w:p>
      <w:pPr>
        <w:spacing w:line="360" w:lineRule="auto"/>
        <w:ind w:firstLine="424" w:firstLineChars="202"/>
        <w:jc w:val="left"/>
        <w:rPr>
          <w:rFonts w:ascii="宋体" w:hAnsi="宋体" w:cs="宋体"/>
          <w:color w:val="auto"/>
          <w:szCs w:val="21"/>
        </w:rPr>
      </w:pPr>
      <w:r>
        <w:rPr>
          <w:rFonts w:ascii="宋体" w:hAnsi="宋体" w:cs="宋体"/>
          <w:color w:val="auto"/>
          <w:szCs w:val="21"/>
        </w:rPr>
        <w:t>1.2.10由于东莞市城市轨道交通1号线一期工程部分车站/区间设计方案仍未最终稳定，不可避免会对检测范围及工程量等的准确性带来影响。业主有权根据工程需要，增加或减</w:t>
      </w:r>
      <w:r>
        <w:rPr>
          <w:rFonts w:hint="eastAsia" w:ascii="宋体" w:hAnsi="宋体" w:cs="宋体"/>
          <w:color w:val="auto"/>
          <w:szCs w:val="21"/>
        </w:rPr>
        <w:t>少质量专项检测服务范围。在满足招标人设计文件基本要求的同时，投标人应充分估计本项目投标报价所带来的风险。</w:t>
      </w:r>
    </w:p>
    <w:p>
      <w:pPr>
        <w:spacing w:line="360" w:lineRule="auto"/>
        <w:ind w:firstLine="424" w:firstLineChars="202"/>
        <w:jc w:val="left"/>
        <w:rPr>
          <w:rFonts w:ascii="宋体" w:hAnsi="宋体" w:cs="宋体"/>
          <w:strike/>
          <w:color w:val="auto"/>
          <w:szCs w:val="21"/>
        </w:rPr>
      </w:pPr>
      <w:r>
        <w:rPr>
          <w:rFonts w:ascii="宋体" w:hAnsi="宋体" w:cs="宋体"/>
          <w:color w:val="auto"/>
          <w:szCs w:val="21"/>
        </w:rPr>
        <w:t>1.2.11</w:t>
      </w:r>
      <w:r>
        <w:rPr>
          <w:rFonts w:hint="eastAsia" w:ascii="宋体" w:hAnsi="宋体" w:cs="宋体"/>
          <w:color w:val="auto"/>
          <w:szCs w:val="21"/>
        </w:rPr>
        <w:t>如同一个投标人同时参加多个标段的投标，其委派的本次投标的项目团队人员可以是同一套班子人员。</w:t>
      </w:r>
    </w:p>
    <w:p>
      <w:pPr>
        <w:spacing w:line="360" w:lineRule="auto"/>
        <w:ind w:firstLine="426" w:firstLineChars="202"/>
        <w:jc w:val="left"/>
        <w:rPr>
          <w:rFonts w:ascii="宋体" w:hAnsi="宋体" w:cs="宋体"/>
          <w:b/>
          <w:bCs/>
          <w:color w:val="auto"/>
          <w:szCs w:val="21"/>
        </w:rPr>
      </w:pPr>
    </w:p>
    <w:p>
      <w:pPr>
        <w:spacing w:line="360" w:lineRule="auto"/>
        <w:ind w:firstLine="426" w:firstLineChars="202"/>
        <w:jc w:val="left"/>
        <w:rPr>
          <w:rFonts w:ascii="宋体" w:hAnsi="宋体" w:cs="宋体"/>
          <w:b/>
          <w:bCs/>
          <w:color w:val="auto"/>
          <w:szCs w:val="21"/>
        </w:rPr>
      </w:pPr>
      <w:r>
        <w:rPr>
          <w:rFonts w:ascii="宋体" w:hAnsi="宋体" w:cs="宋体"/>
          <w:b/>
          <w:bCs/>
          <w:color w:val="auto"/>
          <w:szCs w:val="21"/>
        </w:rPr>
        <w:t xml:space="preserve">1.3  </w:t>
      </w:r>
      <w:r>
        <w:rPr>
          <w:rFonts w:hint="eastAsia" w:ascii="宋体" w:hAnsi="宋体" w:cs="宋体"/>
          <w:b/>
          <w:bCs/>
          <w:color w:val="auto"/>
          <w:szCs w:val="21"/>
        </w:rPr>
        <w:t>项目说明</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1.3.1 </w:t>
      </w:r>
      <w:r>
        <w:rPr>
          <w:rFonts w:ascii="宋体" w:hAnsi="宋体" w:cs="宋体"/>
          <w:color w:val="auto"/>
          <w:szCs w:val="21"/>
        </w:rPr>
        <w:tab/>
      </w:r>
      <w:r>
        <w:rPr>
          <w:rFonts w:hint="eastAsia" w:ascii="宋体" w:hAnsi="宋体" w:cs="宋体"/>
          <w:color w:val="auto"/>
          <w:szCs w:val="21"/>
        </w:rPr>
        <w:t>工程概况：详见本项目招标公告。</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1.3.2 </w:t>
      </w:r>
      <w:r>
        <w:rPr>
          <w:rFonts w:ascii="宋体" w:hAnsi="宋体" w:cs="宋体"/>
          <w:color w:val="auto"/>
          <w:szCs w:val="21"/>
        </w:rPr>
        <w:tab/>
      </w:r>
      <w:r>
        <w:rPr>
          <w:rFonts w:hint="eastAsia" w:ascii="宋体" w:hAnsi="宋体" w:cs="宋体"/>
          <w:color w:val="auto"/>
          <w:szCs w:val="21"/>
        </w:rPr>
        <w:t>招标范围及内容：详见本项目招标公告。</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1.4 </w:t>
      </w:r>
      <w:r>
        <w:rPr>
          <w:rFonts w:hint="eastAsia" w:ascii="宋体" w:hAnsi="宋体" w:cs="宋体"/>
          <w:b/>
          <w:bCs/>
          <w:color w:val="auto"/>
          <w:szCs w:val="21"/>
        </w:rPr>
        <w:t>投标资格要求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1.4.1  </w:t>
      </w:r>
      <w:r>
        <w:rPr>
          <w:rFonts w:hint="eastAsia" w:ascii="宋体" w:hAnsi="宋体" w:cs="宋体"/>
          <w:color w:val="auto"/>
          <w:szCs w:val="21"/>
        </w:rPr>
        <w:t>见招标公告“投标人合格条件”。</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1.5  </w:t>
      </w:r>
      <w:r>
        <w:rPr>
          <w:rFonts w:hint="eastAsia" w:ascii="宋体" w:hAnsi="宋体" w:cs="宋体"/>
          <w:b/>
          <w:bCs/>
          <w:color w:val="auto"/>
          <w:szCs w:val="21"/>
        </w:rPr>
        <w:t>现场考察及投标费用</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1.5.1  </w:t>
      </w:r>
      <w:r>
        <w:rPr>
          <w:rFonts w:hint="eastAsia" w:ascii="宋体" w:hAnsi="宋体" w:cs="宋体"/>
          <w:color w:val="auto"/>
          <w:szCs w:val="21"/>
        </w:rPr>
        <w:t>投标人将自行对工程现场和周围环境进行现场考察，以获取那些须投标人自己负责的有关编制投标和签署合同所需的所有资料。一旦中标，这种考察即被认为其结果已在中标文件中得到充分反映。考察现场的费用由投标人自己承担。</w:t>
      </w:r>
    </w:p>
    <w:p>
      <w:pPr>
        <w:spacing w:line="360" w:lineRule="auto"/>
        <w:ind w:firstLine="424" w:firstLineChars="202"/>
        <w:jc w:val="left"/>
        <w:rPr>
          <w:rFonts w:ascii="宋体" w:hAnsi="宋体" w:cs="宋体"/>
          <w:color w:val="auto"/>
          <w:szCs w:val="21"/>
        </w:rPr>
      </w:pPr>
      <w:r>
        <w:rPr>
          <w:rFonts w:ascii="宋体" w:hAnsi="宋体" w:cs="宋体"/>
          <w:color w:val="auto"/>
          <w:szCs w:val="21"/>
        </w:rPr>
        <w:t>1.5.2</w:t>
      </w:r>
      <w:r>
        <w:rPr>
          <w:rFonts w:ascii="宋体" w:hAnsi="宋体" w:cs="宋体"/>
          <w:color w:val="auto"/>
          <w:szCs w:val="21"/>
        </w:rPr>
        <w:tab/>
      </w:r>
      <w:r>
        <w:rPr>
          <w:rFonts w:hint="eastAsia" w:ascii="宋体" w:hAnsi="宋体" w:cs="宋体"/>
          <w:color w:val="auto"/>
          <w:szCs w:val="21"/>
        </w:rPr>
        <w:t>招标人不组织投标人踏勘项目现场。经招标人允许和事先安排，投标人及其代表方能进入考察的现场。投标人及其代表必须承担那些进入现场后，由于他们的行为所造成的人身伤害（不管是否致命）、财产损失或损坏，以及其它任何原因造成的损失、损坏或费用。招标人在投标人及其代表考察过程中不负任何责任。</w:t>
      </w:r>
    </w:p>
    <w:p>
      <w:pPr>
        <w:spacing w:line="360" w:lineRule="auto"/>
        <w:ind w:firstLine="424" w:firstLineChars="202"/>
        <w:jc w:val="left"/>
        <w:rPr>
          <w:rFonts w:ascii="宋体" w:hAnsi="宋体" w:cs="宋体"/>
          <w:color w:val="auto"/>
          <w:szCs w:val="21"/>
        </w:rPr>
      </w:pPr>
      <w:r>
        <w:rPr>
          <w:rFonts w:ascii="宋体" w:hAnsi="宋体" w:cs="宋体"/>
          <w:color w:val="auto"/>
          <w:szCs w:val="21"/>
        </w:rPr>
        <w:t>1.5.3</w:t>
      </w:r>
      <w:r>
        <w:rPr>
          <w:rFonts w:ascii="宋体" w:hAnsi="宋体" w:cs="宋体"/>
          <w:color w:val="auto"/>
          <w:szCs w:val="21"/>
        </w:rPr>
        <w:tab/>
      </w:r>
      <w:r>
        <w:rPr>
          <w:rFonts w:hint="eastAsia" w:ascii="宋体" w:hAnsi="宋体" w:cs="宋体"/>
          <w:color w:val="auto"/>
          <w:szCs w:val="21"/>
        </w:rPr>
        <w:t>在现场考察中由招标人提供的资料和数据，只是为了使投标人能够利用招标人现有的资料。以上资料仅供投标人参考，招标人对投标人由此而做出的推论、解释和结论概不负责。</w:t>
      </w:r>
    </w:p>
    <w:p>
      <w:pPr>
        <w:spacing w:line="360" w:lineRule="auto"/>
        <w:ind w:firstLine="424" w:firstLineChars="202"/>
        <w:jc w:val="left"/>
        <w:rPr>
          <w:rFonts w:ascii="宋体" w:hAnsi="宋体" w:cs="宋体"/>
          <w:color w:val="auto"/>
          <w:szCs w:val="21"/>
        </w:rPr>
      </w:pPr>
      <w:r>
        <w:rPr>
          <w:rFonts w:ascii="宋体" w:hAnsi="宋体" w:cs="宋体"/>
          <w:color w:val="auto"/>
          <w:szCs w:val="21"/>
        </w:rPr>
        <w:t>1.5.4</w:t>
      </w:r>
      <w:r>
        <w:rPr>
          <w:rFonts w:ascii="宋体" w:hAnsi="宋体" w:cs="宋体"/>
          <w:color w:val="auto"/>
          <w:szCs w:val="21"/>
        </w:rPr>
        <w:tab/>
      </w:r>
      <w:r>
        <w:rPr>
          <w:rFonts w:hint="eastAsia" w:ascii="宋体" w:hAnsi="宋体" w:cs="宋体"/>
          <w:color w:val="auto"/>
          <w:szCs w:val="21"/>
        </w:rPr>
        <w:t>不论投标结果如何，投标人应承担其投标文件编制与递交所涉及的一切费用，招标人对上述费用不负任何责任。</w:t>
      </w:r>
    </w:p>
    <w:p>
      <w:pPr>
        <w:keepNext/>
        <w:keepLines/>
        <w:spacing w:line="360" w:lineRule="auto"/>
        <w:outlineLvl w:val="1"/>
        <w:rPr>
          <w:rFonts w:ascii="宋体" w:hAnsi="宋体" w:cs="宋体"/>
          <w:b/>
          <w:bCs/>
          <w:color w:val="auto"/>
          <w:szCs w:val="21"/>
        </w:rPr>
      </w:pPr>
      <w:bookmarkStart w:id="8" w:name="_Toc377719901"/>
      <w:bookmarkStart w:id="9" w:name="_Toc7150"/>
      <w:r>
        <w:rPr>
          <w:rFonts w:ascii="宋体" w:hAnsi="宋体" w:cs="宋体"/>
          <w:b/>
          <w:bCs/>
          <w:color w:val="auto"/>
          <w:szCs w:val="21"/>
        </w:rPr>
        <w:t xml:space="preserve">2. </w:t>
      </w:r>
      <w:r>
        <w:rPr>
          <w:rFonts w:hint="eastAsia" w:ascii="宋体" w:hAnsi="宋体" w:cs="宋体"/>
          <w:b/>
          <w:bCs/>
          <w:color w:val="auto"/>
          <w:szCs w:val="21"/>
        </w:rPr>
        <w:t>招标文件</w:t>
      </w:r>
      <w:bookmarkEnd w:id="8"/>
      <w:bookmarkEnd w:id="9"/>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2.1  </w:t>
      </w:r>
      <w:r>
        <w:rPr>
          <w:rFonts w:hint="eastAsia" w:ascii="宋体" w:hAnsi="宋体" w:cs="宋体"/>
          <w:b/>
          <w:bCs/>
          <w:color w:val="auto"/>
          <w:szCs w:val="21"/>
        </w:rPr>
        <w:t>招标文件的内容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2.1.1 </w:t>
      </w:r>
      <w:r>
        <w:rPr>
          <w:rFonts w:ascii="宋体" w:hAnsi="宋体" w:cs="宋体"/>
          <w:color w:val="auto"/>
          <w:szCs w:val="21"/>
        </w:rPr>
        <w:tab/>
      </w:r>
      <w:r>
        <w:rPr>
          <w:rFonts w:hint="eastAsia" w:ascii="宋体" w:hAnsi="宋体" w:cs="宋体"/>
          <w:color w:val="auto"/>
          <w:szCs w:val="21"/>
        </w:rPr>
        <w:t>本招标文件包括下列文件，以及所有按本须知</w:t>
      </w:r>
      <w:r>
        <w:rPr>
          <w:rFonts w:ascii="宋体" w:hAnsi="宋体" w:cs="宋体"/>
          <w:color w:val="auto"/>
          <w:szCs w:val="21"/>
        </w:rPr>
        <w:t xml:space="preserve"> 2.3款发出的补充通知：</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第Ⅰ卷</w:t>
      </w:r>
      <w:r>
        <w:rPr>
          <w:rFonts w:ascii="宋体" w:hAnsi="宋体" w:cs="宋体"/>
          <w:color w:val="auto"/>
          <w:szCs w:val="21"/>
          <w:u w:val="single"/>
        </w:rPr>
        <w:t xml:space="preserve">  </w:t>
      </w:r>
      <w:r>
        <w:rPr>
          <w:rFonts w:hint="eastAsia" w:ascii="宋体" w:hAnsi="宋体" w:cs="宋体"/>
          <w:color w:val="auto"/>
          <w:szCs w:val="21"/>
          <w:u w:val="single"/>
        </w:rPr>
        <w:t>投标须知</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第Ⅱ卷</w:t>
      </w:r>
      <w:r>
        <w:rPr>
          <w:rFonts w:ascii="宋体" w:hAnsi="宋体" w:cs="宋体"/>
          <w:color w:val="auto"/>
          <w:szCs w:val="21"/>
          <w:u w:val="single"/>
        </w:rPr>
        <w:t xml:space="preserve">  </w:t>
      </w:r>
      <w:r>
        <w:rPr>
          <w:rFonts w:hint="eastAsia" w:ascii="宋体" w:hAnsi="宋体" w:cs="宋体"/>
          <w:color w:val="auto"/>
          <w:szCs w:val="21"/>
          <w:u w:val="single"/>
        </w:rPr>
        <w:t>合同条件</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第Ⅲ卷</w:t>
      </w:r>
      <w:r>
        <w:rPr>
          <w:rFonts w:ascii="宋体" w:hAnsi="宋体" w:cs="宋体"/>
          <w:color w:val="auto"/>
          <w:szCs w:val="21"/>
          <w:u w:val="single"/>
        </w:rPr>
        <w:t xml:space="preserve">  </w:t>
      </w:r>
      <w:r>
        <w:rPr>
          <w:rFonts w:hint="eastAsia" w:ascii="宋体" w:hAnsi="宋体" w:cs="宋体"/>
          <w:color w:val="auto"/>
          <w:szCs w:val="21"/>
          <w:u w:val="single"/>
        </w:rPr>
        <w:t>投标文件格式</w:t>
      </w:r>
    </w:p>
    <w:p>
      <w:pPr>
        <w:spacing w:line="360" w:lineRule="auto"/>
        <w:ind w:firstLine="1274" w:firstLineChars="607"/>
        <w:jc w:val="left"/>
        <w:rPr>
          <w:rFonts w:ascii="宋体" w:hAnsi="宋体" w:cs="宋体"/>
          <w:color w:val="auto"/>
          <w:szCs w:val="21"/>
          <w:u w:val="single"/>
        </w:rPr>
      </w:pPr>
      <w:r>
        <w:rPr>
          <w:rFonts w:hint="eastAsia" w:ascii="宋体" w:hAnsi="宋体" w:cs="宋体"/>
          <w:color w:val="auto"/>
          <w:szCs w:val="21"/>
          <w:u w:val="single"/>
        </w:rPr>
        <w:t>第Ⅳ卷</w:t>
      </w:r>
      <w:r>
        <w:rPr>
          <w:rFonts w:ascii="宋体" w:hAnsi="宋体" w:cs="宋体"/>
          <w:color w:val="auto"/>
          <w:szCs w:val="21"/>
          <w:u w:val="single"/>
        </w:rPr>
        <w:t xml:space="preserve">  </w:t>
      </w:r>
      <w:r>
        <w:rPr>
          <w:rFonts w:hint="eastAsia" w:ascii="宋体" w:hAnsi="宋体" w:cs="宋体"/>
          <w:color w:val="auto"/>
          <w:szCs w:val="21"/>
          <w:u w:val="single"/>
        </w:rPr>
        <w:t>工程量清单</w:t>
      </w:r>
    </w:p>
    <w:p>
      <w:pPr>
        <w:spacing w:line="360" w:lineRule="auto"/>
        <w:ind w:firstLine="1274" w:firstLineChars="607"/>
        <w:jc w:val="left"/>
        <w:rPr>
          <w:rFonts w:ascii="宋体" w:hAnsi="宋体" w:cs="宋体"/>
          <w:color w:val="auto"/>
          <w:szCs w:val="21"/>
        </w:rPr>
      </w:pPr>
      <w:r>
        <w:rPr>
          <w:rFonts w:hint="eastAsia" w:ascii="宋体" w:hAnsi="宋体" w:cs="宋体"/>
          <w:color w:val="auto"/>
          <w:szCs w:val="21"/>
          <w:u w:val="single"/>
        </w:rPr>
        <w:t>第Ⅴ卷</w:t>
      </w:r>
      <w:r>
        <w:rPr>
          <w:rFonts w:ascii="宋体" w:hAnsi="宋体" w:cs="宋体"/>
          <w:color w:val="auto"/>
          <w:szCs w:val="21"/>
          <w:u w:val="single"/>
        </w:rPr>
        <w:t xml:space="preserve">  </w:t>
      </w:r>
      <w:r>
        <w:rPr>
          <w:rFonts w:hint="eastAsia" w:ascii="宋体" w:hAnsi="宋体" w:cs="宋体"/>
          <w:color w:val="auto"/>
          <w:szCs w:val="21"/>
          <w:u w:val="single"/>
        </w:rPr>
        <w:t>评标办法</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2.1.2 </w:t>
      </w:r>
      <w:r>
        <w:rPr>
          <w:rFonts w:ascii="宋体" w:hAnsi="宋体" w:cs="宋体"/>
          <w:color w:val="auto"/>
          <w:szCs w:val="21"/>
        </w:rPr>
        <w:tab/>
      </w:r>
      <w:r>
        <w:rPr>
          <w:rFonts w:hint="eastAsia" w:ascii="宋体" w:hAnsi="宋体" w:cs="宋体"/>
          <w:color w:val="auto"/>
          <w:szCs w:val="21"/>
        </w:rPr>
        <w:t>投标人应认真检阅招标文件中所有的内容。如投标人的投标文件不能满足本招标文件的要求，责任由投标人自负。根据本须知第</w:t>
      </w:r>
      <w:r>
        <w:rPr>
          <w:rFonts w:ascii="宋体" w:hAnsi="宋体" w:cs="宋体"/>
          <w:color w:val="auto"/>
          <w:szCs w:val="21"/>
        </w:rPr>
        <w:t xml:space="preserve"> 5.4款规定，招标人有权拒绝没有实质上响应招标文件要求的投标文件。</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2.2.招标文件的澄清与修改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2.2.1   </w:t>
      </w:r>
      <w:r>
        <w:rPr>
          <w:rFonts w:hint="eastAsia" w:ascii="宋体" w:hAnsi="宋体" w:cs="宋体"/>
          <w:color w:val="auto"/>
          <w:szCs w:val="21"/>
        </w:rPr>
        <w:t>投标人若对招标文件（包括招标图纸）中有疑问，可以书面形式提交给招标人或招标代理人。提交方式见本须知前附表第</w:t>
      </w:r>
      <w:r>
        <w:rPr>
          <w:rFonts w:ascii="宋体" w:hAnsi="宋体" w:cs="宋体"/>
          <w:color w:val="auto"/>
          <w:szCs w:val="21"/>
        </w:rPr>
        <w:t>10项。</w:t>
      </w:r>
      <w:r>
        <w:rPr>
          <w:rFonts w:hint="eastAsia" w:ascii="宋体" w:hAnsi="宋体" w:cs="宋体"/>
          <w:color w:val="auto"/>
          <w:szCs w:val="21"/>
        </w:rPr>
        <w:t>招标人可以对已发出的招标文件进行必要的澄清或者修改。澄清或者修改的内容可能影响投标文件编制的，招标人应当在投标截止时间至少</w:t>
      </w:r>
      <w:r>
        <w:rPr>
          <w:rFonts w:ascii="宋体" w:hAnsi="宋体" w:cs="宋体"/>
          <w:color w:val="auto"/>
          <w:szCs w:val="21"/>
        </w:rPr>
        <w:t>15日前，以书面形式通知所有获取招标文件的潜在投标人；不足15日的，招标人应当顺延投标文件的递交截止时间。</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2.2.2 </w:t>
      </w:r>
      <w:r>
        <w:rPr>
          <w:rFonts w:ascii="宋体" w:hAnsi="宋体" w:cs="宋体"/>
          <w:color w:val="auto"/>
          <w:szCs w:val="21"/>
        </w:rPr>
        <w:tab/>
      </w:r>
      <w:r>
        <w:rPr>
          <w:rFonts w:hint="eastAsia" w:ascii="宋体" w:hAnsi="宋体" w:cs="宋体"/>
          <w:color w:val="auto"/>
          <w:szCs w:val="21"/>
        </w:rPr>
        <w:t>招标文件的澄清或修改将以书面形式（在广州公共资源交易中心网站“答疑纪要栏目”发布）发送给所有投标人，投标人须随时登录广州公共资源交易中心网站，在网站上密切留意本项目澄清与修改通知的发放信息（除此方式外，不再另行通知），并在上述网站上及时自行下载澄清与修改通知及相关资料。澄清与修改通知一经在广州公共资源交易中心网站发布，视为已送达所有潜在投标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2.2.3 </w:t>
      </w:r>
      <w:r>
        <w:rPr>
          <w:rFonts w:ascii="宋体" w:hAnsi="宋体" w:cs="宋体"/>
          <w:color w:val="auto"/>
          <w:szCs w:val="21"/>
        </w:rPr>
        <w:tab/>
      </w:r>
      <w:r>
        <w:rPr>
          <w:rFonts w:hint="eastAsia" w:ascii="宋体" w:hAnsi="宋体" w:cs="宋体"/>
          <w:color w:val="auto"/>
          <w:szCs w:val="21"/>
        </w:rPr>
        <w:t>招标文件的修改内容为招标文件的组成部分。</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2.2.4 </w:t>
      </w:r>
      <w:r>
        <w:rPr>
          <w:rFonts w:ascii="宋体" w:hAnsi="宋体" w:cs="宋体"/>
          <w:color w:val="auto"/>
          <w:szCs w:val="21"/>
        </w:rPr>
        <w:tab/>
      </w:r>
      <w:r>
        <w:rPr>
          <w:rFonts w:hint="eastAsia" w:ascii="宋体" w:hAnsi="宋体" w:cs="宋体"/>
          <w:color w:val="auto"/>
          <w:szCs w:val="21"/>
        </w:rPr>
        <w:t>招标文件的澄清或修改均以书面形式明确的内容为准。当招标文件的澄清、修改、补充等在同一内容的表述不一致时，以最后发出的书面文件为准。</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2.2.5 </w:t>
      </w:r>
      <w:r>
        <w:rPr>
          <w:rFonts w:ascii="宋体" w:hAnsi="宋体" w:cs="宋体"/>
          <w:color w:val="auto"/>
          <w:szCs w:val="21"/>
        </w:rPr>
        <w:tab/>
      </w:r>
      <w:r>
        <w:rPr>
          <w:rFonts w:hint="eastAsia" w:ascii="宋体" w:hAnsi="宋体" w:cs="宋体"/>
          <w:color w:val="auto"/>
          <w:szCs w:val="21"/>
        </w:rPr>
        <w:t>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keepNext/>
        <w:keepLines/>
        <w:spacing w:line="360" w:lineRule="auto"/>
        <w:outlineLvl w:val="1"/>
        <w:rPr>
          <w:rFonts w:ascii="宋体" w:hAnsi="宋体" w:cs="宋体"/>
          <w:b/>
          <w:bCs/>
          <w:color w:val="auto"/>
          <w:szCs w:val="21"/>
        </w:rPr>
      </w:pPr>
      <w:bookmarkStart w:id="10" w:name="_Toc27724"/>
      <w:bookmarkStart w:id="11" w:name="_Toc377719902"/>
      <w:r>
        <w:rPr>
          <w:rFonts w:ascii="宋体" w:hAnsi="宋体" w:cs="宋体"/>
          <w:b/>
          <w:bCs/>
          <w:color w:val="auto"/>
          <w:szCs w:val="21"/>
        </w:rPr>
        <w:t xml:space="preserve">3. </w:t>
      </w:r>
      <w:r>
        <w:rPr>
          <w:rFonts w:hint="eastAsia" w:ascii="宋体" w:hAnsi="宋体" w:cs="宋体"/>
          <w:b/>
          <w:bCs/>
          <w:color w:val="auto"/>
          <w:szCs w:val="21"/>
        </w:rPr>
        <w:t>投标文件的编制</w:t>
      </w:r>
      <w:bookmarkEnd w:id="10"/>
      <w:bookmarkEnd w:id="11"/>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3.1  </w:t>
      </w:r>
      <w:r>
        <w:rPr>
          <w:rFonts w:hint="eastAsia" w:ascii="宋体" w:hAnsi="宋体" w:cs="宋体"/>
          <w:b/>
          <w:bCs/>
          <w:color w:val="auto"/>
          <w:szCs w:val="21"/>
        </w:rPr>
        <w:t>组成投标文件的文件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3.1.1投标人应按下列名称、顺序、格式要求编制装订投标文件：</w:t>
      </w:r>
    </w:p>
    <w:p>
      <w:pPr>
        <w:spacing w:line="360" w:lineRule="auto"/>
        <w:ind w:firstLine="426" w:firstLineChars="202"/>
        <w:jc w:val="left"/>
        <w:rPr>
          <w:rFonts w:ascii="宋体" w:hAnsi="宋体" w:cs="宋体"/>
          <w:b/>
          <w:color w:val="auto"/>
          <w:szCs w:val="21"/>
        </w:rPr>
      </w:pPr>
      <w:r>
        <w:rPr>
          <w:rFonts w:hint="eastAsia" w:ascii="宋体" w:hAnsi="宋体" w:cs="宋体"/>
          <w:b/>
          <w:color w:val="auto"/>
          <w:szCs w:val="21"/>
        </w:rPr>
        <w:t>一、技术标书包括：（</w:t>
      </w:r>
      <w:r>
        <w:rPr>
          <w:rFonts w:hint="eastAsia" w:ascii="宋体" w:hAnsi="宋体" w:cs="宋体"/>
          <w:color w:val="auto"/>
          <w:szCs w:val="21"/>
        </w:rPr>
        <w:t>含资格审查文件，技术标书不能有有关报价信息等内容</w:t>
      </w:r>
      <w:r>
        <w:rPr>
          <w:rFonts w:hint="eastAsia" w:ascii="宋体" w:hAnsi="宋体" w:cs="宋体"/>
          <w:b/>
          <w:color w:val="auto"/>
          <w:szCs w:val="21"/>
        </w:rPr>
        <w:t>）</w:t>
      </w:r>
    </w:p>
    <w:p>
      <w:pPr>
        <w:tabs>
          <w:tab w:val="left" w:pos="780"/>
        </w:tabs>
        <w:spacing w:line="360" w:lineRule="auto"/>
        <w:ind w:left="420"/>
        <w:rPr>
          <w:rFonts w:ascii="宋体" w:hAnsi="宋体" w:cs="宋体"/>
          <w:color w:val="auto"/>
          <w:szCs w:val="21"/>
        </w:rPr>
      </w:pPr>
      <w:r>
        <w:rPr>
          <w:rFonts w:hint="eastAsia" w:ascii="宋体" w:hAnsi="宋体" w:cs="宋体"/>
          <w:color w:val="auto"/>
          <w:szCs w:val="21"/>
        </w:rPr>
        <w:t>（一）目录和评审索引表</w:t>
      </w:r>
    </w:p>
    <w:p>
      <w:pPr>
        <w:numPr>
          <w:ilvl w:val="0"/>
          <w:numId w:val="4"/>
        </w:numPr>
        <w:spacing w:line="360" w:lineRule="auto"/>
        <w:rPr>
          <w:rFonts w:ascii="宋体" w:hAnsi="宋体" w:cs="宋体"/>
          <w:color w:val="auto"/>
          <w:szCs w:val="21"/>
        </w:rPr>
      </w:pPr>
      <w:r>
        <w:rPr>
          <w:rFonts w:hint="eastAsia" w:ascii="宋体" w:hAnsi="宋体" w:cs="宋体"/>
          <w:color w:val="auto"/>
          <w:szCs w:val="21"/>
        </w:rPr>
        <w:t>目录</w:t>
      </w:r>
    </w:p>
    <w:p>
      <w:pPr>
        <w:numPr>
          <w:ilvl w:val="0"/>
          <w:numId w:val="4"/>
        </w:numPr>
        <w:spacing w:line="360" w:lineRule="auto"/>
        <w:rPr>
          <w:rFonts w:ascii="宋体" w:hAnsi="宋体" w:cs="宋体"/>
          <w:color w:val="auto"/>
          <w:szCs w:val="21"/>
        </w:rPr>
      </w:pPr>
      <w:r>
        <w:rPr>
          <w:rFonts w:hint="eastAsia" w:ascii="宋体" w:hAnsi="宋体" w:cs="宋体"/>
          <w:color w:val="auto"/>
          <w:szCs w:val="21"/>
        </w:rPr>
        <w:t>评审索引表</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（二）详细内容</w:t>
      </w:r>
    </w:p>
    <w:p>
      <w:pPr>
        <w:spacing w:line="360" w:lineRule="auto"/>
        <w:ind w:firstLine="424" w:firstLineChars="202"/>
        <w:jc w:val="left"/>
        <w:rPr>
          <w:rFonts w:ascii="宋体" w:hAnsi="宋体" w:cs="宋体"/>
          <w:color w:val="auto"/>
          <w:szCs w:val="21"/>
        </w:rPr>
      </w:pPr>
      <w:r>
        <w:rPr>
          <w:rFonts w:ascii="宋体" w:hAnsi="宋体" w:cs="宋体"/>
          <w:color w:val="auto"/>
          <w:szCs w:val="21"/>
        </w:rPr>
        <w:t>a)</w:t>
      </w:r>
      <w:r>
        <w:rPr>
          <w:rFonts w:ascii="宋体" w:hAnsi="宋体" w:cs="宋体"/>
          <w:color w:val="auto"/>
          <w:szCs w:val="21"/>
        </w:rPr>
        <w:tab/>
      </w:r>
      <w:r>
        <w:rPr>
          <w:rFonts w:hint="eastAsia" w:ascii="宋体" w:hAnsi="宋体" w:cs="宋体"/>
          <w:color w:val="auto"/>
          <w:szCs w:val="21"/>
        </w:rPr>
        <w:t>投标函（技术标）；</w:t>
      </w:r>
    </w:p>
    <w:p>
      <w:pPr>
        <w:spacing w:line="360" w:lineRule="auto"/>
        <w:ind w:firstLine="424" w:firstLineChars="202"/>
        <w:jc w:val="left"/>
        <w:rPr>
          <w:rFonts w:ascii="宋体" w:hAnsi="宋体" w:cs="宋体"/>
          <w:color w:val="auto"/>
          <w:szCs w:val="21"/>
        </w:rPr>
      </w:pPr>
      <w:r>
        <w:rPr>
          <w:rFonts w:ascii="宋体" w:hAnsi="宋体" w:cs="宋体"/>
          <w:color w:val="auto"/>
          <w:szCs w:val="21"/>
        </w:rPr>
        <w:t>b)</w:t>
      </w:r>
      <w:r>
        <w:rPr>
          <w:rFonts w:ascii="宋体" w:hAnsi="宋体" w:cs="宋体"/>
          <w:color w:val="auto"/>
          <w:szCs w:val="21"/>
        </w:rPr>
        <w:tab/>
      </w:r>
      <w:r>
        <w:rPr>
          <w:rFonts w:hint="eastAsia" w:ascii="宋体" w:hAnsi="宋体" w:cs="宋体"/>
          <w:color w:val="auto"/>
          <w:szCs w:val="21"/>
        </w:rPr>
        <w:t>投标书附录（包括对协议书合同条款等内容的响应）；</w:t>
      </w:r>
    </w:p>
    <w:p>
      <w:pPr>
        <w:spacing w:line="360" w:lineRule="auto"/>
        <w:ind w:firstLine="424" w:firstLineChars="202"/>
        <w:jc w:val="left"/>
        <w:rPr>
          <w:rFonts w:ascii="宋体" w:hAnsi="宋体" w:cs="宋体"/>
          <w:color w:val="auto"/>
          <w:szCs w:val="21"/>
        </w:rPr>
      </w:pPr>
      <w:r>
        <w:rPr>
          <w:rFonts w:ascii="宋体" w:hAnsi="宋体" w:cs="宋体"/>
          <w:color w:val="auto"/>
          <w:szCs w:val="21"/>
        </w:rPr>
        <w:t>c)</w:t>
      </w:r>
      <w:r>
        <w:rPr>
          <w:rFonts w:ascii="宋体" w:hAnsi="宋体" w:cs="宋体"/>
          <w:color w:val="auto"/>
          <w:szCs w:val="21"/>
        </w:rPr>
        <w:tab/>
      </w:r>
      <w:r>
        <w:rPr>
          <w:rFonts w:hint="eastAsia" w:ascii="宋体" w:hAnsi="宋体" w:cs="宋体"/>
          <w:color w:val="auto"/>
          <w:szCs w:val="21"/>
        </w:rPr>
        <w:t>法人代表证明书或法定代表人授权书（如果不是法定代表人亲自签署的文件，则需提交有法定代表人签字（章）并加盖公章的法定代表人授权书）；</w:t>
      </w:r>
    </w:p>
    <w:p>
      <w:pPr>
        <w:spacing w:line="360" w:lineRule="auto"/>
        <w:ind w:firstLine="424" w:firstLineChars="202"/>
        <w:jc w:val="left"/>
        <w:rPr>
          <w:rFonts w:ascii="宋体" w:hAnsi="宋体" w:cs="宋体"/>
          <w:color w:val="auto"/>
          <w:szCs w:val="21"/>
        </w:rPr>
      </w:pPr>
      <w:r>
        <w:rPr>
          <w:rFonts w:ascii="宋体" w:hAnsi="宋体" w:cs="宋体"/>
          <w:color w:val="auto"/>
          <w:szCs w:val="21"/>
        </w:rPr>
        <w:t>d)</w:t>
      </w:r>
      <w:r>
        <w:rPr>
          <w:rFonts w:ascii="宋体" w:hAnsi="宋体" w:cs="宋体"/>
          <w:color w:val="auto"/>
          <w:szCs w:val="21"/>
        </w:rPr>
        <w:tab/>
      </w:r>
      <w:r>
        <w:rPr>
          <w:rFonts w:hint="eastAsia" w:ascii="宋体" w:hAnsi="宋体" w:cs="宋体"/>
          <w:color w:val="auto"/>
          <w:szCs w:val="21"/>
        </w:rPr>
        <w:t>投标保证金证明（保证金凭证复印件）；</w:t>
      </w:r>
    </w:p>
    <w:p>
      <w:pPr>
        <w:spacing w:line="360" w:lineRule="auto"/>
        <w:ind w:firstLine="424" w:firstLineChars="202"/>
        <w:jc w:val="left"/>
        <w:rPr>
          <w:rFonts w:ascii="宋体" w:hAnsi="宋体" w:cs="宋体"/>
          <w:color w:val="auto"/>
          <w:szCs w:val="21"/>
        </w:rPr>
      </w:pPr>
      <w:r>
        <w:rPr>
          <w:rFonts w:ascii="宋体" w:hAnsi="宋体" w:cs="宋体"/>
          <w:color w:val="auto"/>
          <w:szCs w:val="21"/>
        </w:rPr>
        <w:t>e)</w:t>
      </w:r>
      <w:r>
        <w:rPr>
          <w:rFonts w:ascii="宋体" w:hAnsi="宋体" w:cs="宋体"/>
          <w:color w:val="auto"/>
          <w:szCs w:val="21"/>
        </w:rPr>
        <w:tab/>
      </w:r>
      <w:r>
        <w:rPr>
          <w:rFonts w:hint="eastAsia" w:ascii="宋体" w:hAnsi="宋体" w:cs="宋体"/>
          <w:color w:val="auto"/>
          <w:szCs w:val="21"/>
        </w:rPr>
        <w:t>投标人简介（投标单位一般情况表）；</w:t>
      </w:r>
    </w:p>
    <w:p>
      <w:pPr>
        <w:spacing w:line="360" w:lineRule="auto"/>
        <w:ind w:firstLine="424" w:firstLineChars="202"/>
        <w:jc w:val="left"/>
        <w:rPr>
          <w:rFonts w:ascii="宋体" w:hAnsi="宋体" w:cs="宋体"/>
          <w:color w:val="auto"/>
          <w:szCs w:val="21"/>
        </w:rPr>
      </w:pPr>
      <w:r>
        <w:rPr>
          <w:rFonts w:ascii="宋体" w:hAnsi="宋体" w:cs="宋体"/>
          <w:color w:val="auto"/>
          <w:szCs w:val="21"/>
        </w:rPr>
        <w:t>f)</w:t>
      </w:r>
      <w:r>
        <w:rPr>
          <w:rFonts w:ascii="宋体" w:hAnsi="宋体" w:cs="宋体"/>
          <w:color w:val="auto"/>
          <w:szCs w:val="21"/>
        </w:rPr>
        <w:tab/>
      </w:r>
      <w:r>
        <w:rPr>
          <w:rFonts w:hint="eastAsia" w:ascii="宋体" w:hAnsi="宋体" w:cs="宋体"/>
          <w:color w:val="auto"/>
          <w:szCs w:val="21"/>
        </w:rPr>
        <w:t>本项目组织机构和拟派人员（</w:t>
      </w:r>
      <w:r>
        <w:rPr>
          <w:rFonts w:hint="eastAsia" w:ascii="宋体" w:hAnsi="宋体" w:cs="宋体"/>
          <w:bCs/>
          <w:color w:val="auto"/>
          <w:szCs w:val="21"/>
        </w:rPr>
        <w:t>拟投入本项目的试验检测人员一览表、拟投入本项目的主要试验检测人员简历表</w:t>
      </w:r>
      <w:r>
        <w:rPr>
          <w:rFonts w:hint="eastAsia" w:ascii="宋体" w:hAnsi="宋体" w:cs="宋体"/>
          <w:color w:val="auto"/>
          <w:szCs w:val="21"/>
        </w:rPr>
        <w:t>）；</w:t>
      </w:r>
    </w:p>
    <w:p>
      <w:pPr>
        <w:spacing w:line="360" w:lineRule="auto"/>
        <w:ind w:firstLine="424" w:firstLineChars="202"/>
        <w:jc w:val="left"/>
        <w:rPr>
          <w:rFonts w:ascii="宋体" w:hAnsi="宋体" w:cs="宋体"/>
          <w:color w:val="auto"/>
          <w:szCs w:val="21"/>
        </w:rPr>
      </w:pPr>
      <w:r>
        <w:rPr>
          <w:rFonts w:ascii="宋体" w:hAnsi="宋体" w:cs="宋体"/>
          <w:color w:val="auto"/>
          <w:szCs w:val="21"/>
        </w:rPr>
        <w:t>g)</w:t>
      </w:r>
      <w:r>
        <w:rPr>
          <w:rFonts w:ascii="宋体" w:hAnsi="宋体" w:cs="宋体"/>
          <w:color w:val="auto"/>
          <w:szCs w:val="21"/>
        </w:rPr>
        <w:tab/>
      </w:r>
      <w:r>
        <w:rPr>
          <w:rFonts w:hint="eastAsia" w:ascii="宋体" w:hAnsi="宋体" w:cs="宋体"/>
          <w:color w:val="auto"/>
          <w:szCs w:val="21"/>
        </w:rPr>
        <w:t>试验检测投标单位近八年内类似检测工程业绩（试验检测业绩表）；</w:t>
      </w:r>
    </w:p>
    <w:p>
      <w:pPr>
        <w:spacing w:line="360" w:lineRule="auto"/>
        <w:ind w:firstLine="424" w:firstLineChars="202"/>
        <w:jc w:val="left"/>
        <w:rPr>
          <w:rFonts w:ascii="宋体" w:hAnsi="宋体" w:cs="宋体"/>
          <w:color w:val="auto"/>
          <w:szCs w:val="21"/>
        </w:rPr>
      </w:pPr>
      <w:r>
        <w:rPr>
          <w:rFonts w:ascii="宋体" w:hAnsi="宋体" w:cs="宋体"/>
          <w:color w:val="auto"/>
          <w:szCs w:val="21"/>
        </w:rPr>
        <w:t>h)</w:t>
      </w:r>
      <w:r>
        <w:rPr>
          <w:rFonts w:ascii="宋体" w:hAnsi="宋体" w:cs="宋体"/>
          <w:color w:val="auto"/>
          <w:szCs w:val="21"/>
        </w:rPr>
        <w:tab/>
      </w:r>
      <w:r>
        <w:rPr>
          <w:rFonts w:hint="eastAsia" w:ascii="宋体" w:hAnsi="宋体" w:cs="宋体"/>
          <w:color w:val="auto"/>
          <w:szCs w:val="21"/>
        </w:rPr>
        <w:t>拟投入本项目的主要试验检测仪器设备一览表；</w:t>
      </w:r>
    </w:p>
    <w:p>
      <w:pPr>
        <w:spacing w:line="360" w:lineRule="auto"/>
        <w:ind w:firstLine="424" w:firstLineChars="202"/>
        <w:jc w:val="left"/>
        <w:rPr>
          <w:rFonts w:ascii="宋体" w:hAnsi="宋体" w:cs="宋体"/>
          <w:color w:val="auto"/>
          <w:szCs w:val="21"/>
        </w:rPr>
      </w:pPr>
      <w:r>
        <w:rPr>
          <w:rFonts w:ascii="宋体" w:hAnsi="宋体" w:cs="宋体"/>
          <w:color w:val="auto"/>
          <w:szCs w:val="21"/>
        </w:rPr>
        <w:t>i)</w:t>
      </w:r>
      <w:r>
        <w:rPr>
          <w:rFonts w:ascii="宋体" w:hAnsi="宋体" w:cs="宋体"/>
          <w:color w:val="auto"/>
          <w:szCs w:val="21"/>
        </w:rPr>
        <w:tab/>
      </w:r>
      <w:r>
        <w:rPr>
          <w:rFonts w:hint="eastAsia" w:ascii="宋体" w:hAnsi="宋体" w:cs="宋体"/>
          <w:color w:val="auto"/>
          <w:szCs w:val="21"/>
        </w:rPr>
        <w:t>实施本项目工作大纲；</w:t>
      </w:r>
    </w:p>
    <w:p>
      <w:pPr>
        <w:spacing w:line="360" w:lineRule="auto"/>
        <w:ind w:firstLine="424" w:firstLineChars="202"/>
        <w:jc w:val="left"/>
        <w:rPr>
          <w:rFonts w:ascii="宋体" w:hAnsi="宋体" w:cs="宋体"/>
          <w:color w:val="auto"/>
          <w:szCs w:val="21"/>
        </w:rPr>
      </w:pPr>
      <w:r>
        <w:rPr>
          <w:rFonts w:ascii="宋体" w:hAnsi="宋体" w:cs="宋体"/>
          <w:color w:val="auto"/>
          <w:szCs w:val="21"/>
        </w:rPr>
        <w:t>j)</w:t>
      </w:r>
      <w:r>
        <w:rPr>
          <w:rFonts w:ascii="宋体" w:hAnsi="宋体" w:cs="宋体"/>
          <w:color w:val="auto"/>
          <w:szCs w:val="21"/>
        </w:rPr>
        <w:tab/>
      </w:r>
      <w:r>
        <w:rPr>
          <w:rFonts w:hint="eastAsia" w:ascii="宋体" w:hAnsi="宋体" w:cs="宋体"/>
          <w:color w:val="auto"/>
          <w:szCs w:val="21"/>
        </w:rPr>
        <w:t>实施本项目检测工作应符合的检测规范及要求；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k)</w:t>
      </w:r>
      <w:r>
        <w:rPr>
          <w:rFonts w:ascii="宋体" w:hAnsi="宋体" w:cs="宋体"/>
          <w:color w:val="auto"/>
          <w:szCs w:val="21"/>
        </w:rPr>
        <w:tab/>
      </w:r>
      <w:r>
        <w:rPr>
          <w:rFonts w:hint="eastAsia" w:ascii="宋体" w:hAnsi="宋体" w:cs="宋体"/>
          <w:color w:val="auto"/>
          <w:szCs w:val="21"/>
        </w:rPr>
        <w:t>其他要求；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l)</w:t>
      </w:r>
      <w:r>
        <w:rPr>
          <w:rFonts w:ascii="宋体" w:hAnsi="宋体" w:cs="宋体"/>
          <w:color w:val="auto"/>
          <w:szCs w:val="21"/>
        </w:rPr>
        <w:tab/>
      </w:r>
      <w:r>
        <w:rPr>
          <w:rFonts w:hint="eastAsia" w:ascii="宋体" w:hAnsi="宋体" w:cs="宋体"/>
          <w:color w:val="auto"/>
          <w:szCs w:val="21"/>
        </w:rPr>
        <w:t>投标申请人声明；</w:t>
      </w:r>
    </w:p>
    <w:p>
      <w:pPr>
        <w:spacing w:line="360" w:lineRule="auto"/>
        <w:ind w:firstLine="424" w:firstLineChars="202"/>
        <w:jc w:val="left"/>
        <w:rPr>
          <w:rFonts w:ascii="宋体" w:hAnsi="宋体" w:cs="宋体"/>
          <w:color w:val="auto"/>
          <w:szCs w:val="21"/>
        </w:rPr>
      </w:pPr>
      <w:r>
        <w:rPr>
          <w:rFonts w:ascii="宋体" w:hAnsi="宋体" w:cs="宋体"/>
          <w:color w:val="auto"/>
          <w:szCs w:val="21"/>
        </w:rPr>
        <w:t>m)</w:t>
      </w:r>
      <w:r>
        <w:rPr>
          <w:rFonts w:ascii="宋体" w:hAnsi="宋体" w:cs="宋体"/>
          <w:color w:val="auto"/>
          <w:szCs w:val="21"/>
        </w:rPr>
        <w:tab/>
      </w:r>
      <w:r>
        <w:rPr>
          <w:rFonts w:hint="eastAsia" w:ascii="宋体" w:hAnsi="宋体" w:cs="宋体"/>
          <w:color w:val="auto"/>
          <w:szCs w:val="21"/>
        </w:rPr>
        <w:t>廉洁承诺书；</w:t>
      </w:r>
    </w:p>
    <w:p>
      <w:pPr>
        <w:spacing w:line="360" w:lineRule="auto"/>
        <w:ind w:firstLine="424" w:firstLineChars="202"/>
        <w:jc w:val="left"/>
        <w:rPr>
          <w:rFonts w:ascii="宋体" w:hAnsi="宋体" w:cs="宋体"/>
          <w:color w:val="auto"/>
          <w:szCs w:val="21"/>
        </w:rPr>
      </w:pPr>
      <w:r>
        <w:rPr>
          <w:rFonts w:ascii="宋体" w:hAnsi="宋体" w:cs="宋体"/>
          <w:color w:val="auto"/>
          <w:szCs w:val="21"/>
        </w:rPr>
        <w:t>n）投标人按本招标文件规定认为要提交的资格审查资料和技术标评审所需要资料（格式自定）。</w:t>
      </w:r>
    </w:p>
    <w:p>
      <w:pPr>
        <w:spacing w:line="360" w:lineRule="auto"/>
        <w:ind w:firstLine="426" w:firstLineChars="202"/>
        <w:jc w:val="left"/>
        <w:rPr>
          <w:rFonts w:ascii="宋体" w:hAnsi="宋体" w:cs="宋体"/>
          <w:b/>
          <w:color w:val="auto"/>
          <w:szCs w:val="21"/>
        </w:rPr>
      </w:pPr>
      <w:r>
        <w:rPr>
          <w:rFonts w:hint="eastAsia" w:ascii="宋体" w:hAnsi="宋体" w:cs="宋体"/>
          <w:b/>
          <w:color w:val="auto"/>
          <w:szCs w:val="21"/>
        </w:rPr>
        <w:t>二、经济标书包括：</w:t>
      </w:r>
    </w:p>
    <w:p>
      <w:pPr>
        <w:spacing w:line="360" w:lineRule="auto"/>
        <w:ind w:firstLine="424" w:firstLineChars="202"/>
        <w:jc w:val="left"/>
        <w:rPr>
          <w:rFonts w:ascii="宋体" w:hAnsi="宋体" w:cs="宋体"/>
          <w:color w:val="auto"/>
          <w:szCs w:val="21"/>
        </w:rPr>
      </w:pPr>
      <w:r>
        <w:rPr>
          <w:rFonts w:ascii="宋体" w:hAnsi="宋体" w:cs="宋体"/>
          <w:color w:val="auto"/>
          <w:szCs w:val="21"/>
        </w:rPr>
        <w:t>a)投标函（经济标）；</w:t>
      </w:r>
    </w:p>
    <w:p>
      <w:pPr>
        <w:spacing w:line="360" w:lineRule="auto"/>
        <w:ind w:firstLine="424" w:firstLineChars="202"/>
        <w:jc w:val="left"/>
        <w:rPr>
          <w:rFonts w:ascii="宋体" w:hAnsi="宋体" w:cs="宋体"/>
          <w:color w:val="auto"/>
          <w:szCs w:val="21"/>
        </w:rPr>
      </w:pPr>
      <w:r>
        <w:rPr>
          <w:rFonts w:ascii="宋体" w:hAnsi="宋体" w:cs="宋体"/>
          <w:color w:val="auto"/>
          <w:szCs w:val="21"/>
        </w:rPr>
        <w:t>b)具有标价工程量清单及其附件；</w:t>
      </w:r>
    </w:p>
    <w:p>
      <w:pPr>
        <w:spacing w:line="360" w:lineRule="auto"/>
        <w:ind w:firstLine="424" w:firstLineChars="202"/>
        <w:jc w:val="left"/>
        <w:rPr>
          <w:rFonts w:ascii="宋体" w:hAnsi="宋体" w:cs="宋体"/>
          <w:color w:val="auto"/>
          <w:szCs w:val="21"/>
        </w:rPr>
      </w:pPr>
      <w:r>
        <w:rPr>
          <w:rFonts w:ascii="宋体" w:hAnsi="宋体" w:cs="宋体"/>
          <w:color w:val="auto"/>
          <w:szCs w:val="21"/>
        </w:rPr>
        <w:t>3.1.2投标人必须按照招标文件要求的内容、投标文件格式、工程量清单及其它附件、资料的要求如实填写（表格可以按同样格式扩展、缩小，内容项目不能变化）。</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3.2  </w:t>
      </w:r>
      <w:r>
        <w:rPr>
          <w:rFonts w:hint="eastAsia" w:ascii="宋体" w:hAnsi="宋体" w:cs="宋体"/>
          <w:b/>
          <w:bCs/>
          <w:color w:val="auto"/>
          <w:szCs w:val="21"/>
        </w:rPr>
        <w:t>投标价格</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3.2.1 </w:t>
      </w:r>
      <w:r>
        <w:rPr>
          <w:rFonts w:ascii="宋体" w:hAnsi="宋体" w:cs="宋体"/>
          <w:color w:val="auto"/>
          <w:szCs w:val="21"/>
        </w:rPr>
        <w:tab/>
      </w:r>
      <w:r>
        <w:rPr>
          <w:rFonts w:hint="eastAsia" w:ascii="宋体" w:hAnsi="宋体" w:cs="宋体"/>
          <w:color w:val="auto"/>
          <w:szCs w:val="21"/>
        </w:rPr>
        <w:t>本招标工程范围为本招标文件规定的全部工程，并以投标人提交的工程量清单中的单价和合价为基础。</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3.2.2 </w:t>
      </w:r>
      <w:r>
        <w:rPr>
          <w:rFonts w:ascii="宋体" w:hAnsi="宋体" w:cs="宋体"/>
          <w:color w:val="auto"/>
          <w:szCs w:val="21"/>
        </w:rPr>
        <w:tab/>
      </w:r>
      <w:r>
        <w:rPr>
          <w:rFonts w:hint="eastAsia" w:ascii="宋体" w:hAnsi="宋体" w:cs="宋体"/>
          <w:color w:val="auto"/>
          <w:szCs w:val="21"/>
        </w:rPr>
        <w:t>招标时招标人给定一个参考工程量清单，招标人对工程量清单的正确和准确性不负任何直接或间接的责任，投标人采用综合单价包干。投标人按照给定的工程量清单报价，不得修改工程量。</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3.2.3 </w:t>
      </w:r>
      <w:r>
        <w:rPr>
          <w:rFonts w:ascii="宋体" w:hAnsi="宋体" w:cs="宋体"/>
          <w:color w:val="auto"/>
          <w:szCs w:val="21"/>
        </w:rPr>
        <w:tab/>
      </w:r>
      <w:r>
        <w:rPr>
          <w:rFonts w:hint="eastAsia" w:ascii="宋体" w:hAnsi="宋体" w:cs="宋体"/>
          <w:color w:val="auto"/>
          <w:szCs w:val="21"/>
        </w:rPr>
        <w:t>投标人对项目的各项报价必须以招标文件资料为依据；投标报价必须与投标技术方案相对应。</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3.2.4 </w:t>
      </w:r>
      <w:r>
        <w:rPr>
          <w:rFonts w:ascii="宋体" w:hAnsi="宋体" w:cs="宋体"/>
          <w:color w:val="auto"/>
          <w:szCs w:val="21"/>
        </w:rPr>
        <w:tab/>
      </w:r>
      <w:r>
        <w:rPr>
          <w:rFonts w:hint="eastAsia" w:ascii="宋体" w:hAnsi="宋体" w:cs="宋体"/>
          <w:color w:val="auto"/>
          <w:szCs w:val="21"/>
        </w:rPr>
        <w:t>投标人应填写工程量清单中所述的所有项目的单价和合价。不管工程量是否表明，投标人没有填入单价或合价的项目，招标人将不予支付，并认为此项目费用已包括在工程量清单的其他相关项目中。</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3.2.5 </w:t>
      </w:r>
      <w:r>
        <w:rPr>
          <w:rFonts w:ascii="宋体" w:hAnsi="宋体" w:cs="宋体"/>
          <w:color w:val="auto"/>
          <w:szCs w:val="21"/>
        </w:rPr>
        <w:tab/>
      </w:r>
      <w:r>
        <w:rPr>
          <w:rFonts w:hint="eastAsia" w:ascii="宋体" w:hAnsi="宋体" w:cs="宋体"/>
          <w:color w:val="auto"/>
          <w:szCs w:val="21"/>
        </w:rPr>
        <w:t>投标函（经济标）的报价应与工程量清单中总价一致。不允许总价打折或下浮。</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3.2.6 </w:t>
      </w:r>
      <w:r>
        <w:rPr>
          <w:rFonts w:ascii="宋体" w:hAnsi="宋体" w:cs="宋体"/>
          <w:color w:val="auto"/>
          <w:szCs w:val="21"/>
        </w:rPr>
        <w:tab/>
      </w:r>
      <w:r>
        <w:rPr>
          <w:rFonts w:hint="eastAsia" w:ascii="宋体" w:hAnsi="宋体" w:cs="宋体"/>
          <w:color w:val="auto"/>
          <w:szCs w:val="21"/>
        </w:rPr>
        <w:t>除非在合同条款中另有规定，投标人所报的单价在合同实施期间不作任何调整。</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3.2.7 </w:t>
      </w:r>
      <w:r>
        <w:rPr>
          <w:rFonts w:ascii="宋体" w:hAnsi="宋体" w:cs="宋体"/>
          <w:color w:val="auto"/>
          <w:szCs w:val="21"/>
        </w:rPr>
        <w:tab/>
      </w:r>
      <w:r>
        <w:rPr>
          <w:rFonts w:ascii="宋体" w:hAnsi="宋体" w:cs="宋体"/>
          <w:color w:val="auto"/>
          <w:szCs w:val="21"/>
        </w:rPr>
        <w:t xml:space="preserve"> 投标文件的单价和合价全部用人民币表示。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3.2.8 </w:t>
      </w:r>
      <w:r>
        <w:rPr>
          <w:rFonts w:ascii="宋体" w:hAnsi="宋体" w:cs="宋体"/>
          <w:color w:val="auto"/>
          <w:szCs w:val="21"/>
        </w:rPr>
        <w:tab/>
      </w:r>
      <w:r>
        <w:rPr>
          <w:rFonts w:hint="eastAsia" w:ascii="宋体" w:hAnsi="宋体" w:cs="宋体"/>
          <w:color w:val="auto"/>
          <w:szCs w:val="21"/>
        </w:rPr>
        <w:t>中标价为本招标工程中标价计费范围内各项费用的总和，中标价为合同价。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3.2.9 </w:t>
      </w:r>
      <w:r>
        <w:rPr>
          <w:rFonts w:ascii="宋体" w:hAnsi="宋体" w:cs="宋体"/>
          <w:color w:val="auto"/>
          <w:szCs w:val="21"/>
        </w:rPr>
        <w:tab/>
      </w:r>
      <w:r>
        <w:rPr>
          <w:rFonts w:hint="eastAsia" w:ascii="宋体" w:hAnsi="宋体" w:cs="宋体"/>
          <w:color w:val="auto"/>
          <w:szCs w:val="21"/>
        </w:rPr>
        <w:t>所有的报价内容不允许在技术标的标书中出现，否则将否决其投标。</w:t>
      </w:r>
    </w:p>
    <w:p>
      <w:pPr>
        <w:spacing w:line="360" w:lineRule="auto"/>
        <w:ind w:firstLine="424" w:firstLineChars="202"/>
        <w:jc w:val="left"/>
        <w:rPr>
          <w:rFonts w:ascii="宋体" w:hAnsi="宋体" w:cs="宋体"/>
          <w:color w:val="auto"/>
          <w:szCs w:val="21"/>
        </w:rPr>
      </w:pPr>
      <w:r>
        <w:rPr>
          <w:rFonts w:ascii="宋体" w:hAnsi="宋体" w:cs="宋体"/>
          <w:color w:val="auto"/>
          <w:szCs w:val="21"/>
        </w:rPr>
        <w:t>3.2.10投标单位投标报价高于招标人给定的招标控制价的，一律否决其投标。</w:t>
      </w:r>
    </w:p>
    <w:p>
      <w:pPr>
        <w:spacing w:line="360" w:lineRule="auto"/>
        <w:ind w:firstLine="424" w:firstLineChars="202"/>
        <w:jc w:val="left"/>
        <w:rPr>
          <w:rFonts w:ascii="宋体" w:hAnsi="宋体" w:cs="宋体"/>
          <w:color w:val="auto"/>
          <w:szCs w:val="21"/>
        </w:rPr>
      </w:pPr>
      <w:r>
        <w:rPr>
          <w:rFonts w:ascii="宋体" w:hAnsi="宋体" w:cs="宋体"/>
          <w:color w:val="auto"/>
          <w:szCs w:val="21"/>
        </w:rPr>
        <w:t>3.2.11投标人报价应包含本项目实施应缴纳的一切税费及办理相关证件、手续的一切费用。如果东莞地铁工程能获得政府减免税费的政策，则招标人在计量支付中按照政府规定的税率扣减相应的税费。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3.3  </w:t>
      </w:r>
      <w:r>
        <w:rPr>
          <w:rFonts w:hint="eastAsia" w:ascii="宋体" w:hAnsi="宋体" w:cs="宋体"/>
          <w:color w:val="auto"/>
          <w:szCs w:val="21"/>
        </w:rPr>
        <w:t>投标有效期</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3.3.1 </w:t>
      </w:r>
      <w:r>
        <w:rPr>
          <w:rFonts w:ascii="宋体" w:hAnsi="宋体" w:cs="宋体"/>
          <w:color w:val="auto"/>
          <w:szCs w:val="21"/>
        </w:rPr>
        <w:tab/>
      </w:r>
      <w:r>
        <w:rPr>
          <w:rFonts w:hint="eastAsia" w:ascii="宋体" w:hAnsi="宋体" w:cs="宋体"/>
          <w:color w:val="auto"/>
          <w:szCs w:val="21"/>
        </w:rPr>
        <w:t>投标文件在本须知</w:t>
      </w:r>
      <w:r>
        <w:rPr>
          <w:rFonts w:ascii="宋体" w:hAnsi="宋体" w:cs="宋体"/>
          <w:color w:val="auto"/>
          <w:szCs w:val="21"/>
        </w:rPr>
        <w:t xml:space="preserve"> 5.1款所说的标书递交截止期限起180</w:t>
      </w:r>
      <w:r>
        <w:rPr>
          <w:rFonts w:hint="eastAsia" w:ascii="宋体" w:hAnsi="宋体" w:cs="宋体"/>
          <w:color w:val="auto"/>
          <w:szCs w:val="21"/>
        </w:rPr>
        <w:t>天（前附表第</w:t>
      </w:r>
      <w:r>
        <w:rPr>
          <w:rFonts w:ascii="宋体" w:hAnsi="宋体" w:cs="宋体"/>
          <w:color w:val="auto"/>
          <w:szCs w:val="21"/>
        </w:rPr>
        <w:t>2款所列）的日历日内有效。</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3.3.2 </w:t>
      </w:r>
      <w:r>
        <w:rPr>
          <w:rFonts w:ascii="宋体" w:hAnsi="宋体" w:cs="宋体"/>
          <w:color w:val="auto"/>
          <w:szCs w:val="21"/>
        </w:rPr>
        <w:tab/>
      </w:r>
      <w:r>
        <w:rPr>
          <w:rFonts w:hint="eastAsia" w:ascii="宋体" w:hAnsi="宋体" w:cs="宋体"/>
          <w:color w:val="auto"/>
          <w:szCs w:val="21"/>
        </w:rPr>
        <w:t>在原定投标有效期满之前如果出现特殊情况，招标人可向投标人提出延长有效期的要求。这种要求和答复应以书面函件的形式进行。投标人可以拒绝这种要求，并有权收回其投标保证金。同意延期的投标人，不需要也不允许修改其投标文件，但需要相应地延长投标保证金的有效期，在延长期内，本须知</w:t>
      </w:r>
      <w:r>
        <w:rPr>
          <w:rFonts w:ascii="宋体" w:hAnsi="宋体" w:cs="宋体"/>
          <w:color w:val="auto"/>
          <w:szCs w:val="21"/>
        </w:rPr>
        <w:t xml:space="preserve"> 3.4款关于投标保证金的退还与没收的规定仍然适用。</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3.4  </w:t>
      </w:r>
      <w:r>
        <w:rPr>
          <w:rFonts w:hint="eastAsia" w:ascii="宋体" w:hAnsi="宋体" w:cs="宋体"/>
          <w:b/>
          <w:bCs/>
          <w:color w:val="auto"/>
          <w:szCs w:val="21"/>
        </w:rPr>
        <w:t>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3.4.1 </w:t>
      </w:r>
      <w:r>
        <w:rPr>
          <w:rFonts w:ascii="宋体" w:hAnsi="宋体" w:cs="宋体"/>
          <w:color w:val="auto"/>
          <w:szCs w:val="21"/>
        </w:rPr>
        <w:tab/>
      </w:r>
      <w:r>
        <w:rPr>
          <w:rFonts w:hint="eastAsia" w:ascii="宋体" w:hAnsi="宋体" w:cs="宋体"/>
          <w:color w:val="auto"/>
          <w:szCs w:val="21"/>
        </w:rPr>
        <w:t>投标人应提供一份不少于前附表第</w:t>
      </w:r>
      <w:r>
        <w:rPr>
          <w:rFonts w:ascii="宋体" w:hAnsi="宋体" w:cs="宋体"/>
          <w:color w:val="auto"/>
          <w:szCs w:val="21"/>
        </w:rPr>
        <w:t>3款所述的人民币金额的投标保证金，此保证金是投标文件的一个组成部分，投标保证金收据复印件必须随投标文件一起递交。</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3.4.2 </w:t>
      </w:r>
      <w:r>
        <w:rPr>
          <w:rFonts w:ascii="宋体" w:hAnsi="宋体" w:cs="宋体"/>
          <w:color w:val="auto"/>
          <w:szCs w:val="21"/>
        </w:rPr>
        <w:tab/>
      </w:r>
      <w:r>
        <w:rPr>
          <w:rFonts w:hint="eastAsia" w:ascii="宋体" w:hAnsi="宋体" w:cs="宋体"/>
          <w:color w:val="auto"/>
          <w:szCs w:val="21"/>
        </w:rPr>
        <w:t>所有投标保证金必须由投标单位的银行基本账户转出。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3.4.3 </w:t>
      </w:r>
      <w:r>
        <w:rPr>
          <w:rFonts w:ascii="宋体" w:hAnsi="宋体" w:cs="宋体"/>
          <w:color w:val="auto"/>
          <w:szCs w:val="21"/>
        </w:rPr>
        <w:tab/>
      </w:r>
      <w:r>
        <w:rPr>
          <w:rFonts w:hint="eastAsia" w:ascii="宋体" w:hAnsi="宋体" w:cs="宋体"/>
          <w:b/>
          <w:color w:val="auto"/>
          <w:szCs w:val="21"/>
        </w:rPr>
        <w:t>开标时投标人必须按照要求提供投标保证金证明【指保证金收据复印件必须随投标文件一起递交</w:t>
      </w:r>
      <w:r>
        <w:rPr>
          <w:rFonts w:ascii="宋体" w:hAnsi="宋体" w:cs="宋体"/>
          <w:b/>
          <w:color w:val="auto"/>
          <w:szCs w:val="21"/>
        </w:rPr>
        <w:t>,否则其投标将被拒绝】，投标保证金金额和要求见前附表第3款规定。</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3.4.4 </w:t>
      </w:r>
      <w:r>
        <w:rPr>
          <w:rFonts w:ascii="宋体" w:hAnsi="宋体" w:cs="宋体"/>
          <w:color w:val="auto"/>
          <w:szCs w:val="21"/>
        </w:rPr>
        <w:tab/>
      </w:r>
      <w:r>
        <w:rPr>
          <w:rFonts w:hint="eastAsia" w:ascii="宋体" w:hAnsi="宋体" w:cs="宋体"/>
          <w:color w:val="auto"/>
          <w:szCs w:val="21"/>
        </w:rPr>
        <w:t>东莞市城市轨道交通</w:t>
      </w:r>
      <w:r>
        <w:rPr>
          <w:rFonts w:ascii="宋体" w:hAnsi="宋体" w:cs="宋体"/>
          <w:color w:val="auto"/>
          <w:szCs w:val="21"/>
        </w:rPr>
        <w:t>1号线一期工程【质量专项检测项目】1405标、1406标、1407标共用一份投标保证金。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3.4.5 </w:t>
      </w:r>
      <w:r>
        <w:rPr>
          <w:rFonts w:ascii="宋体" w:hAnsi="宋体" w:cs="宋体"/>
          <w:color w:val="auto"/>
          <w:szCs w:val="21"/>
        </w:rPr>
        <w:tab/>
      </w:r>
      <w:r>
        <w:rPr>
          <w:rFonts w:hint="eastAsia" w:ascii="宋体" w:hAnsi="宋体" w:cs="宋体"/>
          <w:color w:val="auto"/>
          <w:szCs w:val="21"/>
        </w:rPr>
        <w:t>投标人未按要求递交投标保证金的，其投标文件不参与资格审查和评标。</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3.4.6 </w:t>
      </w:r>
      <w:r>
        <w:rPr>
          <w:rFonts w:ascii="宋体" w:hAnsi="宋体" w:cs="宋体"/>
          <w:color w:val="auto"/>
          <w:szCs w:val="21"/>
        </w:rPr>
        <w:tab/>
      </w:r>
      <w:r>
        <w:rPr>
          <w:rFonts w:hint="eastAsia" w:ascii="宋体" w:hAnsi="宋体" w:cs="宋体"/>
          <w:color w:val="auto"/>
          <w:szCs w:val="21"/>
        </w:rPr>
        <w:t>未中标的保证金将尽快退还，最迟应当在书面合同签订后</w:t>
      </w:r>
      <w:r>
        <w:rPr>
          <w:rFonts w:ascii="宋体" w:hAnsi="宋体" w:cs="宋体"/>
          <w:color w:val="auto"/>
          <w:szCs w:val="21"/>
        </w:rPr>
        <w:t>5日内向未中标的投标人退还投标保证金。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3.4.7 </w:t>
      </w:r>
      <w:r>
        <w:rPr>
          <w:rFonts w:ascii="宋体" w:hAnsi="宋体" w:cs="宋体"/>
          <w:color w:val="auto"/>
          <w:szCs w:val="21"/>
        </w:rPr>
        <w:tab/>
      </w:r>
      <w:r>
        <w:rPr>
          <w:rFonts w:hint="eastAsia" w:ascii="宋体" w:hAnsi="宋体" w:cs="宋体"/>
          <w:color w:val="auto"/>
          <w:szCs w:val="21"/>
        </w:rPr>
        <w:t>中标人的投标保证金，在签署合同并按要求提供了履约担保后</w:t>
      </w:r>
      <w:r>
        <w:rPr>
          <w:rFonts w:ascii="宋体" w:hAnsi="宋体" w:cs="宋体"/>
          <w:color w:val="auto"/>
          <w:szCs w:val="21"/>
        </w:rPr>
        <w:t>5日内予以退还投标保证金。</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3.4.8 </w:t>
      </w:r>
      <w:r>
        <w:rPr>
          <w:rFonts w:ascii="宋体" w:hAnsi="宋体" w:cs="宋体"/>
          <w:color w:val="auto"/>
          <w:szCs w:val="21"/>
        </w:rPr>
        <w:tab/>
      </w:r>
      <w:r>
        <w:rPr>
          <w:rFonts w:hint="eastAsia" w:ascii="宋体" w:hAnsi="宋体" w:cs="宋体"/>
          <w:color w:val="auto"/>
          <w:szCs w:val="21"/>
        </w:rPr>
        <w:t>如有下列情况之一的，投标保证金不予退还：</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(a) </w:t>
      </w:r>
      <w:r>
        <w:rPr>
          <w:rFonts w:ascii="宋体" w:hAnsi="宋体" w:cs="宋体"/>
          <w:color w:val="auto"/>
          <w:szCs w:val="21"/>
        </w:rPr>
        <w:tab/>
      </w:r>
      <w:r>
        <w:rPr>
          <w:rFonts w:hint="eastAsia" w:ascii="宋体" w:hAnsi="宋体" w:cs="宋体"/>
          <w:color w:val="auto"/>
          <w:szCs w:val="21"/>
        </w:rPr>
        <w:t>投标人在投标有效期内撤回投标书；</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(b) </w:t>
      </w:r>
      <w:r>
        <w:rPr>
          <w:rFonts w:ascii="宋体" w:hAnsi="宋体" w:cs="宋体"/>
          <w:color w:val="auto"/>
          <w:szCs w:val="21"/>
        </w:rPr>
        <w:tab/>
      </w:r>
      <w:r>
        <w:rPr>
          <w:rFonts w:hint="eastAsia" w:ascii="宋体" w:hAnsi="宋体" w:cs="宋体"/>
          <w:color w:val="auto"/>
          <w:szCs w:val="21"/>
        </w:rPr>
        <w:t>投标人不接受经评标委员会按照评标办法修正后的评标价</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(c) </w:t>
      </w:r>
      <w:r>
        <w:rPr>
          <w:rFonts w:ascii="宋体" w:hAnsi="宋体" w:cs="宋体"/>
          <w:color w:val="auto"/>
          <w:szCs w:val="21"/>
        </w:rPr>
        <w:tab/>
      </w:r>
      <w:r>
        <w:rPr>
          <w:rFonts w:hint="eastAsia" w:ascii="宋体" w:hAnsi="宋体" w:cs="宋体"/>
          <w:color w:val="auto"/>
          <w:szCs w:val="21"/>
        </w:rPr>
        <w:t>中标人未能在规定期限内：</w:t>
      </w:r>
    </w:p>
    <w:p>
      <w:pPr>
        <w:spacing w:line="360" w:lineRule="auto"/>
        <w:ind w:firstLine="1274" w:firstLineChars="607"/>
        <w:jc w:val="left"/>
        <w:rPr>
          <w:rFonts w:ascii="宋体" w:hAnsi="宋体" w:cs="宋体"/>
          <w:color w:val="auto"/>
          <w:szCs w:val="21"/>
        </w:rPr>
      </w:pPr>
      <w:r>
        <w:rPr>
          <w:rFonts w:ascii="宋体" w:hAnsi="宋体" w:cs="宋体"/>
          <w:color w:val="auto"/>
          <w:szCs w:val="21"/>
        </w:rPr>
        <w:t xml:space="preserve">  (C－1) 签署合同协议；</w:t>
      </w:r>
    </w:p>
    <w:p>
      <w:pPr>
        <w:spacing w:line="360" w:lineRule="auto"/>
        <w:ind w:firstLine="1274" w:firstLineChars="607"/>
        <w:jc w:val="left"/>
        <w:rPr>
          <w:rFonts w:ascii="宋体" w:hAnsi="宋体" w:cs="宋体"/>
          <w:color w:val="auto"/>
          <w:szCs w:val="21"/>
        </w:rPr>
      </w:pPr>
      <w:r>
        <w:rPr>
          <w:rFonts w:ascii="宋体" w:hAnsi="宋体" w:cs="宋体"/>
          <w:color w:val="auto"/>
          <w:szCs w:val="21"/>
        </w:rPr>
        <w:t xml:space="preserve">  (C－2) 提供要求的履约担保。</w:t>
      </w:r>
    </w:p>
    <w:p>
      <w:pPr>
        <w:spacing w:line="360" w:lineRule="auto"/>
        <w:ind w:firstLine="210" w:firstLineChars="100"/>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d）经查实投标人投标文件弄虚作假的。</w:t>
      </w:r>
    </w:p>
    <w:p>
      <w:pPr>
        <w:spacing w:line="360" w:lineRule="auto"/>
        <w:ind w:firstLine="210" w:firstLineChars="100"/>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e）投标人中标后未能按照招标文件的要求向广州公共资源交易中心缴纳“交易服务费”；</w:t>
      </w:r>
    </w:p>
    <w:p>
      <w:pPr>
        <w:spacing w:line="360" w:lineRule="auto"/>
        <w:ind w:firstLine="210" w:firstLineChars="100"/>
        <w:jc w:val="left"/>
        <w:rPr>
          <w:rFonts w:ascii="宋体" w:hAnsi="宋体" w:cs="宋体"/>
          <w:color w:val="auto"/>
          <w:szCs w:val="21"/>
        </w:rPr>
      </w:pPr>
      <w:r>
        <w:rPr>
          <w:rFonts w:ascii="宋体" w:hAnsi="宋体" w:cs="宋体"/>
          <w:color w:val="auto"/>
          <w:szCs w:val="21"/>
        </w:rPr>
        <w:t>(f)投标人中标后未能按照招标文件的要求支付“招标代理服务费”（如有）。</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3.5  </w:t>
      </w:r>
      <w:r>
        <w:rPr>
          <w:rFonts w:hint="eastAsia" w:ascii="宋体" w:hAnsi="宋体" w:cs="宋体"/>
          <w:b/>
          <w:bCs/>
          <w:color w:val="auto"/>
          <w:szCs w:val="21"/>
        </w:rPr>
        <w:t>投标文件的份数和签署</w:t>
      </w:r>
    </w:p>
    <w:p>
      <w:pPr>
        <w:spacing w:line="360" w:lineRule="auto"/>
        <w:ind w:firstLine="424" w:firstLineChars="202"/>
        <w:jc w:val="left"/>
        <w:rPr>
          <w:rFonts w:ascii="宋体" w:hAnsi="宋体" w:cs="宋体"/>
          <w:color w:val="auto"/>
          <w:szCs w:val="21"/>
        </w:rPr>
      </w:pPr>
      <w:r>
        <w:rPr>
          <w:rFonts w:ascii="宋体" w:hAnsi="宋体" w:cs="宋体"/>
          <w:color w:val="auto"/>
          <w:szCs w:val="21"/>
        </w:rPr>
        <w:t>3.5.1</w:t>
      </w:r>
      <w:r>
        <w:rPr>
          <w:rFonts w:ascii="宋体" w:hAnsi="宋体" w:cs="宋体"/>
          <w:color w:val="auto"/>
          <w:szCs w:val="21"/>
        </w:rPr>
        <w:tab/>
      </w:r>
      <w:r>
        <w:rPr>
          <w:rFonts w:hint="eastAsia" w:ascii="宋体" w:hAnsi="宋体" w:cs="宋体"/>
          <w:color w:val="auto"/>
          <w:szCs w:val="21"/>
        </w:rPr>
        <w:t>投标人按本须知</w:t>
      </w:r>
      <w:r>
        <w:rPr>
          <w:rFonts w:ascii="宋体" w:hAnsi="宋体" w:cs="宋体"/>
          <w:color w:val="auto"/>
          <w:szCs w:val="21"/>
        </w:rPr>
        <w:t xml:space="preserve"> 3.1款的规定，编制一份投标文件正本和前附表所述份数的副本，并明确标明：“投标文件正本”和“投标文件副本”。正本和副本如有不一致之处，以正本为准。</w:t>
      </w:r>
    </w:p>
    <w:p>
      <w:pPr>
        <w:spacing w:line="360" w:lineRule="auto"/>
        <w:ind w:firstLine="424" w:firstLineChars="202"/>
        <w:jc w:val="left"/>
        <w:rPr>
          <w:rFonts w:ascii="宋体" w:hAnsi="宋体" w:cs="宋体"/>
          <w:color w:val="auto"/>
          <w:szCs w:val="21"/>
        </w:rPr>
      </w:pPr>
      <w:r>
        <w:rPr>
          <w:rFonts w:ascii="宋体" w:hAnsi="宋体" w:cs="宋体"/>
          <w:color w:val="auto"/>
          <w:szCs w:val="21"/>
        </w:rPr>
        <w:t>3.5.2</w:t>
      </w:r>
      <w:r>
        <w:rPr>
          <w:rFonts w:ascii="宋体" w:hAnsi="宋体" w:cs="宋体"/>
          <w:color w:val="auto"/>
          <w:szCs w:val="21"/>
        </w:rPr>
        <w:tab/>
      </w:r>
      <w:r>
        <w:rPr>
          <w:rFonts w:hint="eastAsia" w:ascii="宋体" w:hAnsi="宋体" w:cs="宋体"/>
          <w:color w:val="auto"/>
          <w:szCs w:val="21"/>
        </w:rPr>
        <w:t>投标文件的正本与副本均应使用不能擦去的墨水打印或书写，并由投标人正式授权的一个或几个人签署，授权书应以书面委托的方式出具，并附在投标文件中。有增加或修正的各项，都应由投标文件签字人签字证明。</w:t>
      </w:r>
    </w:p>
    <w:p>
      <w:pPr>
        <w:spacing w:line="360" w:lineRule="auto"/>
        <w:ind w:firstLine="424" w:firstLineChars="202"/>
        <w:jc w:val="left"/>
        <w:rPr>
          <w:rFonts w:ascii="宋体" w:hAnsi="宋体" w:cs="宋体"/>
          <w:color w:val="auto"/>
          <w:szCs w:val="21"/>
        </w:rPr>
      </w:pPr>
      <w:r>
        <w:rPr>
          <w:rFonts w:ascii="宋体" w:hAnsi="宋体" w:cs="宋体"/>
          <w:color w:val="auto"/>
          <w:szCs w:val="21"/>
        </w:rPr>
        <w:t>3.5.3</w:t>
      </w:r>
      <w:r>
        <w:rPr>
          <w:rFonts w:ascii="宋体" w:hAnsi="宋体" w:cs="宋体"/>
          <w:color w:val="auto"/>
          <w:szCs w:val="21"/>
        </w:rPr>
        <w:tab/>
      </w:r>
      <w:r>
        <w:rPr>
          <w:rFonts w:hint="eastAsia" w:ascii="宋体" w:hAnsi="宋体" w:cs="宋体"/>
          <w:color w:val="auto"/>
          <w:szCs w:val="21"/>
        </w:rPr>
        <w:t>全套投标文件应无涂改和行间插字，除非这些删改是根据招标人指示进行的，或者是投标人造成的必须修改的错误。在后一种情况下，修改处应由投标文件签字人签字证明。</w:t>
      </w:r>
    </w:p>
    <w:p>
      <w:pPr>
        <w:spacing w:line="360" w:lineRule="auto"/>
        <w:ind w:firstLine="424" w:firstLineChars="202"/>
        <w:jc w:val="left"/>
        <w:rPr>
          <w:rFonts w:ascii="宋体" w:hAnsi="宋体" w:cs="宋体"/>
          <w:color w:val="auto"/>
          <w:szCs w:val="21"/>
        </w:rPr>
      </w:pPr>
      <w:r>
        <w:rPr>
          <w:rFonts w:ascii="宋体" w:hAnsi="宋体" w:cs="宋体"/>
          <w:color w:val="auto"/>
          <w:szCs w:val="21"/>
        </w:rPr>
        <w:t>3.5.4</w:t>
      </w:r>
      <w:r>
        <w:rPr>
          <w:rFonts w:ascii="宋体" w:hAnsi="宋体" w:cs="宋体"/>
          <w:color w:val="auto"/>
          <w:szCs w:val="21"/>
        </w:rPr>
        <w:tab/>
      </w:r>
      <w:r>
        <w:rPr>
          <w:rFonts w:hint="eastAsia" w:ascii="宋体" w:hAnsi="宋体" w:cs="宋体"/>
          <w:color w:val="auto"/>
          <w:szCs w:val="21"/>
        </w:rPr>
        <w:t>每位投标人对每个标段只能提交一份投标文件。任何投标人都不允许以任何方式参与同一标段的其他投标人的投标，否则将否决其投标。</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3.6 </w:t>
      </w:r>
      <w:r>
        <w:rPr>
          <w:rFonts w:hint="eastAsia" w:ascii="宋体" w:hAnsi="宋体" w:cs="宋体"/>
          <w:b/>
          <w:bCs/>
          <w:color w:val="auto"/>
          <w:szCs w:val="21"/>
        </w:rPr>
        <w:t>投标文件装订要求</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3.6.1 </w:t>
      </w:r>
      <w:r>
        <w:rPr>
          <w:rFonts w:hint="eastAsia" w:ascii="宋体" w:hAnsi="宋体" w:cs="宋体"/>
          <w:color w:val="auto"/>
          <w:szCs w:val="21"/>
        </w:rPr>
        <w:t>投标文件应按经济、技术分开装订成册。</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3.6.2 </w:t>
      </w:r>
      <w:r>
        <w:rPr>
          <w:rFonts w:hint="eastAsia" w:ascii="宋体" w:hAnsi="宋体" w:cs="宋体"/>
          <w:color w:val="auto"/>
          <w:szCs w:val="21"/>
        </w:rPr>
        <w:t>技术标书、图纸、文字说明中均不应出现任何有关报价的内容，如出现则否决其投标（未实质性响应招标文件）。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3.6.3 </w:t>
      </w:r>
      <w:r>
        <w:rPr>
          <w:rFonts w:hint="eastAsia" w:ascii="宋体" w:hAnsi="宋体" w:cs="宋体"/>
          <w:color w:val="auto"/>
          <w:szCs w:val="21"/>
        </w:rPr>
        <w:t>投标文件的规格：统一为</w:t>
      </w:r>
      <w:r>
        <w:rPr>
          <w:rFonts w:ascii="宋体" w:hAnsi="宋体" w:cs="宋体"/>
          <w:color w:val="auto"/>
          <w:szCs w:val="21"/>
        </w:rPr>
        <w:t>A4印刷本，纸质封面，印刷本厚度应控制在7cm以内，超过厚度则分册装订。封面标明文件题名、编号、投标单位、投标时间，右上角打印上正本（或副本）。使用不锈钢书订或胶装，装订时书订不外露；不能使用塑料面或塑料胶条装订。</w:t>
      </w:r>
    </w:p>
    <w:p>
      <w:pPr>
        <w:spacing w:line="360" w:lineRule="auto"/>
        <w:ind w:firstLine="424" w:firstLineChars="202"/>
        <w:jc w:val="left"/>
        <w:rPr>
          <w:rFonts w:ascii="宋体" w:hAnsi="宋体" w:cs="宋体"/>
          <w:color w:val="auto"/>
          <w:szCs w:val="21"/>
        </w:rPr>
      </w:pPr>
      <w:r>
        <w:rPr>
          <w:rFonts w:ascii="宋体" w:hAnsi="宋体" w:cs="宋体"/>
          <w:color w:val="auto"/>
          <w:szCs w:val="21"/>
        </w:rPr>
        <w:t>3.6.4投标书页码必须按每本逐页从1开始，按流水号编号（包括附图、证件、图片），页码正面在右下角，反面在左下角（空白页面不编号）。</w:t>
      </w:r>
    </w:p>
    <w:p>
      <w:pPr>
        <w:spacing w:line="360" w:lineRule="auto"/>
        <w:jc w:val="left"/>
        <w:rPr>
          <w:rFonts w:ascii="宋体" w:hAnsi="宋体" w:cs="宋体"/>
          <w:color w:val="auto"/>
          <w:szCs w:val="21"/>
        </w:rPr>
      </w:pPr>
    </w:p>
    <w:p>
      <w:pPr>
        <w:keepNext/>
        <w:keepLines/>
        <w:spacing w:line="360" w:lineRule="auto"/>
        <w:outlineLvl w:val="1"/>
        <w:rPr>
          <w:rFonts w:ascii="宋体" w:hAnsi="宋体" w:cs="宋体"/>
          <w:b/>
          <w:bCs/>
          <w:color w:val="auto"/>
          <w:szCs w:val="21"/>
        </w:rPr>
      </w:pPr>
      <w:bookmarkStart w:id="12" w:name="_Toc377719903"/>
      <w:bookmarkStart w:id="13" w:name="_Toc25727"/>
      <w:r>
        <w:rPr>
          <w:rFonts w:ascii="宋体" w:hAnsi="宋体" w:cs="宋体"/>
          <w:b/>
          <w:bCs/>
          <w:color w:val="auto"/>
          <w:szCs w:val="21"/>
        </w:rPr>
        <w:t xml:space="preserve">4. </w:t>
      </w:r>
      <w:r>
        <w:rPr>
          <w:rFonts w:hint="eastAsia" w:ascii="宋体" w:hAnsi="宋体" w:cs="宋体"/>
          <w:b/>
          <w:bCs/>
          <w:color w:val="auto"/>
          <w:szCs w:val="21"/>
        </w:rPr>
        <w:t>投标书的递交</w:t>
      </w:r>
      <w:bookmarkEnd w:id="12"/>
      <w:bookmarkEnd w:id="13"/>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4.1  </w:t>
      </w:r>
      <w:r>
        <w:rPr>
          <w:rFonts w:hint="eastAsia" w:ascii="宋体" w:hAnsi="宋体" w:cs="宋体"/>
          <w:b/>
          <w:bCs/>
          <w:color w:val="auto"/>
          <w:szCs w:val="21"/>
        </w:rPr>
        <w:t>投标文件的密封与标志</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4.1.1 </w:t>
      </w:r>
      <w:r>
        <w:rPr>
          <w:rFonts w:ascii="宋体" w:hAnsi="宋体" w:cs="宋体"/>
          <w:color w:val="auto"/>
          <w:szCs w:val="21"/>
        </w:rPr>
        <w:tab/>
      </w:r>
      <w:r>
        <w:rPr>
          <w:rFonts w:hint="eastAsia" w:ascii="宋体" w:hAnsi="宋体" w:cs="宋体"/>
          <w:color w:val="auto"/>
          <w:szCs w:val="21"/>
        </w:rPr>
        <w:t>包封</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投标人应分标段按以下规定包封投标文件（共</w:t>
      </w:r>
      <w:r>
        <w:rPr>
          <w:rFonts w:ascii="宋体" w:hAnsi="宋体" w:cs="宋体"/>
          <w:color w:val="auto"/>
          <w:szCs w:val="21"/>
        </w:rPr>
        <w:t>4包、独自分开）：</w:t>
      </w:r>
    </w:p>
    <w:p>
      <w:pPr>
        <w:spacing w:line="360" w:lineRule="auto"/>
        <w:ind w:firstLine="424" w:firstLineChars="202"/>
        <w:jc w:val="left"/>
        <w:rPr>
          <w:rFonts w:ascii="宋体" w:hAnsi="宋体" w:cs="宋体"/>
          <w:color w:val="auto"/>
          <w:szCs w:val="21"/>
        </w:rPr>
      </w:pPr>
      <w:r>
        <w:rPr>
          <w:rFonts w:ascii="宋体" w:hAnsi="宋体" w:cs="宋体"/>
          <w:color w:val="auto"/>
          <w:szCs w:val="21"/>
        </w:rPr>
        <w:t>(1)经济标书正本（1本）、投标书（写明报价）和2套CD-R电子光盘（内有投标文件资料）一起包封；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(2)经济标书副本（5本）一起包封；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(3)技术标书正本（1本）和授权书、投标书（不写报价）、2套CD-R电子光盘、投标保证金（保证金凭证复印件独自包封）一起包封；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(4)技术标书副本（5本）一起包封；</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4.1.2 </w:t>
      </w:r>
      <w:r>
        <w:rPr>
          <w:rFonts w:ascii="宋体" w:hAnsi="宋体" w:cs="宋体"/>
          <w:color w:val="auto"/>
          <w:szCs w:val="21"/>
        </w:rPr>
        <w:tab/>
      </w:r>
      <w:r>
        <w:rPr>
          <w:rFonts w:hint="eastAsia" w:ascii="宋体" w:hAnsi="宋体" w:cs="宋体"/>
          <w:color w:val="auto"/>
          <w:szCs w:val="21"/>
        </w:rPr>
        <w:t>包封上应标明（经济标、技术标）：</w:t>
      </w:r>
    </w:p>
    <w:p>
      <w:pPr>
        <w:spacing w:line="360" w:lineRule="auto"/>
        <w:ind w:firstLine="424" w:firstLineChars="202"/>
        <w:jc w:val="left"/>
        <w:rPr>
          <w:rFonts w:ascii="宋体" w:hAnsi="宋体" w:cs="宋体"/>
          <w:color w:val="auto"/>
          <w:szCs w:val="21"/>
        </w:rPr>
      </w:pPr>
      <w:r>
        <w:rPr>
          <w:rFonts w:ascii="宋体" w:hAnsi="宋体" w:cs="宋体"/>
          <w:color w:val="auto"/>
          <w:szCs w:val="21"/>
        </w:rPr>
        <w:t>(a)</w:t>
      </w:r>
      <w:r>
        <w:rPr>
          <w:rFonts w:ascii="宋体" w:hAnsi="宋体" w:cs="宋体"/>
          <w:color w:val="auto"/>
          <w:szCs w:val="21"/>
        </w:rPr>
        <w:tab/>
      </w:r>
      <w:r>
        <w:rPr>
          <w:rFonts w:hint="eastAsia" w:ascii="宋体" w:hAnsi="宋体" w:cs="宋体"/>
          <w:color w:val="auto"/>
          <w:szCs w:val="21"/>
        </w:rPr>
        <w:t>写明前述的招标人的名称和招标人地址；</w:t>
      </w:r>
    </w:p>
    <w:p>
      <w:pPr>
        <w:spacing w:line="360" w:lineRule="auto"/>
        <w:ind w:firstLine="424" w:firstLineChars="202"/>
        <w:jc w:val="left"/>
        <w:rPr>
          <w:rFonts w:ascii="宋体" w:hAnsi="宋体" w:cs="宋体"/>
          <w:color w:val="auto"/>
          <w:szCs w:val="21"/>
        </w:rPr>
      </w:pPr>
      <w:r>
        <w:rPr>
          <w:rFonts w:ascii="宋体" w:hAnsi="宋体" w:cs="宋体"/>
          <w:color w:val="auto"/>
          <w:szCs w:val="21"/>
        </w:rPr>
        <w:t>(b)</w:t>
      </w:r>
      <w:r>
        <w:rPr>
          <w:rFonts w:ascii="宋体" w:hAnsi="宋体" w:cs="宋体"/>
          <w:color w:val="auto"/>
          <w:szCs w:val="21"/>
        </w:rPr>
        <w:tab/>
      </w:r>
      <w:r>
        <w:rPr>
          <w:rFonts w:hint="eastAsia" w:ascii="宋体" w:hAnsi="宋体" w:cs="宋体"/>
          <w:color w:val="auto"/>
          <w:szCs w:val="21"/>
        </w:rPr>
        <w:t>具有下列识别标志：</w:t>
      </w:r>
    </w:p>
    <w:p>
      <w:pPr>
        <w:spacing w:line="360" w:lineRule="auto"/>
        <w:ind w:firstLine="424" w:firstLineChars="202"/>
        <w:jc w:val="left"/>
        <w:rPr>
          <w:rFonts w:ascii="宋体" w:hAnsi="宋体" w:cs="宋体"/>
          <w:color w:val="auto"/>
          <w:szCs w:val="21"/>
        </w:rPr>
      </w:pPr>
      <w:r>
        <w:rPr>
          <w:rFonts w:ascii="宋体" w:hAnsi="宋体" w:cs="宋体"/>
          <w:color w:val="auto"/>
          <w:szCs w:val="21"/>
        </w:rPr>
        <w:t>(i)</w:t>
      </w:r>
      <w:r>
        <w:rPr>
          <w:rFonts w:hint="eastAsia" w:ascii="宋体" w:hAnsi="宋体" w:cs="宋体"/>
          <w:color w:val="auto"/>
          <w:szCs w:val="21"/>
          <w:u w:val="single"/>
        </w:rPr>
        <w:t>东莞市城市轨道交通</w:t>
      </w:r>
      <w:r>
        <w:rPr>
          <w:rFonts w:ascii="宋体" w:hAnsi="宋体" w:cs="宋体"/>
          <w:color w:val="auto"/>
          <w:szCs w:val="21"/>
          <w:u w:val="single"/>
        </w:rPr>
        <w:t>1号线一期工程【质量专项检测项目】1405标</w:t>
      </w:r>
    </w:p>
    <w:p>
      <w:pPr>
        <w:spacing w:line="360" w:lineRule="auto"/>
        <w:ind w:firstLine="424" w:firstLineChars="202"/>
        <w:jc w:val="left"/>
        <w:rPr>
          <w:rFonts w:ascii="宋体" w:hAnsi="宋体" w:cs="宋体"/>
          <w:color w:val="auto"/>
          <w:szCs w:val="21"/>
        </w:rPr>
      </w:pPr>
      <w:r>
        <w:rPr>
          <w:rFonts w:ascii="宋体" w:hAnsi="宋体" w:cs="宋体"/>
          <w:color w:val="auto"/>
          <w:szCs w:val="21"/>
        </w:rPr>
        <w:t>(ii)</w:t>
      </w:r>
      <w:r>
        <w:rPr>
          <w:rFonts w:ascii="宋体" w:hAnsi="宋体" w:cs="宋体"/>
          <w:color w:val="auto"/>
          <w:szCs w:val="21"/>
          <w:u w:val="single"/>
        </w:rPr>
        <w:t xml:space="preserve"> </w:t>
      </w:r>
      <w:r>
        <w:rPr>
          <w:rFonts w:ascii="宋体" w:hAnsi="宋体" w:cs="宋体"/>
          <w:color w:val="auto"/>
          <w:szCs w:val="21"/>
          <w:u w:val="single"/>
        </w:rPr>
        <w:tab/>
      </w:r>
      <w:r>
        <w:rPr>
          <w:rFonts w:ascii="宋体" w:hAnsi="宋体" w:cs="宋体"/>
          <w:color w:val="auto"/>
          <w:szCs w:val="21"/>
          <w:u w:val="single"/>
        </w:rPr>
        <w:t xml:space="preserve">                    </w:t>
      </w:r>
      <w:r>
        <w:rPr>
          <w:rFonts w:hint="eastAsia" w:ascii="宋体" w:hAnsi="宋体" w:cs="宋体"/>
          <w:color w:val="auto"/>
          <w:szCs w:val="21"/>
        </w:rPr>
        <w:t>前不得开封（填入前附表第</w:t>
      </w:r>
      <w:r>
        <w:rPr>
          <w:rFonts w:ascii="宋体" w:hAnsi="宋体" w:cs="宋体"/>
          <w:color w:val="auto"/>
          <w:szCs w:val="21"/>
        </w:rPr>
        <w:t>9项所述日期及时间）</w:t>
      </w:r>
    </w:p>
    <w:p>
      <w:pPr>
        <w:spacing w:line="360" w:lineRule="auto"/>
        <w:ind w:firstLine="424" w:firstLineChars="202"/>
        <w:jc w:val="left"/>
        <w:rPr>
          <w:rFonts w:ascii="宋体" w:hAnsi="宋体" w:cs="宋体"/>
          <w:color w:val="auto"/>
          <w:szCs w:val="21"/>
        </w:rPr>
      </w:pPr>
      <w:r>
        <w:rPr>
          <w:rFonts w:ascii="宋体" w:hAnsi="宋体" w:cs="宋体"/>
          <w:color w:val="auto"/>
          <w:szCs w:val="21"/>
        </w:rPr>
        <w:t>(c)在外层包封上应写明投标人的名称与地址，以便投标被宣布迟到时，能原封退回。</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4.1.3 </w:t>
      </w:r>
      <w:r>
        <w:rPr>
          <w:rFonts w:ascii="宋体" w:hAnsi="宋体" w:cs="宋体"/>
          <w:color w:val="auto"/>
          <w:szCs w:val="21"/>
        </w:rPr>
        <w:tab/>
      </w:r>
      <w:r>
        <w:rPr>
          <w:rFonts w:hint="eastAsia" w:ascii="宋体" w:hAnsi="宋体" w:cs="宋体"/>
          <w:color w:val="auto"/>
          <w:szCs w:val="21"/>
        </w:rPr>
        <w:t>如果包封没有按上述规定密封并加写标志，招标人将不承担投标文件错放或提前开封的责任，由此造成的提前开封的投标文件，招标人予以拒绝，并退还给投标人。</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4.2  </w:t>
      </w:r>
      <w:r>
        <w:rPr>
          <w:rFonts w:hint="eastAsia" w:ascii="宋体" w:hAnsi="宋体" w:cs="宋体"/>
          <w:b/>
          <w:bCs/>
          <w:color w:val="auto"/>
          <w:szCs w:val="21"/>
        </w:rPr>
        <w:t>投标截止期</w:t>
      </w:r>
    </w:p>
    <w:p>
      <w:pPr>
        <w:spacing w:line="360" w:lineRule="auto"/>
        <w:ind w:firstLine="424" w:firstLineChars="202"/>
        <w:jc w:val="left"/>
        <w:rPr>
          <w:rFonts w:ascii="宋体" w:hAnsi="宋体" w:cs="宋体"/>
          <w:color w:val="auto"/>
          <w:szCs w:val="21"/>
        </w:rPr>
      </w:pPr>
      <w:r>
        <w:rPr>
          <w:rFonts w:ascii="宋体" w:hAnsi="宋体" w:cs="宋体"/>
          <w:color w:val="auto"/>
          <w:szCs w:val="21"/>
        </w:rPr>
        <w:t>4.2.1投标人应按投标须知前附表第6款和第7款所述的地点、日期和时间将投标书交给招标人。</w:t>
      </w:r>
    </w:p>
    <w:p>
      <w:pPr>
        <w:spacing w:line="360" w:lineRule="auto"/>
        <w:ind w:firstLine="424" w:firstLineChars="202"/>
        <w:jc w:val="left"/>
        <w:rPr>
          <w:rFonts w:ascii="宋体" w:hAnsi="宋体" w:cs="宋体"/>
          <w:color w:val="auto"/>
          <w:szCs w:val="21"/>
        </w:rPr>
      </w:pPr>
      <w:r>
        <w:rPr>
          <w:rFonts w:ascii="宋体" w:hAnsi="宋体" w:cs="宋体"/>
          <w:color w:val="auto"/>
          <w:szCs w:val="21"/>
        </w:rPr>
        <w:t>4.2.2招标人可以通过发放本须知 2.2款规定的招标文件的澄清或修改书面文件的方式，酌情延长递交投标文件的截止日期。在上述情况下，招标人与投标人以前在投标截止期方面的全部权力和义务，将适用于延长后新的投标截止期。</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4.3  </w:t>
      </w:r>
      <w:r>
        <w:rPr>
          <w:rFonts w:hint="eastAsia" w:ascii="宋体" w:hAnsi="宋体" w:cs="宋体"/>
          <w:b/>
          <w:bCs/>
          <w:color w:val="auto"/>
          <w:szCs w:val="21"/>
        </w:rPr>
        <w:t>迟到的投标文件</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投标人在</w:t>
      </w:r>
      <w:r>
        <w:rPr>
          <w:rFonts w:ascii="宋体" w:hAnsi="宋体" w:cs="宋体"/>
          <w:color w:val="auto"/>
          <w:szCs w:val="21"/>
        </w:rPr>
        <w:t xml:space="preserve"> 4.2款规定的投标截止期以后递交的投标文件，招标人将予以拒绝。</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4.4  </w:t>
      </w:r>
      <w:r>
        <w:rPr>
          <w:rFonts w:hint="eastAsia" w:ascii="宋体" w:hAnsi="宋体" w:cs="宋体"/>
          <w:b/>
          <w:bCs/>
          <w:color w:val="auto"/>
          <w:szCs w:val="21"/>
        </w:rPr>
        <w:t>投标文件的修改与撤回</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4.4.1 </w:t>
      </w:r>
      <w:r>
        <w:rPr>
          <w:rFonts w:ascii="宋体" w:hAnsi="宋体" w:cs="宋体"/>
          <w:color w:val="auto"/>
          <w:szCs w:val="21"/>
        </w:rPr>
        <w:tab/>
      </w:r>
      <w:r>
        <w:rPr>
          <w:rFonts w:hint="eastAsia" w:ascii="宋体" w:hAnsi="宋体" w:cs="宋体"/>
          <w:color w:val="auto"/>
          <w:szCs w:val="21"/>
        </w:rPr>
        <w:t>投标人可以在递交投标文件以后，修改或撤回其投标文件，但这种修改与撤回的通知，须在规定的投标截止期前，以书面形式交给招标人。</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4.4.2 </w:t>
      </w:r>
      <w:r>
        <w:rPr>
          <w:rFonts w:ascii="宋体" w:hAnsi="宋体" w:cs="宋体"/>
          <w:color w:val="auto"/>
          <w:szCs w:val="21"/>
        </w:rPr>
        <w:tab/>
      </w:r>
      <w:r>
        <w:rPr>
          <w:rFonts w:hint="eastAsia" w:ascii="宋体" w:hAnsi="宋体" w:cs="宋体"/>
          <w:color w:val="auto"/>
          <w:szCs w:val="21"/>
        </w:rPr>
        <w:t>投标人的修改书或撤回通知书，应按本须知</w:t>
      </w:r>
      <w:r>
        <w:rPr>
          <w:rFonts w:ascii="宋体" w:hAnsi="宋体" w:cs="宋体"/>
          <w:color w:val="auto"/>
          <w:szCs w:val="21"/>
        </w:rPr>
        <w:t xml:space="preserve"> 4.1款投标文件递交规定的要求编制、密封、标志（在内层包封标明“修改”或“撤回”字样）和发送。</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4.4.3 </w:t>
      </w:r>
      <w:r>
        <w:rPr>
          <w:rFonts w:ascii="宋体" w:hAnsi="宋体" w:cs="宋体"/>
          <w:color w:val="auto"/>
          <w:szCs w:val="21"/>
        </w:rPr>
        <w:tab/>
      </w:r>
      <w:r>
        <w:rPr>
          <w:rFonts w:hint="eastAsia" w:ascii="宋体" w:hAnsi="宋体" w:cs="宋体"/>
          <w:color w:val="auto"/>
          <w:szCs w:val="21"/>
        </w:rPr>
        <w:t>按照本须知</w:t>
      </w:r>
      <w:r>
        <w:rPr>
          <w:rFonts w:ascii="宋体" w:hAnsi="宋体" w:cs="宋体"/>
          <w:color w:val="auto"/>
          <w:szCs w:val="21"/>
        </w:rPr>
        <w:t xml:space="preserve"> 5.3款的规定，在投标截止期后，不能更改投标文件。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4.4.4 </w:t>
      </w:r>
      <w:r>
        <w:rPr>
          <w:rFonts w:ascii="宋体" w:hAnsi="宋体" w:cs="宋体"/>
          <w:color w:val="auto"/>
          <w:szCs w:val="21"/>
        </w:rPr>
        <w:tab/>
      </w:r>
      <w:r>
        <w:rPr>
          <w:rFonts w:hint="eastAsia" w:ascii="宋体" w:hAnsi="宋体" w:cs="宋体"/>
          <w:color w:val="auto"/>
          <w:szCs w:val="21"/>
        </w:rPr>
        <w:t>根据本须知</w:t>
      </w:r>
      <w:r>
        <w:rPr>
          <w:rFonts w:ascii="宋体" w:hAnsi="宋体" w:cs="宋体"/>
          <w:color w:val="auto"/>
          <w:szCs w:val="21"/>
        </w:rPr>
        <w:t xml:space="preserve"> 3.4款规定，在投标截止期与投标人在投标文件格式中规定的有效期终止日之间的这段时期内，投标人不能撤回投标文件，否则招标人可以不退还其投标保证金。</w:t>
      </w:r>
    </w:p>
    <w:p>
      <w:pPr>
        <w:keepNext/>
        <w:keepLines/>
        <w:spacing w:line="360" w:lineRule="auto"/>
        <w:outlineLvl w:val="1"/>
        <w:rPr>
          <w:rFonts w:ascii="宋体" w:hAnsi="宋体" w:cs="宋体"/>
          <w:b/>
          <w:bCs/>
          <w:color w:val="auto"/>
          <w:szCs w:val="21"/>
        </w:rPr>
      </w:pPr>
      <w:bookmarkStart w:id="14" w:name="_Toc377719904"/>
      <w:bookmarkStart w:id="15" w:name="_Toc32689"/>
      <w:r>
        <w:rPr>
          <w:rFonts w:ascii="宋体" w:hAnsi="宋体" w:cs="宋体"/>
          <w:b/>
          <w:bCs/>
          <w:color w:val="auto"/>
          <w:szCs w:val="21"/>
        </w:rPr>
        <w:t xml:space="preserve">5. </w:t>
      </w:r>
      <w:r>
        <w:rPr>
          <w:rFonts w:hint="eastAsia" w:ascii="宋体" w:hAnsi="宋体" w:cs="宋体"/>
          <w:b/>
          <w:bCs/>
          <w:color w:val="auto"/>
          <w:szCs w:val="21"/>
        </w:rPr>
        <w:t>开标与评标</w:t>
      </w:r>
      <w:bookmarkEnd w:id="14"/>
      <w:bookmarkEnd w:id="15"/>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5.1  </w:t>
      </w:r>
      <w:r>
        <w:rPr>
          <w:rFonts w:hint="eastAsia" w:ascii="宋体" w:hAnsi="宋体" w:cs="宋体"/>
          <w:b/>
          <w:bCs/>
          <w:color w:val="auto"/>
          <w:szCs w:val="21"/>
        </w:rPr>
        <w:t>开标</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5.1.1 </w:t>
      </w:r>
      <w:r>
        <w:rPr>
          <w:rFonts w:ascii="宋体" w:hAnsi="宋体" w:cs="宋体"/>
          <w:color w:val="auto"/>
          <w:szCs w:val="21"/>
        </w:rPr>
        <w:tab/>
      </w:r>
      <w:r>
        <w:rPr>
          <w:rFonts w:hint="eastAsia" w:ascii="宋体" w:hAnsi="宋体" w:cs="宋体"/>
          <w:color w:val="auto"/>
          <w:szCs w:val="21"/>
        </w:rPr>
        <w:t>投标截止期前，各投标人递交投标文件（包括技术标投标文件、经济标投标文件）至招标文件规定的广州公共资源交易中心投标地点；投标人授权代表凭法定代表人证明书原件、法定代表人授权委托证明书原件（仅限于法定代表人不递交而委托授权代表递交投标文件的）、本人身份证原件递交投标文件，招标人检验确认有效后，才接收其投标文件。</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投标人可以自行决定是否参加开标会。如投标人参加开标会，应委派其递交投标文件的投标人授权代表（若非递交投标文件的授权代表，须另出具法定代表人授权书），该投标人代表应签名报到，以证明其出席。投标人不参加开标会的，视同同意整个开标过程和开标结果。如投标人对开标过程或开标结果有异议的，须由该投标人委派参加开标会的投标代表当场提出，该代表须出示身份证原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5.1.2 </w:t>
      </w:r>
      <w:r>
        <w:rPr>
          <w:rFonts w:ascii="宋体" w:hAnsi="宋体" w:cs="宋体"/>
          <w:color w:val="auto"/>
          <w:szCs w:val="21"/>
        </w:rPr>
        <w:tab/>
      </w:r>
      <w:r>
        <w:rPr>
          <w:rFonts w:hint="eastAsia" w:ascii="宋体" w:hAnsi="宋体" w:cs="宋体"/>
          <w:color w:val="auto"/>
          <w:szCs w:val="21"/>
        </w:rPr>
        <w:t>除了对按照本须知</w:t>
      </w:r>
      <w:r>
        <w:rPr>
          <w:rFonts w:ascii="宋体" w:hAnsi="宋体" w:cs="宋体"/>
          <w:color w:val="auto"/>
          <w:szCs w:val="21"/>
        </w:rPr>
        <w:t>4.4款的规定提交了合格的撤回通知书的投标书不予开封之外，招标人将检查、启封投标文件，以便确定它们是否完整，是否按要求提供了投标保函，是否正确地签署了文件，以及是否按顺序编制。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5.1.3 </w:t>
      </w:r>
      <w:r>
        <w:rPr>
          <w:rFonts w:ascii="宋体" w:hAnsi="宋体" w:cs="宋体"/>
          <w:color w:val="auto"/>
          <w:szCs w:val="21"/>
        </w:rPr>
        <w:tab/>
      </w:r>
      <w:r>
        <w:rPr>
          <w:rFonts w:hint="eastAsia" w:ascii="宋体" w:hAnsi="宋体" w:cs="宋体"/>
          <w:color w:val="auto"/>
          <w:szCs w:val="21"/>
        </w:rPr>
        <w:t>投标人的名称、检测服务期限和投标撤回书以及要求的投标保证金的提供和招标人认为适当的其他细节将在第一次开标时宣布；投标总额将在第二次开标公布。</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5.1.4 </w:t>
      </w:r>
      <w:r>
        <w:rPr>
          <w:rFonts w:ascii="宋体" w:hAnsi="宋体" w:cs="宋体"/>
          <w:color w:val="auto"/>
          <w:szCs w:val="21"/>
        </w:rPr>
        <w:tab/>
      </w:r>
      <w:r>
        <w:rPr>
          <w:rFonts w:hint="eastAsia" w:ascii="宋体" w:hAnsi="宋体" w:cs="宋体"/>
          <w:color w:val="auto"/>
          <w:szCs w:val="21"/>
        </w:rPr>
        <w:t>招标人将准备开标记录，包括</w:t>
      </w:r>
      <w:r>
        <w:rPr>
          <w:rFonts w:ascii="宋体" w:hAnsi="宋体" w:cs="宋体"/>
          <w:color w:val="auto"/>
          <w:szCs w:val="21"/>
        </w:rPr>
        <w:t>5.1.3款规定的公开宣布的内容。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5.1.5 </w:t>
      </w:r>
      <w:r>
        <w:rPr>
          <w:rFonts w:ascii="宋体" w:hAnsi="宋体" w:cs="宋体"/>
          <w:color w:val="auto"/>
          <w:szCs w:val="21"/>
        </w:rPr>
        <w:tab/>
      </w:r>
      <w:r>
        <w:rPr>
          <w:rFonts w:hint="eastAsia" w:ascii="宋体" w:hAnsi="宋体" w:cs="宋体"/>
          <w:color w:val="auto"/>
          <w:szCs w:val="21"/>
        </w:rPr>
        <w:t>若出现一下情况之一，招标人将拒绝接收其投标文件：</w:t>
      </w:r>
    </w:p>
    <w:p>
      <w:pPr>
        <w:spacing w:line="360" w:lineRule="auto"/>
        <w:ind w:firstLine="424" w:firstLineChars="202"/>
        <w:jc w:val="left"/>
        <w:rPr>
          <w:rFonts w:ascii="宋体" w:hAnsi="宋体" w:cs="宋体"/>
          <w:color w:val="auto"/>
          <w:szCs w:val="21"/>
        </w:rPr>
      </w:pPr>
      <w:r>
        <w:rPr>
          <w:rFonts w:ascii="宋体" w:hAnsi="宋体" w:cs="宋体"/>
          <w:color w:val="auto"/>
          <w:szCs w:val="21"/>
        </w:rPr>
        <w:t>5.1.5.1在投标截止期后逾期或未在指定地点递交投标文件的；</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5.1.5.2 </w:t>
      </w:r>
      <w:r>
        <w:rPr>
          <w:rFonts w:hint="eastAsia" w:ascii="宋体" w:hAnsi="宋体" w:cs="宋体"/>
          <w:color w:val="auto"/>
          <w:szCs w:val="21"/>
        </w:rPr>
        <w:t>投标文件未按照招标文件要求密封或在密封处盖章的；</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5.1.5.3 </w:t>
      </w:r>
      <w:r>
        <w:rPr>
          <w:rFonts w:hint="eastAsia" w:ascii="宋体" w:hAnsi="宋体" w:cs="宋体"/>
          <w:color w:val="auto"/>
          <w:szCs w:val="21"/>
        </w:rPr>
        <w:t>在投标截止期前，投标人代表未凭法定代表人证明书原件、法定代表人授权委托证明书原件（仅限于法定代表人不递交而委托授权代表递交投标文件的）、本人身份证原件递交投标文件的。</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5.2  </w:t>
      </w:r>
      <w:r>
        <w:rPr>
          <w:rFonts w:hint="eastAsia" w:ascii="宋体" w:hAnsi="宋体" w:cs="宋体"/>
          <w:b/>
          <w:bCs/>
          <w:color w:val="auto"/>
          <w:szCs w:val="21"/>
        </w:rPr>
        <w:t>评标过程保密</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5.2.1 </w:t>
      </w:r>
      <w:r>
        <w:rPr>
          <w:rFonts w:ascii="宋体" w:hAnsi="宋体" w:cs="宋体"/>
          <w:color w:val="auto"/>
          <w:szCs w:val="21"/>
        </w:rPr>
        <w:tab/>
      </w:r>
      <w:r>
        <w:rPr>
          <w:rFonts w:hint="eastAsia" w:ascii="宋体" w:hAnsi="宋体" w:cs="宋体"/>
          <w:color w:val="auto"/>
          <w:szCs w:val="21"/>
        </w:rPr>
        <w:t>开标后，直到宣布授予中标人合同为止，凡与审查、澄清、评价和比较投标的有关资料且与授予合同有关的信息，都不应向投标人或与该过程无关的其它人泄露。</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5.2.2 </w:t>
      </w:r>
      <w:r>
        <w:rPr>
          <w:rFonts w:ascii="宋体" w:hAnsi="宋体" w:cs="宋体"/>
          <w:color w:val="auto"/>
          <w:szCs w:val="21"/>
        </w:rPr>
        <w:tab/>
      </w:r>
      <w:r>
        <w:rPr>
          <w:rFonts w:hint="eastAsia" w:ascii="宋体" w:hAnsi="宋体" w:cs="宋体"/>
          <w:color w:val="auto"/>
          <w:szCs w:val="21"/>
        </w:rPr>
        <w:t>投标人在投标文件的审查、澄清、评价和比较以及授予合同的过程中，对招标人和评标专家施加影响的任何行为，都将导致取消投标资格。</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5.3. </w:t>
      </w:r>
      <w:r>
        <w:rPr>
          <w:rFonts w:hint="eastAsia" w:ascii="宋体" w:hAnsi="宋体" w:cs="宋体"/>
          <w:b/>
          <w:bCs/>
          <w:color w:val="auto"/>
          <w:szCs w:val="21"/>
        </w:rPr>
        <w:t>投标文件的澄清</w:t>
      </w:r>
    </w:p>
    <w:p>
      <w:pPr>
        <w:spacing w:line="360" w:lineRule="auto"/>
        <w:ind w:firstLine="424" w:firstLineChars="202"/>
        <w:jc w:val="left"/>
        <w:rPr>
          <w:rFonts w:ascii="宋体" w:hAnsi="宋体" w:cs="宋体"/>
          <w:color w:val="auto"/>
          <w:szCs w:val="21"/>
        </w:rPr>
      </w:pPr>
      <w:r>
        <w:rPr>
          <w:rFonts w:ascii="宋体" w:hAnsi="宋体" w:cs="宋体"/>
          <w:color w:val="auto"/>
          <w:szCs w:val="21"/>
        </w:rPr>
        <w:t>5.3.1为了有助于投标文件的审查、评价和比较，招标人和评标专家可以个别地要求投标人澄清其投标文件，包括单价分析表等。有关澄清的要求与答复，应以书面函件的形式进行，但不应寻求、提出或允许更改投标价格或投标的实质性内容。但是按照本须知 5.5款规定，评标时发现的算术错误，不在此列。</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5.4  </w:t>
      </w:r>
      <w:r>
        <w:rPr>
          <w:rFonts w:hint="eastAsia" w:ascii="宋体" w:hAnsi="宋体" w:cs="宋体"/>
          <w:b/>
          <w:bCs/>
          <w:color w:val="auto"/>
          <w:szCs w:val="21"/>
        </w:rPr>
        <w:t>投标文件响应性的确定</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5.4.1 </w:t>
      </w:r>
      <w:r>
        <w:rPr>
          <w:rFonts w:ascii="宋体" w:hAnsi="宋体" w:cs="宋体"/>
          <w:color w:val="auto"/>
          <w:szCs w:val="21"/>
        </w:rPr>
        <w:tab/>
      </w:r>
      <w:r>
        <w:rPr>
          <w:rFonts w:hint="eastAsia" w:ascii="宋体" w:hAnsi="宋体" w:cs="宋体"/>
          <w:color w:val="auto"/>
          <w:szCs w:val="21"/>
        </w:rPr>
        <w:t>在详细评标之前，招标人和评标专家将首先审定每份投标文件是否在实质上响应了招标文件的要求和规定。</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5.4.2 </w:t>
      </w:r>
      <w:r>
        <w:rPr>
          <w:rFonts w:ascii="宋体" w:hAnsi="宋体" w:cs="宋体"/>
          <w:color w:val="auto"/>
          <w:szCs w:val="21"/>
        </w:rPr>
        <w:tab/>
      </w:r>
      <w:r>
        <w:rPr>
          <w:rFonts w:hint="eastAsia" w:ascii="宋体" w:hAnsi="宋体" w:cs="宋体"/>
          <w:color w:val="auto"/>
          <w:szCs w:val="21"/>
        </w:rPr>
        <w:t>如果投标文件实质上不响应招标文件的要求，招标人将予以否决，并且不允许投标人通过修正或撤销其不符要求的差异或保留使之成为具有响应性的投标。</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5.4.3 </w:t>
      </w:r>
      <w:r>
        <w:rPr>
          <w:rFonts w:ascii="宋体" w:hAnsi="宋体" w:cs="宋体"/>
          <w:color w:val="auto"/>
          <w:szCs w:val="21"/>
        </w:rPr>
        <w:tab/>
      </w:r>
      <w:r>
        <w:rPr>
          <w:rFonts w:hint="eastAsia" w:ascii="宋体" w:hAnsi="宋体" w:cs="宋体"/>
          <w:color w:val="auto"/>
          <w:szCs w:val="21"/>
        </w:rPr>
        <w:t>投标人应认真对待投标书的真实性，投标书中所附的各种支持材料不允许有造假行为，一经发现，则单项得分为零。</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5.4.4 </w:t>
      </w:r>
      <w:r>
        <w:rPr>
          <w:rFonts w:ascii="宋体" w:hAnsi="宋体" w:cs="宋体"/>
          <w:color w:val="auto"/>
          <w:szCs w:val="21"/>
        </w:rPr>
        <w:tab/>
      </w:r>
      <w:r>
        <w:rPr>
          <w:rFonts w:hint="eastAsia" w:ascii="宋体" w:hAnsi="宋体" w:cs="宋体"/>
          <w:color w:val="auto"/>
          <w:szCs w:val="21"/>
        </w:rPr>
        <w:t>投标人必须按照招标文件规定的工程量清单格式进行报价，除了工程量清单报价，招标人不再接受其它任何形式的报价说明（比如降价函、报价补充说明、优惠报价说明等等）。</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5.5  </w:t>
      </w:r>
      <w:r>
        <w:rPr>
          <w:rFonts w:hint="eastAsia" w:ascii="宋体" w:hAnsi="宋体" w:cs="宋体"/>
          <w:b/>
          <w:bCs/>
          <w:color w:val="auto"/>
          <w:szCs w:val="21"/>
        </w:rPr>
        <w:t>错误的修正</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5.5.1 </w:t>
      </w:r>
      <w:r>
        <w:rPr>
          <w:rFonts w:ascii="宋体" w:hAnsi="宋体" w:cs="宋体"/>
          <w:color w:val="auto"/>
          <w:szCs w:val="21"/>
        </w:rPr>
        <w:tab/>
      </w:r>
      <w:r>
        <w:rPr>
          <w:rFonts w:hint="eastAsia" w:ascii="宋体" w:hAnsi="宋体" w:cs="宋体"/>
          <w:color w:val="auto"/>
          <w:szCs w:val="21"/>
        </w:rPr>
        <w:t>评标委员会将对确定为实质上响应招标要求的投标文件进行校核，修正错误的原则详见评标办法。</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5.5.2 </w:t>
      </w:r>
      <w:r>
        <w:rPr>
          <w:rFonts w:ascii="宋体" w:hAnsi="宋体" w:cs="宋体"/>
          <w:color w:val="auto"/>
          <w:szCs w:val="21"/>
        </w:rPr>
        <w:tab/>
      </w:r>
      <w:r>
        <w:rPr>
          <w:rFonts w:hint="eastAsia" w:ascii="宋体" w:hAnsi="宋体" w:cs="宋体"/>
          <w:color w:val="auto"/>
          <w:szCs w:val="21"/>
        </w:rPr>
        <w:t>评标委员会将按评标办法规定的修改错误的方法，调整投标文件的报价。在投标人同意后，调整后的报价对投标人起约束作用。如果投标人不接受评标委员会修正后的评标价，则其投标将被否决并且其投标保证金不被退还。</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5.6  </w:t>
      </w:r>
      <w:r>
        <w:rPr>
          <w:rFonts w:hint="eastAsia" w:ascii="宋体" w:hAnsi="宋体" w:cs="宋体"/>
          <w:b/>
          <w:bCs/>
          <w:color w:val="auto"/>
          <w:szCs w:val="21"/>
        </w:rPr>
        <w:t>投标文件的评价与比较</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5.6.1 </w:t>
      </w:r>
      <w:r>
        <w:rPr>
          <w:rFonts w:ascii="宋体" w:hAnsi="宋体" w:cs="宋体"/>
          <w:color w:val="auto"/>
          <w:szCs w:val="21"/>
        </w:rPr>
        <w:tab/>
      </w:r>
      <w:r>
        <w:rPr>
          <w:rFonts w:hint="eastAsia" w:ascii="宋体" w:hAnsi="宋体" w:cs="宋体"/>
          <w:color w:val="auto"/>
          <w:szCs w:val="21"/>
        </w:rPr>
        <w:t>评标委员会将对本须知第</w:t>
      </w:r>
      <w:r>
        <w:rPr>
          <w:rFonts w:ascii="宋体" w:hAnsi="宋体" w:cs="宋体"/>
          <w:color w:val="auto"/>
          <w:szCs w:val="21"/>
        </w:rPr>
        <w:t>5.4条确定为实质上响应招标文件要求的投标文件进行评价与比较。投标文件的评价与比较将严格按照《评标办法》的规定执行。《评标办法》附后。</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5.6.2 </w:t>
      </w:r>
      <w:r>
        <w:rPr>
          <w:rFonts w:ascii="宋体" w:hAnsi="宋体" w:cs="宋体"/>
          <w:color w:val="auto"/>
          <w:szCs w:val="21"/>
        </w:rPr>
        <w:tab/>
      </w:r>
      <w:r>
        <w:rPr>
          <w:rFonts w:hint="eastAsia" w:ascii="宋体" w:hAnsi="宋体" w:cs="宋体"/>
          <w:color w:val="auto"/>
          <w:szCs w:val="21"/>
        </w:rPr>
        <w:t>经评标专家对投标报价按上述规定进行评审后得出的评标价即为中标价。</w:t>
      </w:r>
    </w:p>
    <w:p>
      <w:pPr>
        <w:keepNext/>
        <w:keepLines/>
        <w:spacing w:line="360" w:lineRule="auto"/>
        <w:outlineLvl w:val="1"/>
        <w:rPr>
          <w:rFonts w:ascii="宋体" w:hAnsi="宋体" w:cs="宋体"/>
          <w:b/>
          <w:bCs/>
          <w:color w:val="auto"/>
          <w:szCs w:val="21"/>
        </w:rPr>
      </w:pPr>
      <w:bookmarkStart w:id="16" w:name="_Toc9129"/>
      <w:bookmarkStart w:id="17" w:name="_Toc377719905"/>
      <w:r>
        <w:rPr>
          <w:rFonts w:ascii="宋体" w:hAnsi="宋体" w:cs="宋体"/>
          <w:b/>
          <w:bCs/>
          <w:color w:val="auto"/>
          <w:szCs w:val="21"/>
        </w:rPr>
        <w:t xml:space="preserve">6. </w:t>
      </w:r>
      <w:r>
        <w:rPr>
          <w:rFonts w:hint="eastAsia" w:ascii="宋体" w:hAnsi="宋体" w:cs="宋体"/>
          <w:b/>
          <w:bCs/>
          <w:color w:val="auto"/>
          <w:szCs w:val="21"/>
        </w:rPr>
        <w:t>授予合同</w:t>
      </w:r>
      <w:bookmarkEnd w:id="16"/>
      <w:bookmarkEnd w:id="17"/>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6.1  </w:t>
      </w:r>
      <w:r>
        <w:rPr>
          <w:rFonts w:hint="eastAsia" w:ascii="宋体" w:hAnsi="宋体" w:cs="宋体"/>
          <w:b/>
          <w:bCs/>
          <w:color w:val="auto"/>
          <w:szCs w:val="21"/>
        </w:rPr>
        <w:t>合同授予标准</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招标人将把合同授予其投标文件在实质上响应招标文件要求和按本须知</w:t>
      </w:r>
      <w:r>
        <w:rPr>
          <w:rFonts w:ascii="宋体" w:hAnsi="宋体" w:cs="宋体"/>
          <w:color w:val="auto"/>
          <w:szCs w:val="21"/>
        </w:rPr>
        <w:t xml:space="preserve"> 5.6款规定评为最适宜的投标人，该投标人必须具有有效实施本合同的能力和资源。</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6.2  </w:t>
      </w:r>
      <w:r>
        <w:rPr>
          <w:rFonts w:hint="eastAsia" w:ascii="宋体" w:hAnsi="宋体" w:cs="宋体"/>
          <w:b/>
          <w:bCs/>
          <w:color w:val="auto"/>
          <w:szCs w:val="21"/>
        </w:rPr>
        <w:t>中标通知书</w:t>
      </w:r>
    </w:p>
    <w:p>
      <w:pPr>
        <w:spacing w:line="360" w:lineRule="auto"/>
        <w:ind w:firstLine="424" w:firstLineChars="202"/>
        <w:jc w:val="left"/>
        <w:rPr>
          <w:rFonts w:ascii="宋体" w:hAnsi="宋体" w:cs="宋体"/>
          <w:color w:val="auto"/>
          <w:szCs w:val="21"/>
        </w:rPr>
      </w:pPr>
      <w:r>
        <w:rPr>
          <w:rFonts w:ascii="宋体" w:hAnsi="宋体" w:cs="宋体"/>
          <w:color w:val="auto"/>
          <w:szCs w:val="21"/>
        </w:rPr>
        <w:t>6.2.1</w:t>
      </w:r>
      <w:r>
        <w:rPr>
          <w:rFonts w:ascii="宋体" w:hAnsi="宋体" w:cs="宋体"/>
          <w:color w:val="auto"/>
          <w:szCs w:val="21"/>
        </w:rPr>
        <w:tab/>
      </w:r>
      <w:r>
        <w:rPr>
          <w:rFonts w:hint="eastAsia" w:ascii="宋体" w:hAnsi="宋体" w:cs="宋体"/>
          <w:color w:val="auto"/>
          <w:szCs w:val="21"/>
        </w:rPr>
        <w:t>在投标有效期截止前，招标人将以书面函件的形式通知中标人，并以书面的形式确认其投标被接受。</w:t>
      </w:r>
    </w:p>
    <w:p>
      <w:pPr>
        <w:spacing w:line="360" w:lineRule="auto"/>
        <w:ind w:firstLine="424" w:firstLineChars="202"/>
        <w:jc w:val="left"/>
        <w:rPr>
          <w:rFonts w:ascii="宋体" w:hAnsi="宋体" w:cs="宋体"/>
          <w:color w:val="auto"/>
          <w:szCs w:val="21"/>
        </w:rPr>
      </w:pPr>
      <w:r>
        <w:rPr>
          <w:rFonts w:ascii="宋体" w:hAnsi="宋体" w:cs="宋体"/>
          <w:color w:val="auto"/>
          <w:szCs w:val="21"/>
        </w:rPr>
        <w:t>6.2.2</w:t>
      </w:r>
      <w:r>
        <w:rPr>
          <w:rFonts w:ascii="宋体" w:hAnsi="宋体" w:cs="宋体"/>
          <w:color w:val="auto"/>
          <w:szCs w:val="21"/>
        </w:rPr>
        <w:tab/>
      </w:r>
      <w:r>
        <w:rPr>
          <w:rFonts w:hint="eastAsia" w:ascii="宋体" w:hAnsi="宋体" w:cs="宋体"/>
          <w:color w:val="auto"/>
          <w:szCs w:val="21"/>
        </w:rPr>
        <w:t>中标通知书将成为合同的组成部分，并以评标价作为中标价。</w:t>
      </w:r>
    </w:p>
    <w:p>
      <w:pPr>
        <w:spacing w:line="360" w:lineRule="auto"/>
        <w:ind w:firstLine="424" w:firstLineChars="202"/>
        <w:jc w:val="left"/>
        <w:rPr>
          <w:rFonts w:ascii="宋体" w:hAnsi="宋体" w:cs="宋体"/>
          <w:color w:val="auto"/>
          <w:szCs w:val="21"/>
        </w:rPr>
      </w:pPr>
      <w:r>
        <w:rPr>
          <w:rFonts w:ascii="宋体" w:hAnsi="宋体" w:cs="宋体"/>
          <w:color w:val="auto"/>
          <w:szCs w:val="21"/>
        </w:rPr>
        <w:t>6.2.3</w:t>
      </w:r>
      <w:r>
        <w:rPr>
          <w:rFonts w:ascii="宋体" w:hAnsi="宋体" w:cs="宋体"/>
          <w:color w:val="auto"/>
          <w:szCs w:val="21"/>
        </w:rPr>
        <w:tab/>
      </w:r>
      <w:r>
        <w:rPr>
          <w:rFonts w:hint="eastAsia" w:ascii="宋体" w:hAnsi="宋体" w:cs="宋体"/>
          <w:color w:val="auto"/>
          <w:szCs w:val="21"/>
        </w:rPr>
        <w:t>在中标人按本须知</w:t>
      </w:r>
      <w:r>
        <w:rPr>
          <w:rFonts w:ascii="宋体" w:hAnsi="宋体" w:cs="宋体"/>
          <w:color w:val="auto"/>
          <w:szCs w:val="21"/>
        </w:rPr>
        <w:t xml:space="preserve"> 6.5款的规定提供了履约担保后，招标人将及时将中标的结果通知其他投标人。</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6.3  </w:t>
      </w:r>
      <w:r>
        <w:rPr>
          <w:rFonts w:hint="eastAsia" w:ascii="宋体" w:hAnsi="宋体" w:cs="宋体"/>
          <w:b/>
          <w:bCs/>
          <w:color w:val="auto"/>
          <w:szCs w:val="21"/>
        </w:rPr>
        <w:t>合同协议书的签署</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招标人与中标人将在投标有效期内并自中标通知书发出之日起</w:t>
      </w:r>
      <w:r>
        <w:rPr>
          <w:rFonts w:ascii="宋体" w:hAnsi="宋体" w:cs="宋体"/>
          <w:color w:val="auto"/>
          <w:szCs w:val="21"/>
        </w:rPr>
        <w:t>30日内，在招标人按以下原则所核定的中标人的投标价后，按照招标文件和中标人的投标文件商定合同和签订合同，招标人和中标人不得另行订立背离合同实质性内容的其他协议。</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中标价格的核准原则如下：</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1）若数量级有误，以核准的数量级为准。</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2）若用小写表示的金额和用大写的金额不一致，以金额低者为准。</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3）当单价与数量的乘积与总价不一致时，以单价为准，并修订总价。除非在发包人看来单价中有明显的小数点错误，在这种情况下则以所报的合价为准，修改单价。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4）当工程量清单单价与单价分析表不一致时，以单价分析表为准，并修订单价。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5）工程量清单中的工程量与招标文件工程量清单不一致时，按招标文件的工程量进行修正。</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6）工程量清单中单价包干项目的单位与招标文件工程量清单不一致时，按招标文件工程量清单修正该项的单位。</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7）修正工程量清单中各汇总项的累加错误。</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8）拟签定合同价按上述原则核定后，按就低不就高原则确定：当核定后的投标价小于原投标价，拟签合同价按核定后的投标价；当核定后的投标价大于原投标价，拟签合同价按原投标价，合同中修正价格差额部分按比例调整修正到分部分项工程量清单中各项目的单价中或存在偏差的相应项目单价中。</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9）按上述修正错误的原则及方法调整或修正投标文件的投标报价，调整后的投标报价对投标人起约束作用。如果投标人不接受修正后的报价，则取消其中标资格，并且其投标保证金不予退还。</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6.4  </w:t>
      </w:r>
      <w:r>
        <w:rPr>
          <w:rFonts w:hint="eastAsia" w:ascii="宋体" w:hAnsi="宋体" w:cs="宋体"/>
          <w:b/>
          <w:bCs/>
          <w:color w:val="auto"/>
          <w:szCs w:val="21"/>
        </w:rPr>
        <w:t>履约担保</w:t>
      </w:r>
    </w:p>
    <w:p>
      <w:pPr>
        <w:spacing w:line="360" w:lineRule="auto"/>
        <w:ind w:firstLine="424" w:firstLineChars="202"/>
        <w:jc w:val="left"/>
        <w:rPr>
          <w:rFonts w:ascii="宋体" w:hAnsi="宋体" w:cs="宋体"/>
          <w:color w:val="auto"/>
          <w:szCs w:val="21"/>
        </w:rPr>
      </w:pPr>
      <w:r>
        <w:rPr>
          <w:rFonts w:ascii="宋体" w:hAnsi="宋体" w:cs="宋体"/>
          <w:color w:val="auto"/>
          <w:szCs w:val="21"/>
        </w:rPr>
        <w:t>6.4.1</w:t>
      </w:r>
      <w:r>
        <w:rPr>
          <w:rFonts w:ascii="宋体" w:hAnsi="宋体" w:cs="宋体"/>
          <w:color w:val="auto"/>
          <w:szCs w:val="21"/>
        </w:rPr>
        <w:tab/>
      </w:r>
      <w:r>
        <w:rPr>
          <w:rFonts w:hint="eastAsia" w:ascii="宋体" w:hAnsi="宋体" w:cs="宋体"/>
          <w:color w:val="auto"/>
          <w:szCs w:val="21"/>
        </w:rPr>
        <w:t>在合同签订后</w:t>
      </w:r>
      <w:r>
        <w:rPr>
          <w:rFonts w:ascii="宋体" w:hAnsi="宋体" w:cs="宋体"/>
          <w:color w:val="auto"/>
          <w:szCs w:val="21"/>
        </w:rPr>
        <w:t>30</w:t>
      </w:r>
      <w:r>
        <w:rPr>
          <w:rFonts w:hint="eastAsia" w:ascii="宋体" w:hAnsi="宋体" w:cs="宋体"/>
          <w:color w:val="auto"/>
          <w:szCs w:val="21"/>
        </w:rPr>
        <w:t>天内，中标的投标人应按招标文件规定向招标人提交履约担保。按招标文件规定，履约担保为合同价的</w:t>
      </w:r>
      <w:r>
        <w:rPr>
          <w:rFonts w:ascii="宋体" w:hAnsi="宋体" w:cs="宋体"/>
          <w:color w:val="auto"/>
          <w:szCs w:val="21"/>
        </w:rPr>
        <w:t>10%。</w:t>
      </w:r>
    </w:p>
    <w:p>
      <w:pPr>
        <w:spacing w:line="360" w:lineRule="auto"/>
        <w:ind w:firstLine="424" w:firstLineChars="202"/>
        <w:jc w:val="left"/>
        <w:rPr>
          <w:rFonts w:ascii="宋体" w:hAnsi="宋体" w:cs="宋体"/>
          <w:color w:val="auto"/>
          <w:szCs w:val="21"/>
        </w:rPr>
      </w:pPr>
      <w:r>
        <w:rPr>
          <w:rFonts w:ascii="宋体" w:hAnsi="宋体" w:cs="宋体"/>
          <w:color w:val="auto"/>
          <w:szCs w:val="21"/>
        </w:rPr>
        <w:t>6.4.2</w:t>
      </w:r>
      <w:r>
        <w:rPr>
          <w:rFonts w:ascii="宋体" w:hAnsi="宋体" w:cs="宋体"/>
          <w:color w:val="auto"/>
          <w:szCs w:val="21"/>
        </w:rPr>
        <w:tab/>
      </w:r>
      <w:r>
        <w:rPr>
          <w:rFonts w:hint="eastAsia" w:ascii="宋体" w:hAnsi="宋体" w:cs="宋体"/>
          <w:color w:val="auto"/>
          <w:szCs w:val="21"/>
        </w:rPr>
        <w:t>如果中标人的履约保证金是以银行保函的形式提供，则该银行保函应由在中国注册的银行开具，必须由银行支行或以上级别机构出具。由非东莞市境内银行出具的履约保函需经担保银行所在地公证机关公证并出具公证书。</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如乙方不便开具合同履约保函，可由乙方直接向我司电汇或缴交履约保证金。履约保证金可采用电汇、银行转账方式提交，但不可以采用现金方式（包括存现方式）提交。中标人必须保证资金以中标人的名称（以分公司或子公司汇款无效）在约定的日期前到账（以银行收到为准）。在汇入履约保证金时在汇款单备注中注明：中标（成交）通知书编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履约保证金汇入以下专用账户：</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账号名称：</w:t>
      </w:r>
      <w:r>
        <w:rPr>
          <w:rFonts w:hint="eastAsia"/>
          <w:color w:val="auto"/>
        </w:rPr>
        <w:t>东莞市轨道一号线建设发展有限公司</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账</w:t>
      </w:r>
      <w:r>
        <w:rPr>
          <w:rFonts w:ascii="宋体" w:hAnsi="宋体" w:cs="宋体"/>
          <w:color w:val="auto"/>
          <w:szCs w:val="21"/>
        </w:rPr>
        <w:t xml:space="preserve">    </w:t>
      </w:r>
      <w:r>
        <w:rPr>
          <w:rFonts w:hint="eastAsia" w:ascii="宋体" w:hAnsi="宋体" w:cs="宋体"/>
          <w:color w:val="auto"/>
          <w:szCs w:val="21"/>
        </w:rPr>
        <w:t>号：</w:t>
      </w:r>
      <w:r>
        <w:rPr>
          <w:color w:val="auto"/>
        </w:rPr>
        <w:t>9550880215310600132</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开</w:t>
      </w:r>
      <w:r>
        <w:rPr>
          <w:rFonts w:ascii="宋体" w:hAnsi="宋体" w:cs="宋体"/>
          <w:color w:val="auto"/>
          <w:szCs w:val="21"/>
        </w:rPr>
        <w:t xml:space="preserve"> </w:t>
      </w:r>
      <w:r>
        <w:rPr>
          <w:rFonts w:hint="eastAsia" w:ascii="宋体" w:hAnsi="宋体" w:cs="宋体"/>
          <w:color w:val="auto"/>
          <w:szCs w:val="21"/>
        </w:rPr>
        <w:t>户</w:t>
      </w:r>
      <w:r>
        <w:rPr>
          <w:rFonts w:ascii="宋体" w:hAnsi="宋体" w:cs="宋体"/>
          <w:color w:val="auto"/>
          <w:szCs w:val="21"/>
        </w:rPr>
        <w:t xml:space="preserve"> </w:t>
      </w:r>
      <w:r>
        <w:rPr>
          <w:rFonts w:hint="eastAsia" w:ascii="宋体" w:hAnsi="宋体" w:cs="宋体"/>
          <w:color w:val="auto"/>
          <w:szCs w:val="21"/>
        </w:rPr>
        <w:t>行：</w:t>
      </w:r>
      <w:r>
        <w:rPr>
          <w:rFonts w:hint="eastAsia"/>
          <w:color w:val="auto"/>
        </w:rPr>
        <w:t>广发银行股份有限公司东莞南城支行</w:t>
      </w:r>
    </w:p>
    <w:p>
      <w:pPr>
        <w:spacing w:line="360" w:lineRule="auto"/>
        <w:ind w:firstLine="424" w:firstLineChars="202"/>
        <w:jc w:val="left"/>
        <w:rPr>
          <w:rFonts w:ascii="宋体" w:hAnsi="宋体" w:cs="宋体"/>
          <w:color w:val="auto"/>
          <w:szCs w:val="21"/>
        </w:rPr>
      </w:pPr>
      <w:r>
        <w:rPr>
          <w:rFonts w:ascii="宋体" w:hAnsi="宋体" w:cs="宋体"/>
          <w:color w:val="auto"/>
          <w:szCs w:val="21"/>
        </w:rPr>
        <w:t>6.4.3</w:t>
      </w:r>
      <w:r>
        <w:rPr>
          <w:rFonts w:ascii="宋体" w:hAnsi="宋体" w:cs="宋体"/>
          <w:color w:val="auto"/>
          <w:szCs w:val="21"/>
        </w:rPr>
        <w:tab/>
      </w:r>
      <w:r>
        <w:rPr>
          <w:rFonts w:hint="eastAsia" w:ascii="宋体" w:hAnsi="宋体" w:cs="宋体"/>
          <w:color w:val="auto"/>
          <w:szCs w:val="21"/>
        </w:rPr>
        <w:t>如果中标人不遵守本须知</w:t>
      </w:r>
      <w:r>
        <w:rPr>
          <w:rFonts w:ascii="宋体" w:hAnsi="宋体" w:cs="宋体"/>
          <w:color w:val="auto"/>
          <w:szCs w:val="21"/>
        </w:rPr>
        <w:t xml:space="preserve"> 6.3款或 6.4款的规定，招标人将有充分的理由废除授标，并可以不退还其投标保证金。</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6.5  </w:t>
      </w:r>
      <w:r>
        <w:rPr>
          <w:rFonts w:hint="eastAsia" w:ascii="宋体" w:hAnsi="宋体" w:cs="宋体"/>
          <w:b/>
          <w:bCs/>
          <w:color w:val="auto"/>
          <w:szCs w:val="21"/>
        </w:rPr>
        <w:t>合同生效</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在合同双方法定代表人或授权代表在合同协议书上签字或签章，并分别加盖双方单位的公章且中标人提交符合规定的履约担保后，合同正式生效。招标人确认接收履约担保的签署日期、合同协议书的最后一个签署日期中的最晚签署日期为合同生效日。</w:t>
      </w:r>
    </w:p>
    <w:p>
      <w:pPr>
        <w:keepNext/>
        <w:keepLines/>
        <w:spacing w:line="360" w:lineRule="auto"/>
        <w:outlineLvl w:val="2"/>
        <w:rPr>
          <w:rFonts w:ascii="宋体" w:hAnsi="宋体" w:cs="宋体"/>
          <w:b/>
          <w:bCs/>
          <w:color w:val="auto"/>
          <w:szCs w:val="21"/>
        </w:rPr>
      </w:pPr>
      <w:r>
        <w:rPr>
          <w:rFonts w:ascii="宋体" w:hAnsi="宋体" w:cs="宋体"/>
          <w:b/>
          <w:bCs/>
          <w:color w:val="auto"/>
          <w:szCs w:val="21"/>
        </w:rPr>
        <w:t xml:space="preserve">6.6  </w:t>
      </w:r>
      <w:r>
        <w:rPr>
          <w:rFonts w:hint="eastAsia" w:ascii="宋体" w:hAnsi="宋体" w:cs="宋体"/>
          <w:b/>
          <w:bCs/>
          <w:color w:val="auto"/>
          <w:szCs w:val="21"/>
        </w:rPr>
        <w:t>腐败与敲诈行为</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在招标和合同实施期间，招标人要求投标人和承包人遵守最高的道德标准。</w:t>
      </w:r>
    </w:p>
    <w:p>
      <w:pPr>
        <w:spacing w:line="360" w:lineRule="auto"/>
        <w:ind w:firstLine="424" w:firstLineChars="202"/>
        <w:jc w:val="left"/>
        <w:rPr>
          <w:rFonts w:ascii="宋体" w:hAnsi="宋体" w:cs="宋体"/>
          <w:color w:val="auto"/>
          <w:szCs w:val="21"/>
        </w:rPr>
      </w:pPr>
      <w:r>
        <w:rPr>
          <w:rFonts w:ascii="宋体" w:hAnsi="宋体" w:cs="宋体"/>
          <w:color w:val="auto"/>
          <w:szCs w:val="21"/>
        </w:rPr>
        <w:t>6.6.1对本条款的规定，特定义如下词汇：</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a）、“腐败行为”是指在招标采购或合同执行期间，通过提供、给予、接受或索要任何有价值的东西，从而影响招标人有关人员工作的行为；</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b）、“欺诈行为”是指通过提供伪证影响招标或合同执行，从而损害招标人利益的行为；也包括投标人之间串通（在提交投标书之前或之后），人为地使招标过程失去竞争性，从而使招标人无法从公开的自由竞争中获得利益的行为。</w:t>
      </w:r>
    </w:p>
    <w:p>
      <w:pPr>
        <w:spacing w:line="360" w:lineRule="auto"/>
        <w:ind w:firstLine="424" w:firstLineChars="202"/>
        <w:jc w:val="left"/>
        <w:rPr>
          <w:rFonts w:ascii="宋体" w:hAnsi="宋体" w:cs="宋体"/>
          <w:color w:val="auto"/>
          <w:szCs w:val="21"/>
        </w:rPr>
      </w:pPr>
      <w:r>
        <w:rPr>
          <w:rFonts w:ascii="宋体" w:hAnsi="宋体" w:cs="宋体"/>
          <w:color w:val="auto"/>
          <w:szCs w:val="21"/>
        </w:rPr>
        <w:t>6.6.2如果投标人被认定在本招标的竞争中有腐败或欺诈行为，则会被取消投标资格。</w:t>
      </w:r>
    </w:p>
    <w:p>
      <w:pPr>
        <w:keepNext/>
        <w:keepLines/>
        <w:spacing w:line="360" w:lineRule="auto"/>
        <w:jc w:val="left"/>
        <w:outlineLvl w:val="2"/>
        <w:rPr>
          <w:rFonts w:ascii="宋体" w:hAnsi="宋体" w:cs="宋体"/>
          <w:b/>
          <w:bCs/>
          <w:color w:val="auto"/>
          <w:szCs w:val="21"/>
        </w:rPr>
      </w:pPr>
      <w:r>
        <w:rPr>
          <w:rFonts w:ascii="宋体" w:hAnsi="宋体" w:cs="宋体"/>
          <w:b/>
          <w:bCs/>
          <w:color w:val="auto"/>
          <w:szCs w:val="21"/>
        </w:rPr>
        <w:t>6.7其他费用</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6.7.1 </w:t>
      </w:r>
      <w:r>
        <w:rPr>
          <w:rFonts w:hint="eastAsia" w:ascii="宋体" w:hAnsi="宋体" w:cs="宋体"/>
          <w:color w:val="auto"/>
          <w:szCs w:val="21"/>
        </w:rPr>
        <w:t>中标人应根据政府有关规定，向广州公共资源交易中心交纳交易服务费。</w:t>
      </w:r>
    </w:p>
    <w:p>
      <w:pPr>
        <w:spacing w:line="360" w:lineRule="auto"/>
        <w:ind w:firstLine="424" w:firstLineChars="202"/>
        <w:jc w:val="left"/>
        <w:rPr>
          <w:rFonts w:ascii="宋体" w:hAnsi="宋体" w:cs="宋体"/>
          <w:color w:val="auto"/>
          <w:szCs w:val="21"/>
        </w:rPr>
      </w:pPr>
      <w:r>
        <w:rPr>
          <w:rFonts w:ascii="宋体" w:hAnsi="宋体" w:cs="宋体"/>
          <w:color w:val="auto"/>
          <w:szCs w:val="21"/>
        </w:rPr>
        <w:t xml:space="preserve">6.7.2 </w:t>
      </w:r>
      <w:r>
        <w:rPr>
          <w:rFonts w:hint="eastAsia" w:ascii="宋体" w:hAnsi="宋体" w:cs="宋体"/>
          <w:color w:val="auto"/>
          <w:szCs w:val="21"/>
        </w:rPr>
        <w:t>中标人在收到中标通知书前向招标代理机构支付“招标代理服务费”。该招标代理服务费以中标金额为基数，按发标人与本项目招标代理签订的代理合同的约定，向本项目招标代理支付本项目的代理费。</w:t>
      </w:r>
    </w:p>
    <w:p>
      <w:pPr>
        <w:spacing w:line="360" w:lineRule="auto"/>
        <w:ind w:firstLine="424" w:firstLineChars="202"/>
        <w:jc w:val="left"/>
        <w:rPr>
          <w:rFonts w:ascii="宋体" w:hAnsi="宋体" w:cs="宋体"/>
          <w:color w:val="auto"/>
          <w:szCs w:val="21"/>
        </w:rPr>
      </w:pPr>
    </w:p>
    <w:p>
      <w:pPr>
        <w:spacing w:line="360" w:lineRule="auto"/>
        <w:ind w:firstLine="424" w:firstLineChars="202"/>
        <w:jc w:val="left"/>
        <w:rPr>
          <w:rFonts w:ascii="宋体" w:hAnsi="宋体" w:cs="宋体"/>
          <w:color w:val="auto"/>
          <w:szCs w:val="21"/>
        </w:rPr>
      </w:pPr>
    </w:p>
    <w:p>
      <w:pPr>
        <w:spacing w:line="360" w:lineRule="auto"/>
        <w:ind w:firstLine="565" w:firstLineChars="202"/>
        <w:jc w:val="center"/>
        <w:outlineLvl w:val="0"/>
        <w:rPr>
          <w:rFonts w:ascii="宋体" w:hAnsi="宋体" w:cs="宋体"/>
          <w:b/>
          <w:bCs/>
          <w:color w:val="auto"/>
          <w:kern w:val="44"/>
          <w:sz w:val="44"/>
          <w:szCs w:val="44"/>
        </w:rPr>
      </w:pPr>
      <w:bookmarkStart w:id="18" w:name="_Toc377719906"/>
      <w:r>
        <w:rPr>
          <w:rFonts w:ascii="宋体" w:hAnsi="宋体" w:cs="宋体"/>
          <w:color w:val="auto"/>
          <w:sz w:val="28"/>
          <w:szCs w:val="28"/>
        </w:rPr>
        <w:br w:type="page"/>
      </w:r>
      <w:bookmarkStart w:id="19" w:name="_Toc5194"/>
      <w:r>
        <w:rPr>
          <w:rFonts w:hint="eastAsia" w:ascii="宋体" w:hAnsi="宋体" w:cs="宋体"/>
          <w:b/>
          <w:bCs/>
          <w:color w:val="auto"/>
          <w:kern w:val="44"/>
          <w:sz w:val="44"/>
          <w:szCs w:val="44"/>
        </w:rPr>
        <w:t>第Ⅱ卷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合同条件</w:t>
      </w:r>
      <w:bookmarkEnd w:id="18"/>
      <w:bookmarkEnd w:id="19"/>
    </w:p>
    <w:p>
      <w:pPr>
        <w:spacing w:line="400" w:lineRule="exact"/>
        <w:jc w:val="center"/>
        <w:rPr>
          <w:rFonts w:ascii="宋体" w:hAnsi="宋体" w:cs="宋体"/>
          <w:color w:val="auto"/>
          <w:sz w:val="44"/>
          <w:szCs w:val="44"/>
        </w:rPr>
      </w:pPr>
    </w:p>
    <w:p>
      <w:pPr>
        <w:spacing w:line="400" w:lineRule="exact"/>
        <w:ind w:firstLine="10340"/>
        <w:jc w:val="center"/>
        <w:rPr>
          <w:rFonts w:ascii="宋体" w:hAnsi="宋体" w:cs="宋体"/>
          <w:color w:val="auto"/>
          <w:sz w:val="44"/>
          <w:szCs w:val="44"/>
        </w:rPr>
      </w:pPr>
      <w:r>
        <w:rPr>
          <w:rFonts w:hint="eastAsia" w:ascii="宋体" w:hAnsi="宋体" w:cs="宋体"/>
          <w:color w:val="auto"/>
          <w:sz w:val="44"/>
          <w:szCs w:val="44"/>
        </w:rPr>
        <w:t>（（合同另册）</w:t>
      </w:r>
    </w:p>
    <w:p>
      <w:pPr>
        <w:keepNext/>
        <w:keepLines/>
        <w:spacing w:line="578" w:lineRule="auto"/>
        <w:jc w:val="center"/>
        <w:outlineLvl w:val="0"/>
        <w:rPr>
          <w:rFonts w:ascii="宋体" w:hAnsi="宋体" w:cs="宋体"/>
          <w:b/>
          <w:bCs/>
          <w:color w:val="auto"/>
          <w:kern w:val="44"/>
          <w:sz w:val="44"/>
          <w:szCs w:val="44"/>
        </w:rPr>
      </w:pPr>
      <w:r>
        <w:rPr>
          <w:rFonts w:ascii="宋体" w:hAnsi="宋体" w:cs="宋体"/>
          <w:b/>
          <w:bCs/>
          <w:color w:val="auto"/>
          <w:kern w:val="44"/>
          <w:sz w:val="44"/>
          <w:szCs w:val="44"/>
        </w:rPr>
        <w:br w:type="page"/>
      </w:r>
      <w:bookmarkStart w:id="20" w:name="_Toc13632"/>
      <w:bookmarkStart w:id="21" w:name="_Toc377719910"/>
      <w:r>
        <w:rPr>
          <w:rFonts w:hint="eastAsia" w:ascii="宋体" w:hAnsi="宋体" w:cs="宋体"/>
          <w:b/>
          <w:bCs/>
          <w:color w:val="auto"/>
          <w:kern w:val="44"/>
          <w:sz w:val="44"/>
          <w:szCs w:val="44"/>
        </w:rPr>
        <w:t>第Ⅲ卷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投标文件格式</w:t>
      </w:r>
      <w:bookmarkEnd w:id="20"/>
      <w:bookmarkEnd w:id="21"/>
    </w:p>
    <w:p>
      <w:pPr>
        <w:spacing w:line="400" w:lineRule="exact"/>
        <w:jc w:val="left"/>
        <w:rPr>
          <w:rFonts w:ascii="宋体" w:hAnsi="宋体" w:cs="宋体"/>
          <w:color w:val="auto"/>
          <w:sz w:val="28"/>
          <w:szCs w:val="28"/>
        </w:rPr>
      </w:pPr>
    </w:p>
    <w:p>
      <w:pPr>
        <w:spacing w:line="400" w:lineRule="exact"/>
        <w:jc w:val="center"/>
        <w:rPr>
          <w:rFonts w:ascii="宋体" w:hAnsi="宋体" w:cs="宋体"/>
          <w:color w:val="auto"/>
          <w:sz w:val="44"/>
          <w:szCs w:val="44"/>
        </w:rPr>
      </w:pPr>
      <w:r>
        <w:rPr>
          <w:rFonts w:hint="eastAsia" w:ascii="宋体" w:hAnsi="宋体" w:cs="宋体"/>
          <w:color w:val="auto"/>
          <w:sz w:val="44"/>
          <w:szCs w:val="44"/>
        </w:rPr>
        <w:t>目</w:t>
      </w:r>
      <w:r>
        <w:rPr>
          <w:rFonts w:ascii="宋体" w:hAnsi="宋体" w:cs="宋体"/>
          <w:color w:val="auto"/>
          <w:sz w:val="44"/>
          <w:szCs w:val="44"/>
        </w:rPr>
        <w:t xml:space="preserve">  </w:t>
      </w:r>
      <w:r>
        <w:rPr>
          <w:rFonts w:hint="eastAsia" w:ascii="宋体" w:hAnsi="宋体" w:cs="宋体"/>
          <w:color w:val="auto"/>
          <w:sz w:val="44"/>
          <w:szCs w:val="44"/>
        </w:rPr>
        <w:t>录</w:t>
      </w:r>
    </w:p>
    <w:p>
      <w:pPr>
        <w:spacing w:line="400" w:lineRule="exact"/>
        <w:jc w:val="left"/>
        <w:rPr>
          <w:rFonts w:ascii="宋体" w:hAnsi="宋体" w:cs="宋体"/>
          <w:color w:val="auto"/>
          <w:sz w:val="28"/>
          <w:szCs w:val="28"/>
        </w:rPr>
      </w:pPr>
    </w:p>
    <w:p>
      <w:pPr>
        <w:spacing w:line="400" w:lineRule="exact"/>
        <w:jc w:val="left"/>
        <w:rPr>
          <w:rFonts w:ascii="宋体" w:hAnsi="宋体" w:cs="宋体"/>
          <w:color w:val="auto"/>
          <w:sz w:val="28"/>
          <w:szCs w:val="28"/>
        </w:rPr>
      </w:pPr>
    </w:p>
    <w:p>
      <w:pPr>
        <w:spacing w:line="400" w:lineRule="exact"/>
        <w:jc w:val="left"/>
        <w:rPr>
          <w:rFonts w:ascii="宋体" w:hAnsi="宋体" w:cs="宋体"/>
          <w:color w:val="auto"/>
          <w:szCs w:val="21"/>
        </w:rPr>
      </w:pPr>
      <w:r>
        <w:rPr>
          <w:rFonts w:ascii="宋体" w:hAnsi="宋体" w:cs="宋体"/>
          <w:color w:val="auto"/>
          <w:szCs w:val="21"/>
        </w:rPr>
        <w:t xml:space="preserve">0  </w:t>
      </w:r>
      <w:r>
        <w:rPr>
          <w:rFonts w:hint="eastAsia" w:ascii="宋体" w:hAnsi="宋体" w:cs="宋体"/>
          <w:color w:val="auto"/>
          <w:szCs w:val="21"/>
        </w:rPr>
        <w:t>评审索引表</w:t>
      </w:r>
    </w:p>
    <w:p>
      <w:pPr>
        <w:spacing w:line="400" w:lineRule="exact"/>
        <w:jc w:val="left"/>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投标函格式</w:t>
      </w:r>
    </w:p>
    <w:p>
      <w:pPr>
        <w:spacing w:line="400" w:lineRule="exact"/>
        <w:jc w:val="left"/>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投标函附录格式</w:t>
      </w:r>
    </w:p>
    <w:p>
      <w:pPr>
        <w:spacing w:line="400" w:lineRule="exact"/>
        <w:jc w:val="left"/>
        <w:rPr>
          <w:rFonts w:ascii="宋体" w:hAnsi="宋体" w:cs="宋体"/>
          <w:color w:val="auto"/>
          <w:szCs w:val="21"/>
        </w:rPr>
      </w:pPr>
      <w:r>
        <w:rPr>
          <w:rFonts w:ascii="宋体" w:hAnsi="宋体" w:cs="宋体"/>
          <w:color w:val="auto"/>
          <w:szCs w:val="21"/>
        </w:rPr>
        <w:t xml:space="preserve">3   </w:t>
      </w:r>
      <w:r>
        <w:rPr>
          <w:rFonts w:hint="eastAsia" w:ascii="宋体" w:hAnsi="宋体" w:cs="宋体"/>
          <w:color w:val="auto"/>
          <w:szCs w:val="21"/>
        </w:rPr>
        <w:t>法定代表人证明书格式</w:t>
      </w:r>
    </w:p>
    <w:p>
      <w:pPr>
        <w:spacing w:line="400" w:lineRule="exact"/>
        <w:jc w:val="left"/>
        <w:rPr>
          <w:rFonts w:ascii="宋体" w:hAnsi="宋体" w:cs="宋体"/>
          <w:color w:val="auto"/>
          <w:szCs w:val="21"/>
        </w:rPr>
      </w:pPr>
      <w:r>
        <w:rPr>
          <w:rFonts w:ascii="宋体" w:hAnsi="宋体" w:cs="宋体"/>
          <w:color w:val="auto"/>
          <w:szCs w:val="21"/>
        </w:rPr>
        <w:t xml:space="preserve">4   </w:t>
      </w:r>
      <w:r>
        <w:rPr>
          <w:rFonts w:hint="eastAsia" w:ascii="宋体" w:hAnsi="宋体" w:cs="宋体"/>
          <w:color w:val="auto"/>
          <w:szCs w:val="21"/>
        </w:rPr>
        <w:t>法定代表人授权书格式</w:t>
      </w:r>
    </w:p>
    <w:p>
      <w:pPr>
        <w:spacing w:line="400" w:lineRule="exact"/>
        <w:jc w:val="left"/>
        <w:rPr>
          <w:rFonts w:ascii="宋体" w:hAnsi="宋体" w:cs="宋体"/>
          <w:color w:val="auto"/>
          <w:szCs w:val="21"/>
        </w:rPr>
      </w:pPr>
      <w:r>
        <w:rPr>
          <w:rFonts w:ascii="宋体" w:hAnsi="宋体" w:cs="宋体"/>
          <w:color w:val="auto"/>
          <w:szCs w:val="21"/>
        </w:rPr>
        <w:t xml:space="preserve">5   </w:t>
      </w:r>
      <w:r>
        <w:rPr>
          <w:rFonts w:hint="eastAsia" w:ascii="宋体" w:hAnsi="宋体" w:cs="宋体"/>
          <w:color w:val="auto"/>
          <w:szCs w:val="21"/>
        </w:rPr>
        <w:t>投标人简介</w:t>
      </w:r>
    </w:p>
    <w:p>
      <w:pPr>
        <w:spacing w:line="400" w:lineRule="exact"/>
        <w:jc w:val="left"/>
        <w:rPr>
          <w:rFonts w:ascii="宋体" w:hAnsi="宋体" w:cs="宋体"/>
          <w:color w:val="auto"/>
          <w:szCs w:val="21"/>
        </w:rPr>
      </w:pPr>
      <w:r>
        <w:rPr>
          <w:rFonts w:ascii="宋体" w:hAnsi="宋体" w:cs="宋体"/>
          <w:color w:val="auto"/>
          <w:szCs w:val="21"/>
        </w:rPr>
        <w:t xml:space="preserve">6  </w:t>
      </w:r>
      <w:r>
        <w:rPr>
          <w:rFonts w:hint="eastAsia" w:ascii="宋体" w:hAnsi="宋体" w:cs="宋体"/>
          <w:color w:val="auto"/>
          <w:szCs w:val="21"/>
        </w:rPr>
        <w:t>本项目组织机构和拟派人员</w:t>
      </w:r>
    </w:p>
    <w:p>
      <w:pPr>
        <w:spacing w:line="400" w:lineRule="exact"/>
        <w:jc w:val="left"/>
        <w:rPr>
          <w:rFonts w:ascii="宋体" w:hAnsi="宋体" w:cs="宋体"/>
          <w:color w:val="auto"/>
          <w:szCs w:val="21"/>
        </w:rPr>
      </w:pPr>
      <w:r>
        <w:rPr>
          <w:rFonts w:ascii="宋体" w:hAnsi="宋体" w:cs="宋体"/>
          <w:color w:val="auto"/>
          <w:szCs w:val="21"/>
        </w:rPr>
        <w:t xml:space="preserve">7  </w:t>
      </w:r>
      <w:r>
        <w:rPr>
          <w:rFonts w:hint="eastAsia" w:ascii="宋体" w:hAnsi="宋体" w:cs="宋体"/>
          <w:color w:val="auto"/>
          <w:szCs w:val="21"/>
        </w:rPr>
        <w:t>试验检测投标单位近八年内试验检测业绩</w:t>
      </w:r>
    </w:p>
    <w:p>
      <w:pPr>
        <w:spacing w:line="400" w:lineRule="exact"/>
        <w:jc w:val="left"/>
        <w:rPr>
          <w:rFonts w:ascii="宋体" w:hAnsi="宋体" w:cs="宋体"/>
          <w:color w:val="auto"/>
          <w:szCs w:val="21"/>
        </w:rPr>
      </w:pPr>
      <w:r>
        <w:rPr>
          <w:rFonts w:ascii="宋体" w:hAnsi="宋体" w:cs="宋体"/>
          <w:color w:val="auto"/>
          <w:szCs w:val="21"/>
        </w:rPr>
        <w:t xml:space="preserve">8  </w:t>
      </w:r>
      <w:r>
        <w:rPr>
          <w:rFonts w:hint="eastAsia" w:ascii="宋体" w:hAnsi="宋体" w:cs="宋体"/>
          <w:color w:val="auto"/>
          <w:szCs w:val="21"/>
        </w:rPr>
        <w:t>拟投入本项目的主要试验检测仪器设备一览表</w:t>
      </w:r>
    </w:p>
    <w:p>
      <w:pPr>
        <w:spacing w:line="400" w:lineRule="exact"/>
        <w:jc w:val="left"/>
        <w:rPr>
          <w:rFonts w:ascii="宋体" w:hAnsi="宋体" w:cs="宋体"/>
          <w:color w:val="auto"/>
          <w:szCs w:val="21"/>
        </w:rPr>
      </w:pPr>
      <w:r>
        <w:rPr>
          <w:rFonts w:ascii="宋体" w:hAnsi="宋体" w:cs="宋体"/>
          <w:color w:val="auto"/>
          <w:szCs w:val="21"/>
        </w:rPr>
        <w:t xml:space="preserve">9  </w:t>
      </w:r>
      <w:r>
        <w:rPr>
          <w:rFonts w:hint="eastAsia" w:ascii="宋体" w:hAnsi="宋体" w:cs="宋体"/>
          <w:color w:val="auto"/>
          <w:szCs w:val="21"/>
        </w:rPr>
        <w:t>实施本项目工作大纲</w:t>
      </w:r>
    </w:p>
    <w:p>
      <w:pPr>
        <w:spacing w:line="400" w:lineRule="exact"/>
        <w:jc w:val="left"/>
        <w:rPr>
          <w:rFonts w:ascii="宋体" w:hAnsi="宋体" w:cs="宋体"/>
          <w:color w:val="auto"/>
          <w:szCs w:val="21"/>
        </w:rPr>
      </w:pPr>
      <w:r>
        <w:rPr>
          <w:rFonts w:ascii="宋体" w:hAnsi="宋体" w:cs="宋体"/>
          <w:color w:val="auto"/>
          <w:szCs w:val="21"/>
        </w:rPr>
        <w:t xml:space="preserve">10  </w:t>
      </w:r>
      <w:r>
        <w:rPr>
          <w:rFonts w:hint="eastAsia" w:ascii="宋体" w:hAnsi="宋体" w:cs="宋体"/>
          <w:color w:val="auto"/>
          <w:szCs w:val="21"/>
        </w:rPr>
        <w:t>实施本项目检测工作应符合的检测规范及要求</w:t>
      </w:r>
    </w:p>
    <w:p>
      <w:pPr>
        <w:spacing w:line="400" w:lineRule="exact"/>
        <w:jc w:val="left"/>
        <w:rPr>
          <w:rFonts w:ascii="宋体" w:hAnsi="宋体" w:cs="宋体"/>
          <w:color w:val="auto"/>
          <w:szCs w:val="21"/>
        </w:rPr>
      </w:pPr>
      <w:r>
        <w:rPr>
          <w:rFonts w:ascii="宋体" w:hAnsi="宋体" w:cs="宋体"/>
          <w:color w:val="auto"/>
          <w:szCs w:val="21"/>
        </w:rPr>
        <w:t xml:space="preserve">11  </w:t>
      </w:r>
      <w:r>
        <w:rPr>
          <w:rFonts w:hint="eastAsia" w:ascii="宋体" w:hAnsi="宋体" w:cs="宋体"/>
          <w:color w:val="auto"/>
          <w:szCs w:val="21"/>
        </w:rPr>
        <w:t>报价表</w:t>
      </w:r>
    </w:p>
    <w:p>
      <w:pPr>
        <w:spacing w:line="400" w:lineRule="exact"/>
        <w:jc w:val="left"/>
        <w:rPr>
          <w:rFonts w:ascii="宋体" w:hAnsi="宋体" w:cs="宋体"/>
          <w:color w:val="auto"/>
          <w:szCs w:val="21"/>
        </w:rPr>
      </w:pPr>
      <w:r>
        <w:rPr>
          <w:rFonts w:ascii="宋体" w:hAnsi="宋体" w:cs="宋体"/>
          <w:color w:val="auto"/>
          <w:szCs w:val="21"/>
        </w:rPr>
        <w:t xml:space="preserve">12  </w:t>
      </w:r>
      <w:r>
        <w:rPr>
          <w:rFonts w:hint="eastAsia" w:ascii="宋体" w:hAnsi="宋体" w:cs="宋体"/>
          <w:color w:val="auto"/>
          <w:szCs w:val="21"/>
        </w:rPr>
        <w:t>其它要求</w:t>
      </w:r>
    </w:p>
    <w:p>
      <w:pPr>
        <w:spacing w:line="400" w:lineRule="exact"/>
        <w:jc w:val="left"/>
        <w:rPr>
          <w:rFonts w:ascii="宋体" w:hAnsi="宋体" w:cs="宋体"/>
          <w:color w:val="auto"/>
          <w:szCs w:val="21"/>
        </w:rPr>
      </w:pPr>
      <w:r>
        <w:rPr>
          <w:rFonts w:ascii="宋体" w:hAnsi="宋体" w:cs="宋体"/>
          <w:color w:val="auto"/>
          <w:szCs w:val="21"/>
        </w:rPr>
        <w:t xml:space="preserve">13  </w:t>
      </w:r>
      <w:r>
        <w:rPr>
          <w:rFonts w:hint="eastAsia" w:ascii="宋体" w:hAnsi="宋体" w:cs="宋体"/>
          <w:color w:val="auto"/>
          <w:szCs w:val="21"/>
        </w:rPr>
        <w:t>投标申请人声明</w:t>
      </w:r>
    </w:p>
    <w:p>
      <w:pPr>
        <w:spacing w:line="400" w:lineRule="exact"/>
        <w:jc w:val="left"/>
        <w:rPr>
          <w:rFonts w:ascii="宋体" w:hAnsi="宋体" w:cs="宋体"/>
          <w:color w:val="auto"/>
          <w:szCs w:val="21"/>
        </w:rPr>
      </w:pPr>
      <w:r>
        <w:rPr>
          <w:rFonts w:ascii="宋体" w:hAnsi="宋体" w:cs="宋体"/>
          <w:color w:val="auto"/>
          <w:szCs w:val="21"/>
        </w:rPr>
        <w:t xml:space="preserve">14  </w:t>
      </w:r>
      <w:r>
        <w:rPr>
          <w:rFonts w:hint="eastAsia" w:ascii="宋体" w:hAnsi="宋体" w:cs="宋体"/>
          <w:color w:val="auto"/>
          <w:szCs w:val="21"/>
        </w:rPr>
        <w:t>廉洁承诺书</w:t>
      </w:r>
    </w:p>
    <w:p>
      <w:pPr>
        <w:spacing w:line="400" w:lineRule="exact"/>
        <w:jc w:val="left"/>
        <w:rPr>
          <w:rFonts w:ascii="宋体" w:hAnsi="宋体" w:cs="宋体"/>
          <w:color w:val="auto"/>
          <w:szCs w:val="21"/>
        </w:rPr>
      </w:pPr>
      <w:r>
        <w:rPr>
          <w:rFonts w:ascii="宋体" w:hAnsi="宋体" w:cs="宋体"/>
          <w:color w:val="auto"/>
          <w:szCs w:val="21"/>
        </w:rPr>
        <w:tab/>
      </w:r>
    </w:p>
    <w:p>
      <w:pPr>
        <w:spacing w:line="400" w:lineRule="exact"/>
        <w:jc w:val="left"/>
        <w:rPr>
          <w:rFonts w:ascii="宋体" w:hAnsi="宋体" w:cs="宋体"/>
          <w:color w:val="auto"/>
          <w:szCs w:val="21"/>
        </w:rPr>
      </w:pPr>
      <w:r>
        <w:rPr>
          <w:rFonts w:ascii="宋体" w:hAnsi="宋体" w:cs="宋体"/>
          <w:color w:val="auto"/>
          <w:szCs w:val="21"/>
        </w:rPr>
        <w:t xml:space="preserve"> </w:t>
      </w:r>
    </w:p>
    <w:p>
      <w:pPr>
        <w:spacing w:line="400" w:lineRule="exact"/>
        <w:jc w:val="left"/>
        <w:rPr>
          <w:rFonts w:ascii="宋体" w:hAnsi="宋体" w:cs="宋体"/>
          <w:color w:val="auto"/>
          <w:sz w:val="28"/>
          <w:szCs w:val="28"/>
        </w:rPr>
      </w:pPr>
    </w:p>
    <w:p>
      <w:pPr>
        <w:spacing w:line="400" w:lineRule="exact"/>
        <w:jc w:val="left"/>
        <w:rPr>
          <w:rFonts w:ascii="宋体" w:hAnsi="宋体" w:cs="宋体"/>
          <w:color w:val="auto"/>
          <w:sz w:val="28"/>
          <w:szCs w:val="28"/>
        </w:rPr>
      </w:pPr>
    </w:p>
    <w:p>
      <w:pPr>
        <w:pStyle w:val="4"/>
        <w:rPr>
          <w:rFonts w:ascii="宋体" w:hAnsi="宋体" w:eastAsia="宋体" w:cs="宋体"/>
          <w:color w:val="auto"/>
          <w:sz w:val="32"/>
        </w:rPr>
      </w:pPr>
      <w:r>
        <w:rPr>
          <w:rFonts w:ascii="宋体" w:hAnsi="宋体" w:eastAsia="宋体" w:cs="宋体"/>
          <w:color w:val="auto"/>
          <w:sz w:val="32"/>
        </w:rPr>
        <w:br w:type="page"/>
      </w:r>
      <w:bookmarkStart w:id="22" w:name="_Toc8319"/>
      <w:r>
        <w:rPr>
          <w:rFonts w:ascii="宋体" w:hAnsi="宋体" w:eastAsia="宋体" w:cs="宋体"/>
          <w:color w:val="auto"/>
          <w:sz w:val="32"/>
        </w:rPr>
        <w:t xml:space="preserve">0 </w:t>
      </w:r>
      <w:r>
        <w:rPr>
          <w:rFonts w:hint="eastAsia" w:ascii="宋体" w:hAnsi="宋体" w:eastAsia="宋体" w:cs="宋体"/>
          <w:color w:val="auto"/>
          <w:sz w:val="32"/>
        </w:rPr>
        <w:t>评审索引表</w:t>
      </w:r>
      <w:bookmarkEnd w:id="22"/>
    </w:p>
    <w:p>
      <w:pPr>
        <w:pStyle w:val="5"/>
        <w:rPr>
          <w:rFonts w:ascii="宋体" w:hAnsi="宋体" w:cs="宋体"/>
          <w:color w:val="auto"/>
        </w:rPr>
      </w:pPr>
    </w:p>
    <w:p>
      <w:pPr>
        <w:pStyle w:val="5"/>
        <w:spacing w:line="360" w:lineRule="auto"/>
        <w:rPr>
          <w:rFonts w:ascii="宋体" w:hAnsi="宋体" w:cs="宋体"/>
          <w:color w:val="auto"/>
          <w:sz w:val="21"/>
          <w:szCs w:val="21"/>
        </w:rPr>
      </w:pPr>
      <w:r>
        <w:rPr>
          <w:rFonts w:hint="eastAsia" w:ascii="宋体" w:hAnsi="宋体" w:cs="宋体"/>
          <w:color w:val="auto"/>
          <w:sz w:val="21"/>
          <w:szCs w:val="21"/>
        </w:rPr>
        <w:t>注：投标人注意，请对照评标办法按照如下格式（投标人可扩展）提供评审资料索引表，放在相应的标书目录前面。投标人如果不提供，不作为否决条件，但有可能影响评委查阅相关资料。（投标文件所在页码可以用单页或多个区间表示，并注明所在的投标文件类型，如技术标、经济标）。下面提供的表格仅供投标人参考，具体评审内容，请以评标办法所附的各表格为准。</w:t>
      </w:r>
    </w:p>
    <w:p>
      <w:pPr>
        <w:pStyle w:val="5"/>
        <w:rPr>
          <w:rFonts w:ascii="宋体" w:hAnsi="宋体" w:cs="宋体"/>
          <w:color w:val="auto"/>
        </w:rPr>
      </w:pPr>
    </w:p>
    <w:p>
      <w:pPr>
        <w:pStyle w:val="4"/>
        <w:keepNext w:val="0"/>
        <w:keepLines w:val="0"/>
        <w:spacing w:before="0" w:after="0"/>
        <w:jc w:val="center"/>
        <w:rPr>
          <w:rFonts w:ascii="宋体" w:hAnsi="宋体" w:eastAsia="宋体" w:cs="宋体"/>
          <w:color w:val="auto"/>
          <w:sz w:val="30"/>
          <w:szCs w:val="30"/>
        </w:rPr>
      </w:pPr>
      <w:bookmarkStart w:id="23" w:name="_Toc16459"/>
      <w:bookmarkStart w:id="24" w:name="_Toc7978814"/>
      <w:bookmarkStart w:id="25" w:name="_Toc535521395"/>
      <w:r>
        <w:rPr>
          <w:rFonts w:ascii="宋体" w:hAnsi="宋体" w:eastAsia="宋体" w:cs="宋体"/>
          <w:color w:val="auto"/>
          <w:sz w:val="30"/>
          <w:szCs w:val="30"/>
        </w:rPr>
        <w:t>0-1资格审查评审索引表</w:t>
      </w:r>
      <w:bookmarkEnd w:id="23"/>
      <w:bookmarkEnd w:id="24"/>
      <w:bookmarkEnd w:id="25"/>
    </w:p>
    <w:tbl>
      <w:tblPr>
        <w:tblStyle w:val="28"/>
        <w:tblW w:w="5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33"/>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 w:hRule="atLeast"/>
          <w:tblHeader/>
          <w:jc w:val="center"/>
        </w:trPr>
        <w:tc>
          <w:tcPr>
            <w:tcW w:w="96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833"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3158"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p>
        </w:tc>
        <w:tc>
          <w:tcPr>
            <w:tcW w:w="315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p>
        </w:tc>
        <w:tc>
          <w:tcPr>
            <w:tcW w:w="315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Cs w:val="21"/>
              </w:rPr>
            </w:pPr>
            <w:r>
              <w:rPr>
                <w:rFonts w:ascii="宋体" w:hAnsi="宋体" w:cs="宋体"/>
                <w:color w:val="auto"/>
                <w:szCs w:val="21"/>
              </w:rPr>
              <w:t>......</w:t>
            </w:r>
          </w:p>
        </w:tc>
        <w:tc>
          <w:tcPr>
            <w:tcW w:w="315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pStyle w:val="5"/>
        <w:spacing w:line="360" w:lineRule="auto"/>
        <w:rPr>
          <w:rFonts w:ascii="宋体" w:hAnsi="宋体" w:cs="宋体"/>
          <w:color w:val="auto"/>
          <w:sz w:val="21"/>
          <w:szCs w:val="21"/>
        </w:rPr>
      </w:pPr>
      <w:bookmarkStart w:id="26" w:name="_Toc535521396"/>
      <w:bookmarkStart w:id="27" w:name="_Toc525063274"/>
    </w:p>
    <w:p>
      <w:pPr>
        <w:spacing w:line="416" w:lineRule="auto"/>
        <w:rPr>
          <w:rFonts w:ascii="宋体" w:hAnsi="宋体" w:cs="宋体"/>
          <w:color w:val="auto"/>
          <w:sz w:val="30"/>
          <w:szCs w:val="30"/>
        </w:rPr>
      </w:pPr>
    </w:p>
    <w:p>
      <w:pPr>
        <w:pStyle w:val="4"/>
        <w:keepNext w:val="0"/>
        <w:keepLines w:val="0"/>
        <w:spacing w:before="0" w:after="0"/>
        <w:jc w:val="center"/>
        <w:rPr>
          <w:rFonts w:ascii="宋体" w:hAnsi="宋体" w:eastAsia="宋体" w:cs="宋体"/>
          <w:color w:val="auto"/>
          <w:sz w:val="30"/>
          <w:szCs w:val="30"/>
        </w:rPr>
      </w:pPr>
      <w:bookmarkStart w:id="28" w:name="_Toc6269"/>
      <w:bookmarkStart w:id="29" w:name="_Toc7978815"/>
      <w:r>
        <w:rPr>
          <w:rFonts w:ascii="宋体" w:hAnsi="宋体" w:eastAsia="宋体" w:cs="宋体"/>
          <w:color w:val="auto"/>
          <w:sz w:val="30"/>
          <w:szCs w:val="30"/>
        </w:rPr>
        <w:t>0-2技术标有效性审查评审索引表</w:t>
      </w:r>
      <w:bookmarkEnd w:id="26"/>
      <w:bookmarkEnd w:id="27"/>
      <w:bookmarkEnd w:id="28"/>
      <w:bookmarkEnd w:id="29"/>
    </w:p>
    <w:p>
      <w:pPr>
        <w:pStyle w:val="5"/>
        <w:rPr>
          <w:rFonts w:ascii="宋体" w:hAnsi="宋体" w:cs="宋体"/>
          <w:color w:val="auto"/>
        </w:rPr>
      </w:pPr>
    </w:p>
    <w:tbl>
      <w:tblPr>
        <w:tblStyle w:val="28"/>
        <w:tblW w:w="56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812"/>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71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812"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3168"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4</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5</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6</w:t>
            </w:r>
          </w:p>
        </w:tc>
        <w:tc>
          <w:tcPr>
            <w:tcW w:w="1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ascii="宋体" w:hAnsi="宋体" w:cs="宋体"/>
                <w:color w:val="auto"/>
                <w:sz w:val="24"/>
              </w:rPr>
              <w:t>......</w:t>
            </w:r>
          </w:p>
        </w:tc>
        <w:tc>
          <w:tcPr>
            <w:tcW w:w="3168"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spacing w:line="416" w:lineRule="auto"/>
        <w:rPr>
          <w:rFonts w:ascii="宋体" w:hAnsi="宋体" w:cs="宋体"/>
          <w:color w:val="auto"/>
        </w:rPr>
      </w:pPr>
    </w:p>
    <w:p>
      <w:pPr>
        <w:pStyle w:val="5"/>
        <w:rPr>
          <w:rFonts w:ascii="宋体" w:hAnsi="宋体" w:cs="宋体"/>
          <w:color w:val="auto"/>
        </w:rPr>
      </w:pPr>
    </w:p>
    <w:p>
      <w:pPr>
        <w:spacing w:line="416" w:lineRule="auto"/>
        <w:jc w:val="center"/>
        <w:rPr>
          <w:rFonts w:ascii="宋体" w:hAnsi="宋体" w:cs="宋体"/>
          <w:color w:val="auto"/>
          <w:sz w:val="30"/>
          <w:szCs w:val="30"/>
        </w:rPr>
      </w:pPr>
      <w:bookmarkStart w:id="30" w:name="_Toc5274"/>
    </w:p>
    <w:p>
      <w:pPr>
        <w:spacing w:line="416" w:lineRule="auto"/>
        <w:jc w:val="center"/>
        <w:rPr>
          <w:rFonts w:ascii="宋体" w:hAnsi="宋体" w:cs="宋体"/>
          <w:color w:val="auto"/>
          <w:sz w:val="30"/>
          <w:szCs w:val="30"/>
        </w:rPr>
      </w:pPr>
    </w:p>
    <w:p>
      <w:pPr>
        <w:pStyle w:val="4"/>
        <w:keepNext w:val="0"/>
        <w:keepLines w:val="0"/>
        <w:spacing w:before="0" w:after="0"/>
        <w:jc w:val="center"/>
        <w:rPr>
          <w:rFonts w:ascii="宋体" w:hAnsi="宋体" w:eastAsia="宋体" w:cs="宋体"/>
          <w:color w:val="auto"/>
          <w:sz w:val="30"/>
          <w:szCs w:val="30"/>
        </w:rPr>
      </w:pPr>
      <w:r>
        <w:rPr>
          <w:rFonts w:ascii="宋体" w:hAnsi="宋体" w:eastAsia="宋体" w:cs="宋体"/>
          <w:color w:val="auto"/>
          <w:sz w:val="30"/>
          <w:szCs w:val="30"/>
        </w:rPr>
        <w:t>0-3经济标有效性审查评审索引表</w:t>
      </w:r>
      <w:bookmarkEnd w:id="30"/>
    </w:p>
    <w:tbl>
      <w:tblPr>
        <w:tblStyle w:val="28"/>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5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971"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553"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231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4</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5</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6</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ascii="宋体" w:hAnsi="宋体" w:cs="宋体"/>
                <w:color w:val="auto"/>
                <w:sz w:val="24"/>
              </w:rPr>
              <w:t>......</w:t>
            </w: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pStyle w:val="5"/>
        <w:rPr>
          <w:rFonts w:ascii="宋体" w:hAnsi="宋体" w:cs="宋体"/>
          <w:color w:val="auto"/>
        </w:rPr>
      </w:pPr>
    </w:p>
    <w:p>
      <w:pPr>
        <w:pStyle w:val="5"/>
        <w:rPr>
          <w:rFonts w:ascii="宋体" w:hAnsi="宋体" w:cs="宋体"/>
          <w:color w:val="auto"/>
        </w:rPr>
      </w:pPr>
    </w:p>
    <w:p>
      <w:pPr>
        <w:pStyle w:val="5"/>
        <w:rPr>
          <w:rFonts w:ascii="宋体" w:hAnsi="宋体" w:cs="宋体"/>
          <w:color w:val="auto"/>
        </w:rPr>
      </w:pPr>
    </w:p>
    <w:p>
      <w:pPr>
        <w:spacing w:line="416" w:lineRule="auto"/>
        <w:rPr>
          <w:rFonts w:ascii="宋体" w:hAnsi="宋体" w:cs="宋体"/>
          <w:color w:val="auto"/>
          <w:sz w:val="30"/>
          <w:szCs w:val="30"/>
        </w:rPr>
      </w:pPr>
      <w:bookmarkStart w:id="31" w:name="_Toc7978816"/>
    </w:p>
    <w:p>
      <w:pPr>
        <w:pStyle w:val="4"/>
        <w:keepNext w:val="0"/>
        <w:keepLines w:val="0"/>
        <w:spacing w:before="0" w:after="0"/>
        <w:jc w:val="center"/>
        <w:rPr>
          <w:rFonts w:ascii="宋体" w:hAnsi="宋体" w:eastAsia="宋体" w:cs="宋体"/>
          <w:color w:val="auto"/>
          <w:sz w:val="30"/>
          <w:szCs w:val="30"/>
        </w:rPr>
      </w:pPr>
      <w:bookmarkStart w:id="32" w:name="_Toc20441"/>
      <w:r>
        <w:rPr>
          <w:rFonts w:ascii="宋体" w:hAnsi="宋体" w:eastAsia="宋体" w:cs="宋体"/>
          <w:color w:val="auto"/>
          <w:sz w:val="30"/>
          <w:szCs w:val="30"/>
        </w:rPr>
        <w:t>0-4技术标详细审查评审索引表</w:t>
      </w:r>
      <w:bookmarkEnd w:id="31"/>
      <w:bookmarkEnd w:id="32"/>
    </w:p>
    <w:tbl>
      <w:tblPr>
        <w:tblStyle w:val="28"/>
        <w:tblW w:w="4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55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971"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序号</w:t>
            </w:r>
          </w:p>
        </w:tc>
        <w:tc>
          <w:tcPr>
            <w:tcW w:w="1553"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color w:val="auto"/>
                <w:sz w:val="21"/>
                <w:szCs w:val="21"/>
              </w:rPr>
              <w:t>评审因素</w:t>
            </w:r>
          </w:p>
        </w:tc>
        <w:tc>
          <w:tcPr>
            <w:tcW w:w="2319" w:type="dxa"/>
            <w:tcBorders>
              <w:top w:val="single" w:color="auto" w:sz="4" w:space="0"/>
              <w:left w:val="single" w:color="auto" w:sz="4" w:space="0"/>
              <w:bottom w:val="single" w:color="auto" w:sz="4" w:space="0"/>
              <w:right w:val="single" w:color="auto" w:sz="4" w:space="0"/>
            </w:tcBorders>
            <w:shd w:val="clear" w:color="auto" w:fill="FDE9D9"/>
            <w:vAlign w:val="center"/>
          </w:tcPr>
          <w:p>
            <w:pPr>
              <w:pStyle w:val="40"/>
              <w:keepNext w:val="0"/>
              <w:adjustRightInd/>
              <w:spacing w:before="0" w:after="0" w:line="240" w:lineRule="auto"/>
              <w:rPr>
                <w:rFonts w:ascii="宋体" w:hAnsi="宋体" w:cs="宋体"/>
                <w:b/>
                <w:bCs/>
                <w:color w:val="auto"/>
                <w:spacing w:val="0"/>
                <w:kern w:val="2"/>
                <w:sz w:val="21"/>
                <w:szCs w:val="21"/>
              </w:rPr>
            </w:pPr>
            <w:r>
              <w:rPr>
                <w:rFonts w:hint="eastAsia" w:ascii="宋体" w:hAnsi="宋体" w:cs="宋体"/>
                <w:b/>
                <w:bCs/>
                <w:color w:val="auto"/>
                <w:spacing w:val="0"/>
                <w:kern w:val="2"/>
                <w:sz w:val="21"/>
                <w:szCs w:val="21"/>
              </w:rPr>
              <w:t>投标文件所在页码数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1</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宋体" w:hAnsi="宋体" w:cs="宋体"/>
                <w:color w:val="auto"/>
                <w:szCs w:val="21"/>
              </w:rPr>
            </w:pPr>
            <w:r>
              <w:rPr>
                <w:rFonts w:ascii="宋体" w:hAnsi="宋体" w:cs="宋体"/>
                <w:color w:val="auto"/>
                <w:szCs w:val="21"/>
              </w:rPr>
              <w:t>2</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rPr>
            </w:pPr>
            <w:r>
              <w:rPr>
                <w:rFonts w:ascii="宋体" w:hAnsi="宋体" w:cs="宋体"/>
                <w:color w:val="auto"/>
                <w:szCs w:val="21"/>
              </w:rPr>
              <w:t>3</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4</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5</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lang w:val="en-GB"/>
              </w:rPr>
            </w:pPr>
            <w:r>
              <w:rPr>
                <w:rFonts w:ascii="宋体" w:hAnsi="宋体" w:cs="宋体"/>
                <w:color w:val="auto"/>
                <w:szCs w:val="21"/>
                <w:lang w:val="en-GB"/>
              </w:rPr>
              <w:t>6</w:t>
            </w:r>
          </w:p>
        </w:tc>
        <w:tc>
          <w:tcPr>
            <w:tcW w:w="1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z w:val="24"/>
              </w:rPr>
            </w:pPr>
            <w:r>
              <w:rPr>
                <w:rFonts w:ascii="宋体" w:hAnsi="宋体" w:cs="宋体"/>
                <w:color w:val="auto"/>
                <w:sz w:val="24"/>
              </w:rPr>
              <w:t>......</w:t>
            </w:r>
          </w:p>
        </w:tc>
        <w:tc>
          <w:tcPr>
            <w:tcW w:w="2319" w:type="dxa"/>
            <w:tcBorders>
              <w:top w:val="single" w:color="auto" w:sz="4" w:space="0"/>
              <w:left w:val="single" w:color="auto" w:sz="4" w:space="0"/>
              <w:bottom w:val="single" w:color="auto" w:sz="4" w:space="0"/>
              <w:right w:val="single" w:color="auto" w:sz="4" w:space="0"/>
            </w:tcBorders>
            <w:vAlign w:val="center"/>
          </w:tcPr>
          <w:p>
            <w:pPr>
              <w:pStyle w:val="19"/>
              <w:jc w:val="center"/>
              <w:rPr>
                <w:rFonts w:ascii="宋体" w:hAnsi="宋体" w:cs="宋体"/>
                <w:color w:val="auto"/>
                <w:szCs w:val="21"/>
              </w:rPr>
            </w:pPr>
            <w:r>
              <w:rPr>
                <w:rFonts w:hint="eastAsia" w:ascii="宋体" w:hAnsi="宋体" w:cs="宋体"/>
                <w:color w:val="auto"/>
                <w:szCs w:val="21"/>
              </w:rPr>
              <w:t>见</w:t>
            </w:r>
            <w:r>
              <w:rPr>
                <w:rFonts w:ascii="宋体" w:hAnsi="宋体" w:cs="宋体"/>
                <w:color w:val="auto"/>
                <w:szCs w:val="21"/>
                <w:u w:val="single"/>
              </w:rPr>
              <w:t xml:space="preserve">   </w:t>
            </w:r>
            <w:r>
              <w:rPr>
                <w:rFonts w:hint="eastAsia" w:ascii="宋体" w:hAnsi="宋体" w:cs="宋体"/>
                <w:color w:val="auto"/>
                <w:szCs w:val="21"/>
              </w:rPr>
              <w:t>标第（</w:t>
            </w:r>
            <w:r>
              <w:rPr>
                <w:rFonts w:ascii="宋体" w:hAnsi="宋体" w:cs="宋体"/>
                <w:color w:val="auto"/>
                <w:szCs w:val="21"/>
              </w:rPr>
              <w:t xml:space="preserve">  </w:t>
            </w:r>
            <w:r>
              <w:rPr>
                <w:rFonts w:hint="eastAsia" w:ascii="宋体" w:hAnsi="宋体" w:cs="宋体"/>
                <w:color w:val="auto"/>
                <w:szCs w:val="21"/>
              </w:rPr>
              <w:t>）页</w:t>
            </w:r>
          </w:p>
        </w:tc>
      </w:tr>
    </w:tbl>
    <w:p>
      <w:pPr>
        <w:spacing w:line="416" w:lineRule="auto"/>
        <w:rPr>
          <w:rFonts w:ascii="宋体" w:hAnsi="宋体" w:cs="宋体"/>
          <w:color w:val="auto"/>
        </w:rPr>
      </w:pPr>
    </w:p>
    <w:p>
      <w:pPr>
        <w:pStyle w:val="5"/>
        <w:rPr>
          <w:rFonts w:ascii="宋体" w:hAnsi="宋体" w:cs="宋体"/>
          <w:color w:val="auto"/>
        </w:rPr>
      </w:pPr>
    </w:p>
    <w:p>
      <w:pPr>
        <w:pStyle w:val="5"/>
        <w:rPr>
          <w:rFonts w:ascii="宋体" w:hAnsi="宋体" w:cs="宋体"/>
          <w:color w:val="auto"/>
        </w:rPr>
      </w:pPr>
    </w:p>
    <w:p>
      <w:pPr>
        <w:spacing w:line="416" w:lineRule="auto"/>
        <w:rPr>
          <w:rFonts w:ascii="宋体" w:hAnsi="宋体" w:cs="宋体"/>
          <w:color w:val="auto"/>
        </w:rPr>
      </w:pPr>
    </w:p>
    <w:p>
      <w:pPr>
        <w:pStyle w:val="5"/>
        <w:rPr>
          <w:rFonts w:ascii="宋体" w:hAnsi="宋体" w:cs="宋体"/>
          <w:color w:val="auto"/>
        </w:rPr>
        <w:sectPr>
          <w:pgSz w:w="12240" w:h="15840"/>
          <w:pgMar w:top="1440" w:right="1425" w:bottom="1440" w:left="1800" w:header="720" w:footer="720" w:gutter="0"/>
          <w:cols w:space="720" w:num="1"/>
          <w:docGrid w:linePitch="286" w:charSpace="0"/>
        </w:sectPr>
      </w:pPr>
    </w:p>
    <w:p>
      <w:pPr>
        <w:keepNext/>
        <w:keepLines/>
        <w:spacing w:before="240" w:after="240" w:line="416" w:lineRule="auto"/>
        <w:outlineLvl w:val="1"/>
        <w:rPr>
          <w:rFonts w:ascii="宋体" w:hAnsi="宋体" w:cs="宋体"/>
          <w:b/>
          <w:bCs/>
          <w:color w:val="auto"/>
          <w:sz w:val="30"/>
          <w:szCs w:val="30"/>
        </w:rPr>
      </w:pPr>
      <w:bookmarkStart w:id="33" w:name="_Toc5708"/>
      <w:bookmarkStart w:id="34" w:name="_Toc377719911"/>
      <w:r>
        <w:rPr>
          <w:rFonts w:ascii="宋体" w:hAnsi="宋体" w:cs="宋体"/>
          <w:b/>
          <w:bCs/>
          <w:color w:val="auto"/>
          <w:sz w:val="30"/>
          <w:szCs w:val="30"/>
        </w:rPr>
        <w:t xml:space="preserve">1  </w:t>
      </w:r>
      <w:r>
        <w:rPr>
          <w:rFonts w:hint="eastAsia" w:ascii="宋体" w:hAnsi="宋体" w:cs="宋体"/>
          <w:b/>
          <w:bCs/>
          <w:color w:val="auto"/>
          <w:sz w:val="30"/>
          <w:szCs w:val="30"/>
        </w:rPr>
        <w:t>投标函格式</w:t>
      </w:r>
      <w:bookmarkEnd w:id="33"/>
      <w:bookmarkEnd w:id="34"/>
    </w:p>
    <w:p>
      <w:pPr>
        <w:spacing w:line="400" w:lineRule="exact"/>
        <w:jc w:val="center"/>
        <w:rPr>
          <w:rFonts w:ascii="宋体" w:hAnsi="宋体" w:cs="宋体"/>
          <w:color w:val="auto"/>
          <w:sz w:val="30"/>
          <w:szCs w:val="30"/>
        </w:rPr>
      </w:pPr>
      <w:r>
        <w:rPr>
          <w:rFonts w:hint="eastAsia" w:ascii="宋体" w:hAnsi="宋体" w:cs="宋体"/>
          <w:b/>
          <w:color w:val="auto"/>
          <w:sz w:val="30"/>
          <w:szCs w:val="30"/>
        </w:rPr>
        <w:t>投</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函</w:t>
      </w:r>
      <w:r>
        <w:rPr>
          <w:rFonts w:ascii="宋体" w:hAnsi="宋体" w:cs="宋体"/>
          <w:color w:val="auto"/>
          <w:sz w:val="30"/>
          <w:szCs w:val="30"/>
        </w:rPr>
        <w:t xml:space="preserve"> （技术标）</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r>
        <w:rPr>
          <w:rFonts w:hint="eastAsia" w:ascii="宋体" w:hAnsi="宋体" w:cs="宋体"/>
          <w:color w:val="auto"/>
          <w:szCs w:val="21"/>
        </w:rPr>
        <w:t>项目名称：</w:t>
      </w:r>
      <w:r>
        <w:rPr>
          <w:rFonts w:ascii="宋体" w:hAnsi="宋体" w:cs="宋体"/>
          <w:color w:val="auto"/>
          <w:szCs w:val="21"/>
        </w:rPr>
        <w:t xml:space="preserve"> </w:t>
      </w:r>
    </w:p>
    <w:p>
      <w:pPr>
        <w:spacing w:line="400" w:lineRule="exact"/>
        <w:jc w:val="left"/>
        <w:rPr>
          <w:rFonts w:ascii="宋体" w:hAnsi="宋体" w:cs="宋体"/>
          <w:color w:val="auto"/>
          <w:szCs w:val="21"/>
        </w:rPr>
      </w:pPr>
      <w:r>
        <w:rPr>
          <w:rFonts w:hint="eastAsia" w:ascii="宋体" w:hAnsi="宋体" w:cs="宋体"/>
          <w:color w:val="auto"/>
          <w:szCs w:val="21"/>
        </w:rPr>
        <w:t>东莞市轨道一号线建设发展有限公司：</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经考察现场和研究上述工程检测技术要求、合同条款、规范、工程量清单和其他有关文件后，我方愿以我们在经济标中的报价的总价或按上述合同条件确定的一个总价和上述技术要求、合同条款、规范和工程量清单的条件承包上述检测工作。</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一旦我方中标，我方保证根据招标文件的规定，完成合同的责任和义务。</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(3). </w:t>
      </w:r>
      <w:r>
        <w:rPr>
          <w:rFonts w:hint="eastAsia" w:ascii="宋体" w:hAnsi="宋体" w:cs="宋体"/>
          <w:color w:val="auto"/>
          <w:szCs w:val="21"/>
        </w:rPr>
        <w:t>如果我方中标，我方将按照合同条款的规定提交上述总价的</w:t>
      </w:r>
      <w:r>
        <w:rPr>
          <w:rFonts w:ascii="宋体" w:hAnsi="宋体" w:cs="宋体"/>
          <w:color w:val="auto"/>
          <w:szCs w:val="21"/>
        </w:rPr>
        <w:t>10％的履约</w:t>
      </w:r>
      <w:r>
        <w:rPr>
          <w:rFonts w:hint="eastAsia" w:ascii="宋体" w:hAnsi="宋体" w:cs="宋体"/>
          <w:color w:val="auto"/>
          <w:szCs w:val="21"/>
        </w:rPr>
        <w:t>担保。</w:t>
      </w:r>
      <w:r>
        <w:rPr>
          <w:rFonts w:ascii="宋体" w:hAnsi="宋体" w:cs="宋体"/>
          <w:color w:val="auto"/>
          <w:szCs w:val="21"/>
        </w:rPr>
        <w:t xml:space="preserve"> </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(4). </w:t>
      </w:r>
      <w:r>
        <w:rPr>
          <w:rFonts w:hint="eastAsia" w:ascii="宋体" w:hAnsi="宋体" w:cs="宋体"/>
          <w:color w:val="auto"/>
          <w:szCs w:val="21"/>
        </w:rPr>
        <w:t>我单位同意在规定的标书递交截止期限起</w:t>
      </w:r>
      <w:r>
        <w:rPr>
          <w:rFonts w:ascii="宋体" w:hAnsi="宋体" w:cs="宋体"/>
          <w:color w:val="auto"/>
          <w:szCs w:val="21"/>
          <w:u w:val="single"/>
        </w:rPr>
        <w:t xml:space="preserve"> 180 </w:t>
      </w:r>
      <w:r>
        <w:rPr>
          <w:rFonts w:hint="eastAsia" w:ascii="宋体" w:hAnsi="宋体" w:cs="宋体"/>
          <w:color w:val="auto"/>
          <w:szCs w:val="21"/>
        </w:rPr>
        <w:t>天内遵守本投标。在该期限满期之前，本投标书对我单位始终具有约束力，并可随时被接受。</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(5). </w:t>
      </w:r>
      <w:r>
        <w:rPr>
          <w:rFonts w:hint="eastAsia" w:ascii="宋体" w:hAnsi="宋体" w:cs="宋体"/>
          <w:color w:val="auto"/>
          <w:szCs w:val="21"/>
        </w:rPr>
        <w:t>在正式签订合同协议书之前，本投标书连同贵方的中标通知书应成为约束贵、我双方的合同文件。</w:t>
      </w:r>
    </w:p>
    <w:p>
      <w:pPr>
        <w:spacing w:line="400" w:lineRule="exact"/>
        <w:ind w:firstLine="424" w:firstLineChars="202"/>
        <w:jc w:val="left"/>
        <w:rPr>
          <w:rFonts w:ascii="宋体" w:hAnsi="宋体" w:cs="宋体"/>
          <w:color w:val="auto"/>
          <w:szCs w:val="21"/>
        </w:rPr>
      </w:pPr>
      <w:r>
        <w:rPr>
          <w:rFonts w:ascii="宋体" w:hAnsi="宋体" w:cs="宋体"/>
          <w:color w:val="auto"/>
          <w:szCs w:val="21"/>
        </w:rPr>
        <w:t>(6)．我方理解，贵方不一定接受最低标价的投标或可能接受其他任何投标；同时也理解，贵方不负担我单位的任何投标费用。</w:t>
      </w:r>
    </w:p>
    <w:p>
      <w:pPr>
        <w:spacing w:line="400" w:lineRule="exact"/>
        <w:ind w:firstLine="424" w:firstLineChars="202"/>
        <w:jc w:val="left"/>
        <w:rPr>
          <w:rFonts w:ascii="宋体" w:hAnsi="宋体" w:cs="宋体"/>
          <w:color w:val="auto"/>
          <w:szCs w:val="21"/>
        </w:rPr>
      </w:pPr>
      <w:r>
        <w:rPr>
          <w:rFonts w:ascii="宋体" w:hAnsi="宋体" w:cs="宋体"/>
          <w:color w:val="auto"/>
          <w:szCs w:val="21"/>
        </w:rPr>
        <w:t>(7).我方的金额为</w:t>
      </w:r>
      <w:r>
        <w:rPr>
          <w:rFonts w:hint="eastAsia" w:ascii="宋体" w:hAnsi="宋体" w:cs="宋体"/>
          <w:color w:val="auto"/>
          <w:szCs w:val="21"/>
        </w:rPr>
        <w:t>人民币</w:t>
      </w:r>
      <w:r>
        <w:rPr>
          <w:rFonts w:ascii="宋体" w:hAnsi="宋体" w:cs="宋体"/>
          <w:color w:val="auto"/>
          <w:szCs w:val="21"/>
          <w:u w:val="single"/>
        </w:rPr>
        <w:t xml:space="preserve"> 10 </w:t>
      </w:r>
      <w:r>
        <w:rPr>
          <w:rFonts w:hint="eastAsia" w:ascii="宋体" w:hAnsi="宋体" w:cs="宋体"/>
          <w:color w:val="auto"/>
          <w:szCs w:val="21"/>
        </w:rPr>
        <w:t>万元的投标保证金与本投标书同时递交。</w:t>
      </w:r>
    </w:p>
    <w:p>
      <w:pPr>
        <w:spacing w:line="400" w:lineRule="exact"/>
        <w:jc w:val="left"/>
        <w:rPr>
          <w:rFonts w:ascii="宋体" w:hAnsi="宋体" w:cs="宋体"/>
          <w:color w:val="auto"/>
          <w:szCs w:val="21"/>
        </w:rPr>
      </w:pP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   </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法定代表人或授权代表：</w:t>
      </w:r>
      <w:r>
        <w:rPr>
          <w:rFonts w:ascii="宋体" w:hAnsi="宋体" w:cs="宋体"/>
          <w:color w:val="auto"/>
          <w:szCs w:val="21"/>
          <w:u w:val="single"/>
        </w:rPr>
        <w:t xml:space="preserve"> （签字或盖章） </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地址</w:t>
      </w:r>
      <w:r>
        <w:rPr>
          <w:rFonts w:ascii="宋体" w:hAnsi="宋体" w:cs="宋体"/>
          <w:color w:val="auto"/>
          <w:szCs w:val="21"/>
        </w:rPr>
        <w:t>/电话/传真号码：</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银行帐号（包括开户行地址、电话、传真等）：</w:t>
      </w:r>
    </w:p>
    <w:p>
      <w:pPr>
        <w:spacing w:line="276" w:lineRule="auto"/>
        <w:ind w:firstLine="2337" w:firstLineChars="1113"/>
        <w:jc w:val="left"/>
        <w:rPr>
          <w:rFonts w:ascii="宋体" w:hAnsi="宋体" w:cs="宋体"/>
          <w:color w:val="auto"/>
          <w:szCs w:val="21"/>
        </w:rPr>
      </w:pP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400" w:lineRule="exact"/>
        <w:jc w:val="left"/>
        <w:rPr>
          <w:rFonts w:ascii="宋体" w:hAnsi="宋体" w:cs="宋体"/>
          <w:color w:val="auto"/>
          <w:szCs w:val="21"/>
        </w:rPr>
      </w:pPr>
      <w:r>
        <w:rPr>
          <w:rFonts w:ascii="宋体" w:hAnsi="宋体" w:cs="宋体"/>
          <w:color w:val="auto"/>
          <w:szCs w:val="21"/>
        </w:rPr>
        <w:t xml:space="preserve"> </w:t>
      </w:r>
    </w:p>
    <w:p>
      <w:pPr>
        <w:spacing w:line="400" w:lineRule="exact"/>
        <w:jc w:val="left"/>
        <w:rPr>
          <w:rFonts w:ascii="宋体" w:hAnsi="宋体" w:cs="宋体"/>
          <w:color w:val="auto"/>
          <w:szCs w:val="21"/>
        </w:rPr>
      </w:pPr>
    </w:p>
    <w:p>
      <w:pPr>
        <w:spacing w:line="400" w:lineRule="exact"/>
        <w:jc w:val="center"/>
        <w:rPr>
          <w:rFonts w:ascii="宋体" w:hAnsi="宋体" w:cs="宋体"/>
          <w:color w:val="auto"/>
          <w:sz w:val="30"/>
          <w:szCs w:val="30"/>
        </w:rPr>
      </w:pPr>
      <w:r>
        <w:rPr>
          <w:rFonts w:ascii="宋体" w:hAnsi="宋体" w:cs="宋体"/>
          <w:color w:val="auto"/>
          <w:szCs w:val="21"/>
        </w:rPr>
        <w:br w:type="page"/>
      </w:r>
      <w:r>
        <w:rPr>
          <w:rFonts w:hint="eastAsia" w:ascii="宋体" w:hAnsi="宋体" w:cs="宋体"/>
          <w:b/>
          <w:color w:val="auto"/>
          <w:sz w:val="30"/>
          <w:szCs w:val="30"/>
        </w:rPr>
        <w:t>投</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函</w:t>
      </w:r>
      <w:r>
        <w:rPr>
          <w:rFonts w:hint="eastAsia" w:ascii="宋体" w:hAnsi="宋体" w:cs="宋体"/>
          <w:color w:val="auto"/>
          <w:sz w:val="30"/>
          <w:szCs w:val="30"/>
        </w:rPr>
        <w:t>（经济标）</w:t>
      </w:r>
    </w:p>
    <w:p>
      <w:pPr>
        <w:spacing w:line="400" w:lineRule="exact"/>
        <w:jc w:val="left"/>
        <w:rPr>
          <w:rFonts w:ascii="宋体" w:hAnsi="宋体" w:cs="宋体"/>
          <w:color w:val="auto"/>
          <w:sz w:val="30"/>
          <w:szCs w:val="30"/>
        </w:rPr>
      </w:pPr>
    </w:p>
    <w:p>
      <w:pPr>
        <w:spacing w:line="400" w:lineRule="exact"/>
        <w:jc w:val="left"/>
        <w:rPr>
          <w:rFonts w:ascii="宋体" w:hAnsi="宋体" w:cs="宋体"/>
          <w:color w:val="auto"/>
          <w:szCs w:val="21"/>
        </w:rPr>
      </w:pPr>
      <w:r>
        <w:rPr>
          <w:rFonts w:hint="eastAsia" w:ascii="宋体" w:hAnsi="宋体" w:cs="宋体"/>
          <w:color w:val="auto"/>
          <w:szCs w:val="21"/>
        </w:rPr>
        <w:t>项目名称：</w:t>
      </w:r>
      <w:r>
        <w:rPr>
          <w:rFonts w:ascii="宋体" w:hAnsi="宋体" w:cs="宋体"/>
          <w:color w:val="auto"/>
          <w:szCs w:val="21"/>
        </w:rPr>
        <w:t xml:space="preserve"> </w:t>
      </w:r>
    </w:p>
    <w:p>
      <w:pPr>
        <w:spacing w:line="400" w:lineRule="exact"/>
        <w:jc w:val="left"/>
        <w:rPr>
          <w:rFonts w:ascii="宋体" w:hAnsi="宋体" w:cs="宋体"/>
          <w:color w:val="auto"/>
          <w:szCs w:val="21"/>
        </w:rPr>
      </w:pPr>
      <w:r>
        <w:rPr>
          <w:rFonts w:hint="eastAsia" w:ascii="宋体" w:hAnsi="宋体" w:cs="宋体"/>
          <w:color w:val="auto"/>
          <w:szCs w:val="21"/>
        </w:rPr>
        <w:t>东莞市轨道一号线建设发展有限公司：</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 </w:t>
      </w:r>
      <w:r>
        <w:rPr>
          <w:rFonts w:hint="eastAsia" w:ascii="宋体" w:hAnsi="宋体" w:cs="宋体"/>
          <w:color w:val="auto"/>
          <w:szCs w:val="21"/>
        </w:rPr>
        <w:t>经考察现场和研究上述工程检测技术要求、合同条款、规范、工程量清单和其他有关文件后，我方愿以人民币</w:t>
      </w:r>
      <w:r>
        <w:rPr>
          <w:rFonts w:ascii="宋体" w:hAnsi="宋体" w:cs="宋体"/>
          <w:color w:val="auto"/>
          <w:szCs w:val="21"/>
          <w:u w:val="single"/>
        </w:rPr>
        <w:t xml:space="preserve">       </w:t>
      </w:r>
      <w:r>
        <w:rPr>
          <w:rFonts w:hint="eastAsia" w:ascii="宋体" w:hAnsi="宋体" w:cs="宋体"/>
          <w:color w:val="auto"/>
          <w:szCs w:val="21"/>
        </w:rPr>
        <w:t>元（大写）的总价或按上述合同条件确定的一个总价和上述技术要求、合同条款、规范和工程量清单的条件承包上述检测工作。</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(2). </w:t>
      </w:r>
      <w:r>
        <w:rPr>
          <w:rFonts w:hint="eastAsia" w:ascii="宋体" w:hAnsi="宋体" w:cs="宋体"/>
          <w:color w:val="auto"/>
          <w:szCs w:val="21"/>
        </w:rPr>
        <w:t>一旦我方中标，我方保证根据招标文件的规定，完成合同的责任和义务。</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(3). </w:t>
      </w:r>
      <w:r>
        <w:rPr>
          <w:rFonts w:hint="eastAsia" w:ascii="宋体" w:hAnsi="宋体" w:cs="宋体"/>
          <w:color w:val="auto"/>
          <w:szCs w:val="21"/>
        </w:rPr>
        <w:t>如果我方中标，我方将按照合同条款的规定提交上述总价的</w:t>
      </w:r>
      <w:r>
        <w:rPr>
          <w:rFonts w:ascii="宋体" w:hAnsi="宋体" w:cs="宋体"/>
          <w:color w:val="auto"/>
          <w:szCs w:val="21"/>
        </w:rPr>
        <w:t xml:space="preserve"> 10 ％</w:t>
      </w:r>
      <w:r>
        <w:rPr>
          <w:rFonts w:hint="eastAsia" w:ascii="宋体" w:hAnsi="宋体" w:cs="宋体"/>
          <w:color w:val="auto"/>
          <w:szCs w:val="21"/>
        </w:rPr>
        <w:t>的履约担保。</w:t>
      </w:r>
      <w:r>
        <w:rPr>
          <w:rFonts w:ascii="宋体" w:hAnsi="宋体" w:cs="宋体"/>
          <w:color w:val="auto"/>
          <w:szCs w:val="21"/>
        </w:rPr>
        <w:t xml:space="preserve"> </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(4). </w:t>
      </w:r>
      <w:r>
        <w:rPr>
          <w:rFonts w:hint="eastAsia" w:ascii="宋体" w:hAnsi="宋体" w:cs="宋体"/>
          <w:color w:val="auto"/>
          <w:szCs w:val="21"/>
        </w:rPr>
        <w:t>我单位同意在规定的标书递交截止期限起</w:t>
      </w:r>
      <w:r>
        <w:rPr>
          <w:rFonts w:ascii="宋体" w:hAnsi="宋体" w:cs="宋体"/>
          <w:color w:val="auto"/>
          <w:szCs w:val="21"/>
          <w:u w:val="single"/>
        </w:rPr>
        <w:t xml:space="preserve"> 180 </w:t>
      </w:r>
      <w:r>
        <w:rPr>
          <w:rFonts w:hint="eastAsia" w:ascii="宋体" w:hAnsi="宋体" w:cs="宋体"/>
          <w:color w:val="auto"/>
          <w:szCs w:val="21"/>
        </w:rPr>
        <w:t>天内遵守本投标。在该期限满期之前，本投标书对我单位始终具有约束力，并可随时被接受。</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(5). </w:t>
      </w:r>
      <w:r>
        <w:rPr>
          <w:rFonts w:hint="eastAsia" w:ascii="宋体" w:hAnsi="宋体" w:cs="宋体"/>
          <w:color w:val="auto"/>
          <w:szCs w:val="21"/>
        </w:rPr>
        <w:t>在正式签订合同协议书之前，本投标书连同贵方的中标通知书应成为约束贵、我双方的合同文件。</w:t>
      </w:r>
    </w:p>
    <w:p>
      <w:pPr>
        <w:spacing w:line="400" w:lineRule="exact"/>
        <w:ind w:firstLine="424" w:firstLineChars="202"/>
        <w:jc w:val="left"/>
        <w:rPr>
          <w:rFonts w:ascii="宋体" w:hAnsi="宋体" w:cs="宋体"/>
          <w:color w:val="auto"/>
          <w:szCs w:val="21"/>
        </w:rPr>
      </w:pPr>
      <w:r>
        <w:rPr>
          <w:rFonts w:ascii="宋体" w:hAnsi="宋体" w:cs="宋体"/>
          <w:color w:val="auto"/>
          <w:szCs w:val="21"/>
        </w:rPr>
        <w:t>(6)．我单位理解，贵方不一定接受最低标价的投标或可能接受其他任何投标；同时也理解，贵方不负担我单位的任何投标费用。</w:t>
      </w:r>
    </w:p>
    <w:p>
      <w:pPr>
        <w:spacing w:line="400" w:lineRule="exact"/>
        <w:ind w:firstLine="424" w:firstLineChars="202"/>
        <w:jc w:val="left"/>
        <w:rPr>
          <w:rFonts w:ascii="宋体" w:hAnsi="宋体" w:cs="宋体"/>
          <w:color w:val="auto"/>
          <w:szCs w:val="21"/>
        </w:rPr>
      </w:pPr>
      <w:r>
        <w:rPr>
          <w:rFonts w:ascii="宋体" w:hAnsi="宋体" w:cs="宋体"/>
          <w:color w:val="auto"/>
          <w:szCs w:val="21"/>
        </w:rPr>
        <w:t>(7).如果在中标公示期间因自身原因失去中标资格后，我方保证不对本次评标过程进行任何投诉。</w:t>
      </w:r>
    </w:p>
    <w:p>
      <w:pPr>
        <w:spacing w:line="400" w:lineRule="exact"/>
        <w:ind w:firstLine="424" w:firstLineChars="202"/>
        <w:jc w:val="left"/>
        <w:rPr>
          <w:rFonts w:ascii="宋体" w:hAnsi="宋体" w:cs="宋体"/>
          <w:color w:val="auto"/>
          <w:szCs w:val="21"/>
        </w:rPr>
      </w:pPr>
      <w:r>
        <w:rPr>
          <w:rFonts w:ascii="宋体" w:hAnsi="宋体" w:cs="宋体"/>
          <w:color w:val="auto"/>
          <w:szCs w:val="21"/>
        </w:rPr>
        <w:t>(8).我方的金额为人民币</w:t>
      </w:r>
      <w:r>
        <w:rPr>
          <w:rFonts w:ascii="宋体" w:hAnsi="宋体" w:cs="宋体"/>
          <w:color w:val="auto"/>
          <w:szCs w:val="21"/>
          <w:u w:val="single"/>
        </w:rPr>
        <w:t xml:space="preserve"> 10 </w:t>
      </w:r>
      <w:r>
        <w:rPr>
          <w:rFonts w:hint="eastAsia" w:ascii="宋体" w:hAnsi="宋体" w:cs="宋体"/>
          <w:color w:val="auto"/>
          <w:szCs w:val="21"/>
        </w:rPr>
        <w:t>万元的投标保证金与本投标书同时递交。</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法定代表人或授权代表：</w:t>
      </w:r>
      <w:r>
        <w:rPr>
          <w:rFonts w:ascii="宋体" w:hAnsi="宋体" w:cs="宋体"/>
          <w:color w:val="auto"/>
          <w:szCs w:val="21"/>
          <w:u w:val="single"/>
        </w:rPr>
        <w:t xml:space="preserve"> （签字或盖章）</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地址</w:t>
      </w:r>
      <w:r>
        <w:rPr>
          <w:rFonts w:ascii="宋体" w:hAnsi="宋体" w:cs="宋体"/>
          <w:color w:val="auto"/>
          <w:szCs w:val="21"/>
        </w:rPr>
        <w:t>/电话/传真号码：</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银行帐号（包括开户行地址、电话、传真等）：</w:t>
      </w:r>
    </w:p>
    <w:p>
      <w:pPr>
        <w:spacing w:line="360" w:lineRule="auto"/>
        <w:ind w:firstLine="2232" w:firstLineChars="1063"/>
        <w:jc w:val="left"/>
        <w:rPr>
          <w:rFonts w:ascii="宋体" w:hAnsi="宋体" w:cs="宋体"/>
          <w:color w:val="auto"/>
          <w:szCs w:val="21"/>
        </w:rPr>
      </w:pPr>
      <w:r>
        <w:rPr>
          <w:rFonts w:hint="eastAsia" w:ascii="宋体" w:hAnsi="宋体" w:cs="宋体"/>
          <w:color w:val="auto"/>
          <w:szCs w:val="21"/>
        </w:rPr>
        <w:t>日期：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360" w:lineRule="auto"/>
        <w:ind w:firstLine="2232" w:firstLineChars="1063"/>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Cs w:val="21"/>
        </w:rPr>
      </w:pPr>
      <w:r>
        <w:rPr>
          <w:rFonts w:ascii="宋体" w:hAnsi="宋体" w:cs="宋体"/>
          <w:b/>
          <w:bCs/>
          <w:color w:val="auto"/>
          <w:szCs w:val="21"/>
        </w:rPr>
        <w:br w:type="page"/>
      </w:r>
      <w:bookmarkStart w:id="35" w:name="_Toc377719912"/>
      <w:bookmarkStart w:id="36" w:name="_Toc1424"/>
      <w:r>
        <w:rPr>
          <w:rFonts w:ascii="宋体" w:hAnsi="宋体" w:cs="宋体"/>
          <w:b/>
          <w:bCs/>
          <w:color w:val="auto"/>
          <w:sz w:val="30"/>
          <w:szCs w:val="30"/>
        </w:rPr>
        <w:t xml:space="preserve">2  </w:t>
      </w:r>
      <w:r>
        <w:rPr>
          <w:rFonts w:hint="eastAsia" w:ascii="宋体" w:hAnsi="宋体" w:cs="宋体"/>
          <w:b/>
          <w:bCs/>
          <w:color w:val="auto"/>
          <w:sz w:val="30"/>
          <w:szCs w:val="30"/>
        </w:rPr>
        <w:t>投标函附录格式</w:t>
      </w:r>
      <w:bookmarkEnd w:id="35"/>
      <w:bookmarkEnd w:id="36"/>
    </w:p>
    <w:p>
      <w:pPr>
        <w:spacing w:line="400" w:lineRule="exact"/>
        <w:jc w:val="left"/>
        <w:rPr>
          <w:rFonts w:ascii="宋体" w:hAnsi="宋体" w:cs="宋体"/>
          <w:color w:val="auto"/>
          <w:szCs w:val="21"/>
        </w:r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投</w:t>
      </w:r>
      <w:r>
        <w:rPr>
          <w:rFonts w:ascii="宋体" w:hAnsi="宋体" w:cs="宋体"/>
          <w:b/>
          <w:color w:val="auto"/>
          <w:sz w:val="30"/>
          <w:szCs w:val="30"/>
        </w:rPr>
        <w:t xml:space="preserve">  </w:t>
      </w:r>
      <w:r>
        <w:rPr>
          <w:rFonts w:hint="eastAsia" w:ascii="宋体" w:hAnsi="宋体" w:cs="宋体"/>
          <w:b/>
          <w:color w:val="auto"/>
          <w:sz w:val="30"/>
          <w:szCs w:val="30"/>
        </w:rPr>
        <w:t>标</w:t>
      </w:r>
      <w:r>
        <w:rPr>
          <w:rFonts w:ascii="宋体" w:hAnsi="宋体" w:cs="宋体"/>
          <w:b/>
          <w:color w:val="auto"/>
          <w:sz w:val="30"/>
          <w:szCs w:val="30"/>
        </w:rPr>
        <w:t xml:space="preserve">  </w:t>
      </w:r>
      <w:r>
        <w:rPr>
          <w:rFonts w:hint="eastAsia" w:ascii="宋体" w:hAnsi="宋体" w:cs="宋体"/>
          <w:b/>
          <w:color w:val="auto"/>
          <w:sz w:val="30"/>
          <w:szCs w:val="30"/>
        </w:rPr>
        <w:t>函</w:t>
      </w:r>
      <w:r>
        <w:rPr>
          <w:rFonts w:ascii="宋体" w:hAnsi="宋体" w:cs="宋体"/>
          <w:b/>
          <w:color w:val="auto"/>
          <w:sz w:val="30"/>
          <w:szCs w:val="30"/>
        </w:rPr>
        <w:t xml:space="preserve">  </w:t>
      </w:r>
      <w:r>
        <w:rPr>
          <w:rFonts w:hint="eastAsia" w:ascii="宋体" w:hAnsi="宋体" w:cs="宋体"/>
          <w:b/>
          <w:color w:val="auto"/>
          <w:sz w:val="30"/>
          <w:szCs w:val="30"/>
        </w:rPr>
        <w:t>附</w:t>
      </w:r>
      <w:r>
        <w:rPr>
          <w:rFonts w:ascii="宋体" w:hAnsi="宋体" w:cs="宋体"/>
          <w:b/>
          <w:color w:val="auto"/>
          <w:sz w:val="30"/>
          <w:szCs w:val="30"/>
        </w:rPr>
        <w:t xml:space="preserve">  </w:t>
      </w:r>
      <w:r>
        <w:rPr>
          <w:rFonts w:hint="eastAsia" w:ascii="宋体" w:hAnsi="宋体" w:cs="宋体"/>
          <w:b/>
          <w:color w:val="auto"/>
          <w:sz w:val="30"/>
          <w:szCs w:val="30"/>
        </w:rPr>
        <w:t>录</w:t>
      </w:r>
    </w:p>
    <w:p>
      <w:pPr>
        <w:spacing w:line="400" w:lineRule="exact"/>
        <w:jc w:val="left"/>
        <w:rPr>
          <w:rFonts w:ascii="宋体" w:hAnsi="宋体" w:cs="宋体"/>
          <w:color w:val="auto"/>
          <w:szCs w:val="21"/>
        </w:rPr>
      </w:pPr>
      <w:r>
        <w:rPr>
          <w:rFonts w:ascii="宋体" w:hAnsi="宋体" w:cs="宋体"/>
          <w:color w:val="auto"/>
          <w:szCs w:val="21"/>
        </w:rPr>
        <w:t xml:space="preserve">    </w:t>
      </w:r>
    </w:p>
    <w:tbl>
      <w:tblPr>
        <w:tblStyle w:val="28"/>
        <w:tblW w:w="86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668"/>
        <w:gridCol w:w="1104"/>
        <w:gridCol w:w="2659"/>
        <w:gridCol w:w="26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74" w:hRule="atLeast"/>
          <w:jc w:val="center"/>
        </w:trPr>
        <w:tc>
          <w:tcPr>
            <w:tcW w:w="595"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序号</w:t>
            </w:r>
          </w:p>
        </w:tc>
        <w:tc>
          <w:tcPr>
            <w:tcW w:w="1668"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摘</w:t>
            </w:r>
            <w:r>
              <w:rPr>
                <w:rFonts w:ascii="宋体" w:hAnsi="宋体" w:cs="宋体"/>
                <w:color w:val="auto"/>
                <w:szCs w:val="21"/>
              </w:rPr>
              <w:t xml:space="preserve">   </w:t>
            </w:r>
            <w:r>
              <w:rPr>
                <w:rFonts w:hint="eastAsia" w:ascii="宋体" w:hAnsi="宋体" w:cs="宋体"/>
                <w:color w:val="auto"/>
                <w:szCs w:val="21"/>
              </w:rPr>
              <w:t>要</w:t>
            </w:r>
          </w:p>
        </w:tc>
        <w:tc>
          <w:tcPr>
            <w:tcW w:w="1104"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合同</w:t>
            </w:r>
          </w:p>
          <w:p>
            <w:pPr>
              <w:spacing w:line="360" w:lineRule="exact"/>
              <w:jc w:val="center"/>
              <w:rPr>
                <w:rFonts w:ascii="宋体" w:hAnsi="宋体" w:cs="宋体"/>
                <w:color w:val="auto"/>
                <w:szCs w:val="21"/>
              </w:rPr>
            </w:pPr>
            <w:r>
              <w:rPr>
                <w:rFonts w:hint="eastAsia" w:ascii="宋体" w:hAnsi="宋体" w:cs="宋体"/>
                <w:color w:val="auto"/>
                <w:szCs w:val="21"/>
              </w:rPr>
              <w:t>条款号</w:t>
            </w:r>
          </w:p>
        </w:tc>
        <w:tc>
          <w:tcPr>
            <w:tcW w:w="2659"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内</w:t>
            </w:r>
            <w:r>
              <w:rPr>
                <w:rFonts w:ascii="宋体" w:hAnsi="宋体" w:cs="宋体"/>
                <w:color w:val="auto"/>
                <w:szCs w:val="21"/>
              </w:rPr>
              <w:t xml:space="preserve">  </w:t>
            </w:r>
            <w:r>
              <w:rPr>
                <w:rFonts w:hint="eastAsia" w:ascii="宋体" w:hAnsi="宋体" w:cs="宋体"/>
                <w:color w:val="auto"/>
                <w:szCs w:val="21"/>
              </w:rPr>
              <w:t>容</w:t>
            </w:r>
            <w:r>
              <w:rPr>
                <w:rFonts w:ascii="宋体" w:hAnsi="宋体" w:cs="宋体"/>
                <w:color w:val="auto"/>
                <w:szCs w:val="21"/>
              </w:rPr>
              <w:t xml:space="preserve">  </w:t>
            </w:r>
            <w:r>
              <w:rPr>
                <w:rFonts w:hint="eastAsia" w:ascii="宋体" w:hAnsi="宋体" w:cs="宋体"/>
                <w:color w:val="auto"/>
                <w:szCs w:val="21"/>
              </w:rPr>
              <w:t>摘</w:t>
            </w:r>
            <w:r>
              <w:rPr>
                <w:rFonts w:ascii="宋体" w:hAnsi="宋体" w:cs="宋体"/>
                <w:color w:val="auto"/>
                <w:szCs w:val="21"/>
              </w:rPr>
              <w:t xml:space="preserve">  </w:t>
            </w:r>
            <w:r>
              <w:rPr>
                <w:rFonts w:hint="eastAsia" w:ascii="宋体" w:hAnsi="宋体" w:cs="宋体"/>
                <w:color w:val="auto"/>
                <w:szCs w:val="21"/>
              </w:rPr>
              <w:t>要</w:t>
            </w:r>
          </w:p>
        </w:tc>
        <w:tc>
          <w:tcPr>
            <w:tcW w:w="2659" w:type="dxa"/>
            <w:vAlign w:val="center"/>
          </w:tcPr>
          <w:p>
            <w:pPr>
              <w:spacing w:line="360" w:lineRule="exact"/>
              <w:jc w:val="center"/>
              <w:rPr>
                <w:rFonts w:ascii="宋体" w:hAnsi="宋体" w:cs="宋体"/>
                <w:color w:val="auto"/>
                <w:szCs w:val="21"/>
              </w:rPr>
            </w:pPr>
            <w:r>
              <w:rPr>
                <w:rFonts w:hint="eastAsia" w:ascii="宋体" w:hAnsi="宋体" w:cs="宋体"/>
                <w:color w:val="auto"/>
                <w:szCs w:val="21"/>
              </w:rPr>
              <w:t>投标人响应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12"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1</w:t>
            </w:r>
          </w:p>
        </w:tc>
        <w:tc>
          <w:tcPr>
            <w:tcW w:w="1668" w:type="dxa"/>
            <w:vAlign w:val="center"/>
          </w:tcPr>
          <w:p>
            <w:pPr>
              <w:spacing w:line="360" w:lineRule="exact"/>
              <w:rPr>
                <w:rFonts w:ascii="宋体" w:hAnsi="宋体" w:cs="宋体"/>
                <w:color w:val="auto"/>
                <w:szCs w:val="21"/>
              </w:rPr>
            </w:pPr>
            <w:r>
              <w:rPr>
                <w:rFonts w:hint="eastAsia" w:ascii="宋体" w:hAnsi="宋体" w:cs="宋体"/>
                <w:color w:val="auto"/>
                <w:szCs w:val="21"/>
              </w:rPr>
              <w:t>履约担保</w:t>
            </w:r>
          </w:p>
        </w:tc>
        <w:tc>
          <w:tcPr>
            <w:tcW w:w="1104" w:type="dxa"/>
          </w:tcPr>
          <w:p>
            <w:pPr>
              <w:spacing w:line="360" w:lineRule="exact"/>
              <w:rPr>
                <w:rFonts w:ascii="宋体" w:hAnsi="宋体" w:cs="宋体"/>
                <w:color w:val="auto"/>
                <w:szCs w:val="21"/>
              </w:rPr>
            </w:pPr>
            <w:r>
              <w:rPr>
                <w:rFonts w:hint="eastAsia" w:ascii="宋体" w:hAnsi="宋体" w:cs="宋体"/>
                <w:color w:val="auto"/>
                <w:szCs w:val="21"/>
              </w:rPr>
              <w:t>第九条</w:t>
            </w:r>
          </w:p>
        </w:tc>
        <w:tc>
          <w:tcPr>
            <w:tcW w:w="2659" w:type="dxa"/>
            <w:vAlign w:val="center"/>
          </w:tcPr>
          <w:p>
            <w:pPr>
              <w:spacing w:line="360" w:lineRule="exact"/>
              <w:rPr>
                <w:rFonts w:ascii="宋体" w:hAnsi="宋体" w:cs="宋体"/>
                <w:color w:val="auto"/>
                <w:szCs w:val="21"/>
              </w:rPr>
            </w:pPr>
            <w:r>
              <w:rPr>
                <w:rFonts w:hint="eastAsia" w:ascii="宋体" w:hAnsi="宋体" w:cs="宋体"/>
                <w:color w:val="auto"/>
                <w:szCs w:val="21"/>
              </w:rPr>
              <w:t>合同价的</w:t>
            </w:r>
            <w:r>
              <w:rPr>
                <w:rFonts w:ascii="宋体" w:hAnsi="宋体" w:cs="宋体"/>
                <w:color w:val="auto"/>
                <w:szCs w:val="21"/>
              </w:rPr>
              <w:t>10％</w:t>
            </w:r>
          </w:p>
        </w:tc>
        <w:tc>
          <w:tcPr>
            <w:tcW w:w="2659" w:type="dxa"/>
            <w:vAlign w:val="center"/>
          </w:tcPr>
          <w:p>
            <w:pPr>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1"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2</w:t>
            </w:r>
          </w:p>
        </w:tc>
        <w:tc>
          <w:tcPr>
            <w:tcW w:w="1668" w:type="dxa"/>
            <w:vAlign w:val="center"/>
          </w:tcPr>
          <w:p>
            <w:pPr>
              <w:spacing w:line="360" w:lineRule="exact"/>
              <w:rPr>
                <w:rFonts w:ascii="宋体" w:hAnsi="宋体" w:cs="宋体"/>
                <w:color w:val="auto"/>
                <w:szCs w:val="21"/>
              </w:rPr>
            </w:pPr>
            <w:r>
              <w:rPr>
                <w:rFonts w:hint="eastAsia" w:ascii="宋体" w:hAnsi="宋体" w:cs="宋体"/>
                <w:color w:val="auto"/>
                <w:szCs w:val="21"/>
              </w:rPr>
              <w:t>招标人发出</w:t>
            </w:r>
          </w:p>
          <w:p>
            <w:pPr>
              <w:spacing w:line="360" w:lineRule="exact"/>
              <w:rPr>
                <w:rFonts w:ascii="宋体" w:hAnsi="宋体" w:cs="宋体"/>
                <w:color w:val="auto"/>
                <w:szCs w:val="21"/>
              </w:rPr>
            </w:pPr>
            <w:r>
              <w:rPr>
                <w:rFonts w:hint="eastAsia" w:ascii="宋体" w:hAnsi="宋体" w:cs="宋体"/>
                <w:color w:val="auto"/>
                <w:szCs w:val="21"/>
              </w:rPr>
              <w:t>开工通知时间</w:t>
            </w:r>
          </w:p>
        </w:tc>
        <w:tc>
          <w:tcPr>
            <w:tcW w:w="1104" w:type="dxa"/>
          </w:tcPr>
          <w:p>
            <w:pPr>
              <w:spacing w:line="360" w:lineRule="exact"/>
              <w:rPr>
                <w:rFonts w:ascii="宋体" w:hAnsi="宋体" w:cs="宋体"/>
                <w:color w:val="auto"/>
                <w:szCs w:val="21"/>
              </w:rPr>
            </w:pPr>
            <w:r>
              <w:rPr>
                <w:rFonts w:hint="eastAsia" w:ascii="宋体" w:hAnsi="宋体" w:cs="宋体"/>
                <w:color w:val="auto"/>
                <w:szCs w:val="21"/>
              </w:rPr>
              <w:t>第三条、</w:t>
            </w:r>
            <w:r>
              <w:rPr>
                <w:rFonts w:ascii="宋体" w:hAnsi="宋体" w:cs="宋体"/>
                <w:color w:val="auto"/>
                <w:szCs w:val="21"/>
              </w:rPr>
              <w:t>3</w:t>
            </w:r>
          </w:p>
        </w:tc>
        <w:tc>
          <w:tcPr>
            <w:tcW w:w="2659" w:type="dxa"/>
            <w:vAlign w:val="center"/>
          </w:tcPr>
          <w:p>
            <w:pPr>
              <w:spacing w:line="360" w:lineRule="exact"/>
              <w:rPr>
                <w:rFonts w:ascii="宋体" w:hAnsi="宋体" w:cs="宋体"/>
                <w:color w:val="auto"/>
                <w:szCs w:val="21"/>
              </w:rPr>
            </w:pPr>
            <w:r>
              <w:rPr>
                <w:rFonts w:hint="eastAsia" w:ascii="宋体" w:hAnsi="宋体" w:cs="宋体"/>
                <w:color w:val="auto"/>
                <w:szCs w:val="21"/>
              </w:rPr>
              <w:t>合同生效后</w:t>
            </w:r>
          </w:p>
        </w:tc>
        <w:tc>
          <w:tcPr>
            <w:tcW w:w="2659" w:type="dxa"/>
            <w:vAlign w:val="center"/>
          </w:tcPr>
          <w:p>
            <w:pPr>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1"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3</w:t>
            </w:r>
          </w:p>
        </w:tc>
        <w:tc>
          <w:tcPr>
            <w:tcW w:w="1668" w:type="dxa"/>
            <w:vAlign w:val="center"/>
          </w:tcPr>
          <w:p>
            <w:pPr>
              <w:spacing w:line="360" w:lineRule="exact"/>
              <w:rPr>
                <w:rFonts w:ascii="宋体" w:hAnsi="宋体" w:cs="宋体"/>
                <w:color w:val="auto"/>
                <w:szCs w:val="21"/>
              </w:rPr>
            </w:pPr>
            <w:r>
              <w:rPr>
                <w:rFonts w:hint="eastAsia" w:ascii="宋体" w:hAnsi="宋体" w:cs="宋体"/>
                <w:color w:val="auto"/>
                <w:szCs w:val="21"/>
              </w:rPr>
              <w:t>误期赔偿费金额</w:t>
            </w:r>
          </w:p>
        </w:tc>
        <w:tc>
          <w:tcPr>
            <w:tcW w:w="1104" w:type="dxa"/>
            <w:vAlign w:val="center"/>
          </w:tcPr>
          <w:p>
            <w:pPr>
              <w:spacing w:line="360" w:lineRule="exact"/>
              <w:rPr>
                <w:rFonts w:ascii="宋体" w:hAnsi="宋体" w:cs="宋体"/>
                <w:color w:val="auto"/>
                <w:szCs w:val="21"/>
              </w:rPr>
            </w:pPr>
            <w:r>
              <w:rPr>
                <w:rFonts w:hint="eastAsia" w:ascii="宋体" w:hAnsi="宋体" w:cs="宋体"/>
                <w:color w:val="auto"/>
                <w:szCs w:val="21"/>
              </w:rPr>
              <w:t>第十一条</w:t>
            </w:r>
          </w:p>
        </w:tc>
        <w:tc>
          <w:tcPr>
            <w:tcW w:w="2659" w:type="dxa"/>
            <w:vAlign w:val="center"/>
          </w:tcPr>
          <w:p>
            <w:pPr>
              <w:spacing w:line="360" w:lineRule="exact"/>
              <w:rPr>
                <w:rFonts w:ascii="宋体" w:hAnsi="宋体" w:cs="宋体"/>
                <w:color w:val="auto"/>
                <w:szCs w:val="21"/>
              </w:rPr>
            </w:pPr>
            <w:r>
              <w:rPr>
                <w:rFonts w:hint="eastAsia" w:ascii="宋体" w:hAnsi="宋体" w:cs="宋体"/>
                <w:color w:val="auto"/>
                <w:szCs w:val="21"/>
              </w:rPr>
              <w:t>按合同相应规定</w:t>
            </w:r>
          </w:p>
        </w:tc>
        <w:tc>
          <w:tcPr>
            <w:tcW w:w="2659" w:type="dxa"/>
            <w:vAlign w:val="center"/>
          </w:tcPr>
          <w:p>
            <w:pPr>
              <w:spacing w:line="360" w:lineRule="exact"/>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51" w:hRule="atLeast"/>
          <w:jc w:val="center"/>
        </w:trPr>
        <w:tc>
          <w:tcPr>
            <w:tcW w:w="595" w:type="dxa"/>
            <w:vAlign w:val="center"/>
          </w:tcPr>
          <w:p>
            <w:pPr>
              <w:spacing w:line="360" w:lineRule="exact"/>
              <w:jc w:val="center"/>
              <w:rPr>
                <w:rFonts w:ascii="宋体" w:hAnsi="宋体" w:cs="宋体"/>
                <w:color w:val="auto"/>
                <w:szCs w:val="21"/>
              </w:rPr>
            </w:pPr>
            <w:r>
              <w:rPr>
                <w:rFonts w:ascii="宋体" w:hAnsi="宋体" w:cs="宋体"/>
                <w:color w:val="auto"/>
                <w:szCs w:val="21"/>
              </w:rPr>
              <w:t>4</w:t>
            </w:r>
          </w:p>
        </w:tc>
        <w:tc>
          <w:tcPr>
            <w:tcW w:w="1668" w:type="dxa"/>
          </w:tcPr>
          <w:p>
            <w:pPr>
              <w:spacing w:line="360" w:lineRule="exact"/>
              <w:rPr>
                <w:rFonts w:ascii="宋体" w:hAnsi="宋体" w:cs="宋体"/>
                <w:color w:val="auto"/>
                <w:szCs w:val="21"/>
              </w:rPr>
            </w:pPr>
            <w:r>
              <w:rPr>
                <w:rFonts w:hint="eastAsia" w:ascii="宋体" w:hAnsi="宋体" w:cs="宋体"/>
                <w:color w:val="auto"/>
                <w:szCs w:val="21"/>
              </w:rPr>
              <w:t>预付款金额</w:t>
            </w:r>
            <w:r>
              <w:rPr>
                <w:rFonts w:ascii="宋体" w:hAnsi="宋体" w:cs="宋体"/>
                <w:color w:val="auto"/>
                <w:szCs w:val="21"/>
              </w:rPr>
              <w:t xml:space="preserve">           </w:t>
            </w:r>
          </w:p>
        </w:tc>
        <w:tc>
          <w:tcPr>
            <w:tcW w:w="1104" w:type="dxa"/>
          </w:tcPr>
          <w:p>
            <w:pPr>
              <w:spacing w:line="360" w:lineRule="exact"/>
              <w:rPr>
                <w:rFonts w:ascii="宋体" w:hAnsi="宋体" w:cs="宋体"/>
                <w:color w:val="auto"/>
                <w:szCs w:val="21"/>
              </w:rPr>
            </w:pPr>
            <w:r>
              <w:rPr>
                <w:rFonts w:hint="eastAsia" w:ascii="宋体" w:hAnsi="宋体" w:cs="宋体"/>
                <w:color w:val="auto"/>
                <w:szCs w:val="21"/>
              </w:rPr>
              <w:t>第十条、</w:t>
            </w:r>
            <w:r>
              <w:rPr>
                <w:rFonts w:ascii="宋体" w:hAnsi="宋体" w:cs="宋体"/>
                <w:color w:val="auto"/>
                <w:szCs w:val="21"/>
              </w:rPr>
              <w:t>1</w:t>
            </w:r>
          </w:p>
        </w:tc>
        <w:tc>
          <w:tcPr>
            <w:tcW w:w="2659" w:type="dxa"/>
          </w:tcPr>
          <w:p>
            <w:pPr>
              <w:spacing w:line="360" w:lineRule="exact"/>
              <w:rPr>
                <w:rFonts w:ascii="宋体" w:hAnsi="宋体" w:cs="宋体"/>
                <w:color w:val="auto"/>
                <w:szCs w:val="21"/>
              </w:rPr>
            </w:pPr>
            <w:r>
              <w:rPr>
                <w:rFonts w:hint="eastAsia" w:ascii="宋体" w:hAnsi="宋体" w:cs="宋体"/>
                <w:color w:val="auto"/>
                <w:szCs w:val="21"/>
              </w:rPr>
              <w:t>无</w:t>
            </w:r>
          </w:p>
        </w:tc>
        <w:tc>
          <w:tcPr>
            <w:tcW w:w="2659" w:type="dxa"/>
            <w:vAlign w:val="center"/>
          </w:tcPr>
          <w:p>
            <w:pPr>
              <w:spacing w:line="360" w:lineRule="exact"/>
              <w:rPr>
                <w:rFonts w:ascii="宋体" w:hAnsi="宋体" w:cs="宋体"/>
                <w:color w:val="auto"/>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（放在技术标投标函后面）</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ind w:firstLine="2763" w:firstLineChars="1316"/>
        <w:jc w:val="left"/>
        <w:rPr>
          <w:rFonts w:ascii="宋体" w:hAnsi="宋体" w:cs="宋体"/>
          <w:color w:val="auto"/>
          <w:szCs w:val="21"/>
        </w:rPr>
      </w:pPr>
      <w:r>
        <w:rPr>
          <w:rFonts w:hint="eastAsia" w:ascii="宋体" w:hAnsi="宋体" w:cs="宋体"/>
          <w:color w:val="auto"/>
          <w:szCs w:val="21"/>
        </w:rPr>
        <w:t>投</w:t>
      </w:r>
      <w:r>
        <w:rPr>
          <w:rFonts w:ascii="宋体" w:hAnsi="宋体" w:cs="宋体"/>
          <w:color w:val="auto"/>
          <w:szCs w:val="21"/>
        </w:rPr>
        <w:t xml:space="preserve">   </w:t>
      </w:r>
      <w:r>
        <w:rPr>
          <w:rFonts w:hint="eastAsia" w:ascii="宋体" w:hAnsi="宋体" w:cs="宋体"/>
          <w:color w:val="auto"/>
          <w:szCs w:val="21"/>
        </w:rPr>
        <w:t>标</w:t>
      </w:r>
      <w:r>
        <w:rPr>
          <w:rFonts w:ascii="宋体" w:hAnsi="宋体" w:cs="宋体"/>
          <w:color w:val="auto"/>
          <w:szCs w:val="21"/>
        </w:rPr>
        <w:t xml:space="preserve">   </w:t>
      </w:r>
      <w:r>
        <w:rPr>
          <w:rFonts w:hint="eastAsia" w:ascii="宋体" w:hAnsi="宋体" w:cs="宋体"/>
          <w:color w:val="auto"/>
          <w:szCs w:val="21"/>
        </w:rPr>
        <w:t>人（公章）：</w:t>
      </w:r>
    </w:p>
    <w:p>
      <w:pPr>
        <w:spacing w:line="400" w:lineRule="exact"/>
        <w:ind w:firstLine="2763" w:firstLineChars="1316"/>
        <w:jc w:val="left"/>
        <w:rPr>
          <w:rFonts w:ascii="宋体" w:hAnsi="宋体" w:cs="宋体"/>
          <w:color w:val="auto"/>
          <w:szCs w:val="21"/>
        </w:rPr>
      </w:pPr>
    </w:p>
    <w:p>
      <w:pPr>
        <w:spacing w:line="400" w:lineRule="exact"/>
        <w:ind w:firstLine="2763" w:firstLineChars="1316"/>
        <w:jc w:val="left"/>
        <w:rPr>
          <w:rFonts w:ascii="宋体" w:hAnsi="宋体" w:cs="宋体"/>
          <w:color w:val="auto"/>
          <w:szCs w:val="21"/>
        </w:rPr>
      </w:pPr>
      <w:r>
        <w:rPr>
          <w:rFonts w:hint="eastAsia" w:ascii="宋体" w:hAnsi="宋体" w:cs="宋体"/>
          <w:color w:val="auto"/>
          <w:szCs w:val="21"/>
        </w:rPr>
        <w:t>投标人授权代表（签字或盖章）：</w:t>
      </w:r>
    </w:p>
    <w:p>
      <w:pPr>
        <w:spacing w:line="400" w:lineRule="exact"/>
        <w:ind w:firstLine="2763" w:firstLineChars="1316"/>
        <w:jc w:val="left"/>
        <w:rPr>
          <w:rFonts w:ascii="宋体" w:hAnsi="宋体" w:cs="宋体"/>
          <w:color w:val="auto"/>
          <w:szCs w:val="21"/>
        </w:rPr>
      </w:pPr>
    </w:p>
    <w:p>
      <w:pPr>
        <w:spacing w:line="400" w:lineRule="exact"/>
        <w:ind w:firstLine="2763" w:firstLineChars="1316"/>
        <w:jc w:val="left"/>
        <w:rPr>
          <w:rFonts w:ascii="宋体" w:hAns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rPr>
        <w:t xml:space="preserve">    </w:t>
      </w: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37" w:name="_Toc377719913"/>
      <w:bookmarkStart w:id="38" w:name="_Toc11869"/>
      <w:r>
        <w:rPr>
          <w:rFonts w:ascii="宋体" w:hAnsi="宋体" w:cs="宋体"/>
          <w:b/>
          <w:bCs/>
          <w:color w:val="auto"/>
          <w:sz w:val="30"/>
          <w:szCs w:val="30"/>
        </w:rPr>
        <w:t xml:space="preserve">3  </w:t>
      </w:r>
      <w:r>
        <w:rPr>
          <w:rFonts w:hint="eastAsia" w:ascii="宋体" w:hAnsi="宋体" w:cs="宋体"/>
          <w:b/>
          <w:bCs/>
          <w:color w:val="auto"/>
          <w:sz w:val="30"/>
          <w:szCs w:val="30"/>
        </w:rPr>
        <w:t>法定代表人证明书格式</w:t>
      </w:r>
      <w:bookmarkEnd w:id="37"/>
      <w:bookmarkEnd w:id="38"/>
    </w:p>
    <w:p>
      <w:pPr>
        <w:spacing w:line="400" w:lineRule="exact"/>
        <w:jc w:val="center"/>
        <w:rPr>
          <w:rFonts w:ascii="宋体" w:hAnsi="宋体" w:cs="宋体"/>
          <w:b/>
          <w:color w:val="auto"/>
          <w:szCs w:val="21"/>
        </w:r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法定代表人证明书</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360" w:lineRule="auto"/>
        <w:jc w:val="left"/>
        <w:rPr>
          <w:rFonts w:ascii="宋体" w:hAnsi="宋体" w:cs="宋体"/>
          <w:bCs/>
          <w:color w:val="auto"/>
          <w:szCs w:val="21"/>
        </w:rPr>
      </w:pP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hint="eastAsia" w:ascii="宋体" w:hAnsi="宋体" w:cs="宋体"/>
          <w:bCs/>
          <w:color w:val="auto"/>
          <w:szCs w:val="21"/>
        </w:rPr>
        <w:t>先生</w:t>
      </w:r>
      <w:r>
        <w:rPr>
          <w:rFonts w:ascii="宋体" w:hAnsi="宋体" w:cs="宋体"/>
          <w:bCs/>
          <w:color w:val="auto"/>
          <w:szCs w:val="21"/>
        </w:rPr>
        <w:t>/女士，现任我单位</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hint="eastAsia" w:ascii="宋体" w:hAnsi="宋体" w:cs="宋体"/>
          <w:bCs/>
          <w:color w:val="auto"/>
          <w:szCs w:val="21"/>
        </w:rPr>
        <w:t>职务，为法定代表人，特此证明。本证明书有效日期至</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hint="eastAsia" w:ascii="宋体" w:hAnsi="宋体" w:cs="宋体"/>
          <w:bCs/>
          <w:color w:val="auto"/>
          <w:szCs w:val="21"/>
        </w:rPr>
        <w:t>。</w:t>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hint="eastAsia" w:ascii="宋体" w:hAnsi="宋体" w:cs="宋体"/>
          <w:bCs/>
          <w:color w:val="auto"/>
          <w:szCs w:val="21"/>
        </w:rPr>
        <w:t>签发日期：</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 xml:space="preserve">      </w:t>
      </w:r>
      <w:r>
        <w:rPr>
          <w:rFonts w:ascii="宋体" w:hAnsi="宋体" w:cs="宋体"/>
          <w:bCs/>
          <w:color w:val="auto"/>
          <w:szCs w:val="21"/>
          <w:u w:val="single"/>
        </w:rPr>
        <w:tab/>
      </w:r>
      <w:r>
        <w:rPr>
          <w:rFonts w:ascii="宋体" w:hAnsi="宋体" w:cs="宋体"/>
          <w:bCs/>
          <w:color w:val="auto"/>
          <w:szCs w:val="21"/>
          <w:u w:val="single"/>
        </w:rPr>
        <w:tab/>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hint="eastAsia" w:ascii="宋体" w:hAnsi="宋体" w:cs="宋体"/>
          <w:bCs/>
          <w:color w:val="auto"/>
          <w:szCs w:val="21"/>
        </w:rPr>
        <w:t>投标人名称：</w:t>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ab/>
      </w:r>
      <w:r>
        <w:rPr>
          <w:rFonts w:ascii="宋体" w:hAnsi="宋体" w:cs="宋体"/>
          <w:bCs/>
          <w:color w:val="auto"/>
          <w:szCs w:val="21"/>
          <w:u w:val="single"/>
        </w:rPr>
        <w:t xml:space="preserve">      </w:t>
      </w:r>
      <w:r>
        <w:rPr>
          <w:rFonts w:ascii="宋体" w:hAnsi="宋体" w:cs="宋体"/>
          <w:bCs/>
          <w:color w:val="auto"/>
          <w:szCs w:val="21"/>
          <w:u w:val="single"/>
        </w:rPr>
        <w:tab/>
      </w:r>
    </w:p>
    <w:p>
      <w:pPr>
        <w:spacing w:line="360" w:lineRule="auto"/>
        <w:ind w:firstLine="1260" w:firstLineChars="600"/>
        <w:jc w:val="left"/>
        <w:rPr>
          <w:rFonts w:ascii="宋体" w:hAnsi="宋体" w:cs="宋体"/>
          <w:bCs/>
          <w:color w:val="auto"/>
          <w:szCs w:val="21"/>
        </w:rPr>
      </w:pPr>
      <w:r>
        <w:rPr>
          <w:rFonts w:hint="eastAsia" w:ascii="宋体" w:hAnsi="宋体" w:cs="宋体"/>
          <w:bCs/>
          <w:color w:val="auto"/>
          <w:szCs w:val="21"/>
        </w:rPr>
        <w:t>（法人公章）</w:t>
      </w:r>
    </w:p>
    <w:p>
      <w:pPr>
        <w:spacing w:line="360" w:lineRule="auto"/>
        <w:jc w:val="left"/>
        <w:rPr>
          <w:rFonts w:ascii="宋体" w:hAnsi="宋体" w:cs="宋体"/>
          <w:bCs/>
          <w:color w:val="auto"/>
          <w:szCs w:val="21"/>
        </w:rPr>
      </w:pPr>
    </w:p>
    <w:p>
      <w:pPr>
        <w:spacing w:line="360" w:lineRule="auto"/>
        <w:jc w:val="left"/>
        <w:rPr>
          <w:rFonts w:ascii="宋体" w:hAnsi="宋体" w:cs="宋体"/>
          <w:bCs/>
          <w:color w:val="auto"/>
          <w:szCs w:val="21"/>
        </w:rPr>
      </w:pPr>
      <w:r>
        <w:rPr>
          <w:rFonts w:hint="eastAsia" w:ascii="宋体" w:hAnsi="宋体" w:cs="宋体"/>
          <w:bCs/>
          <w:color w:val="auto"/>
          <w:szCs w:val="21"/>
        </w:rPr>
        <w:t>法定代表人签字：</w:t>
      </w:r>
      <w:r>
        <w:rPr>
          <w:rFonts w:ascii="宋体" w:hAnsi="宋体" w:cs="宋体"/>
          <w:bCs/>
          <w:color w:val="auto"/>
          <w:szCs w:val="21"/>
          <w:u w:val="single"/>
        </w:rPr>
        <w:t xml:space="preserve">                 </w:t>
      </w: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r>
        <w:rPr>
          <w:rFonts w:ascii="宋体" w:hAnsi="宋体" w:cs="宋体"/>
          <w:color w:val="auto"/>
          <w:szCs w:val="21"/>
        </w:rPr>
        <w:t xml:space="preserve"> </w:t>
      </w: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39" w:name="_Toc377719914"/>
      <w:bookmarkStart w:id="40" w:name="_Toc21722"/>
      <w:r>
        <w:rPr>
          <w:rFonts w:ascii="宋体" w:hAnsi="宋体" w:cs="宋体"/>
          <w:b/>
          <w:bCs/>
          <w:color w:val="auto"/>
          <w:sz w:val="30"/>
          <w:szCs w:val="30"/>
        </w:rPr>
        <w:t xml:space="preserve">4  </w:t>
      </w:r>
      <w:r>
        <w:rPr>
          <w:rFonts w:hint="eastAsia" w:ascii="宋体" w:hAnsi="宋体" w:cs="宋体"/>
          <w:b/>
          <w:bCs/>
          <w:color w:val="auto"/>
          <w:sz w:val="30"/>
          <w:szCs w:val="30"/>
        </w:rPr>
        <w:t>授权书格式</w:t>
      </w:r>
      <w:bookmarkEnd w:id="39"/>
      <w:bookmarkEnd w:id="40"/>
    </w:p>
    <w:p>
      <w:pPr>
        <w:spacing w:line="400" w:lineRule="exact"/>
        <w:jc w:val="left"/>
        <w:rPr>
          <w:rFonts w:ascii="宋体" w:hAnsi="宋体" w:cs="宋体"/>
          <w:color w:val="auto"/>
          <w:szCs w:val="21"/>
        </w:rPr>
      </w:pPr>
    </w:p>
    <w:p>
      <w:pPr>
        <w:spacing w:line="360" w:lineRule="auto"/>
        <w:jc w:val="center"/>
        <w:rPr>
          <w:rFonts w:ascii="宋体" w:hAnsi="宋体" w:cs="宋体"/>
          <w:color w:val="auto"/>
          <w:sz w:val="30"/>
          <w:szCs w:val="30"/>
        </w:rPr>
      </w:pPr>
      <w:r>
        <w:rPr>
          <w:rFonts w:hint="eastAsia" w:ascii="宋体" w:hAnsi="宋体" w:cs="宋体"/>
          <w:color w:val="auto"/>
          <w:sz w:val="30"/>
          <w:szCs w:val="30"/>
        </w:rPr>
        <w:t>法定代表人授权书</w:t>
      </w: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t>致</w:t>
      </w:r>
      <w:r>
        <w:rPr>
          <w:rFonts w:ascii="宋体" w:hAnsi="宋体" w:cs="宋体"/>
          <w:color w:val="auto"/>
          <w:szCs w:val="21"/>
        </w:rPr>
        <w:t xml:space="preserve"> </w:t>
      </w:r>
      <w:r>
        <w:rPr>
          <w:rFonts w:hint="eastAsia" w:ascii="宋体" w:hAnsi="宋体" w:cs="宋体"/>
          <w:color w:val="auto"/>
          <w:szCs w:val="21"/>
        </w:rPr>
        <w:t>招标人：东莞市轨道一号线建设发展有限公司：</w:t>
      </w:r>
    </w:p>
    <w:p>
      <w:pPr>
        <w:spacing w:line="360" w:lineRule="auto"/>
        <w:ind w:firstLine="424" w:firstLineChars="202"/>
        <w:jc w:val="left"/>
        <w:rPr>
          <w:rFonts w:ascii="宋体" w:hAnsi="宋体" w:cs="宋体"/>
          <w:color w:val="auto"/>
          <w:szCs w:val="21"/>
        </w:rPr>
      </w:pPr>
      <w:r>
        <w:rPr>
          <w:rFonts w:hint="eastAsia" w:ascii="宋体" w:hAnsi="宋体" w:cs="宋体"/>
          <w:color w:val="auto"/>
          <w:szCs w:val="21"/>
        </w:rPr>
        <w:t>本授权书声明：</w:t>
      </w:r>
      <w:r>
        <w:rPr>
          <w:rFonts w:hint="eastAsia" w:ascii="宋体" w:hAnsi="宋体" w:cs="宋体"/>
          <w:color w:val="auto"/>
          <w:szCs w:val="21"/>
          <w:u w:val="single"/>
        </w:rPr>
        <w:t>（投标单位名称）</w:t>
      </w:r>
      <w:r>
        <w:rPr>
          <w:rFonts w:ascii="宋体" w:hAnsi="宋体" w:cs="宋体"/>
          <w:color w:val="auto"/>
          <w:szCs w:val="21"/>
          <w:u w:val="single"/>
        </w:rPr>
        <w:t xml:space="preserve">  </w:t>
      </w:r>
      <w:r>
        <w:rPr>
          <w:rFonts w:hint="eastAsia" w:ascii="宋体" w:hAnsi="宋体" w:cs="宋体"/>
          <w:color w:val="auto"/>
          <w:szCs w:val="21"/>
          <w:u w:val="single"/>
        </w:rPr>
        <w:t>（职务）</w:t>
      </w:r>
      <w:r>
        <w:rPr>
          <w:rFonts w:ascii="宋体" w:hAnsi="宋体" w:cs="宋体"/>
          <w:color w:val="auto"/>
          <w:szCs w:val="21"/>
          <w:u w:val="single"/>
        </w:rPr>
        <w:t xml:space="preserve">  </w:t>
      </w:r>
      <w:r>
        <w:rPr>
          <w:rFonts w:hint="eastAsia" w:ascii="宋体" w:hAnsi="宋体" w:cs="宋体"/>
          <w:color w:val="auto"/>
          <w:szCs w:val="21"/>
          <w:u w:val="single"/>
        </w:rPr>
        <w:t>（法定代表人姓名）</w:t>
      </w:r>
      <w:r>
        <w:rPr>
          <w:rFonts w:hint="eastAsia" w:ascii="宋体" w:hAnsi="宋体" w:cs="宋体"/>
          <w:color w:val="auto"/>
          <w:szCs w:val="21"/>
        </w:rPr>
        <w:t>合法地代表我单位，授权</w:t>
      </w:r>
      <w:r>
        <w:rPr>
          <w:rFonts w:hint="eastAsia" w:ascii="宋体" w:hAnsi="宋体" w:cs="宋体"/>
          <w:color w:val="auto"/>
          <w:szCs w:val="21"/>
          <w:u w:val="single"/>
        </w:rPr>
        <w:t>（职务）（姓名）</w:t>
      </w:r>
      <w:r>
        <w:rPr>
          <w:rFonts w:hint="eastAsia" w:ascii="宋体" w:hAnsi="宋体" w:cs="宋体"/>
          <w:color w:val="auto"/>
          <w:szCs w:val="21"/>
        </w:rPr>
        <w:t>为我单位的合法代理人，该代理人有权在</w:t>
      </w:r>
      <w:r>
        <w:rPr>
          <w:rFonts w:hint="eastAsia" w:ascii="宋体" w:hAnsi="宋体" w:cs="宋体"/>
          <w:color w:val="auto"/>
          <w:szCs w:val="21"/>
          <w:u w:val="single"/>
        </w:rPr>
        <w:t>（项目名称）</w:t>
      </w:r>
      <w:r>
        <w:rPr>
          <w:rFonts w:hint="eastAsia" w:ascii="宋体" w:hAnsi="宋体" w:cs="宋体"/>
          <w:color w:val="auto"/>
          <w:szCs w:val="21"/>
        </w:rPr>
        <w:t>的投标活动中，以我单位的名义签署投标书，与招标人协商、签订合同协议书以及执行一切与此有关的事项。</w:t>
      </w:r>
    </w:p>
    <w:p>
      <w:pPr>
        <w:spacing w:line="360" w:lineRule="auto"/>
        <w:jc w:val="left"/>
        <w:rPr>
          <w:rFonts w:ascii="宋体" w:hAnsi="宋体" w:cs="宋体"/>
          <w:color w:val="auto"/>
          <w:szCs w:val="21"/>
        </w:rPr>
      </w:pPr>
      <w:r>
        <w:rPr>
          <w:rFonts w:ascii="宋体" w:hAnsi="宋体" w:cs="宋体"/>
          <w:color w:val="auto"/>
          <w:szCs w:val="21"/>
        </w:rPr>
        <w:t xml:space="preserve">   </w:t>
      </w:r>
    </w:p>
    <w:p>
      <w:pPr>
        <w:spacing w:line="360" w:lineRule="auto"/>
        <w:jc w:val="left"/>
        <w:rPr>
          <w:rFonts w:ascii="宋体" w:hAnsi="宋体" w:cs="宋体"/>
          <w:color w:val="auto"/>
          <w:szCs w:val="21"/>
        </w:rPr>
      </w:pPr>
      <w:r>
        <w:rPr>
          <w:rFonts w:ascii="宋体" w:hAnsi="宋体" w:cs="宋体"/>
          <w:color w:val="auto"/>
          <w:szCs w:val="21"/>
        </w:rPr>
        <w:t xml:space="preserve">  </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          </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法定代表人：</w:t>
      </w:r>
      <w:r>
        <w:rPr>
          <w:rFonts w:ascii="宋体" w:hAnsi="宋体" w:cs="宋体"/>
          <w:color w:val="auto"/>
          <w:szCs w:val="21"/>
          <w:u w:val="single"/>
        </w:rPr>
        <w:t xml:space="preserve">    （签字或盖章 ）   </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被授权人（代理人）：</w:t>
      </w:r>
      <w:r>
        <w:rPr>
          <w:rFonts w:ascii="宋体" w:hAnsi="宋体" w:cs="宋体"/>
          <w:color w:val="auto"/>
          <w:szCs w:val="21"/>
          <w:u w:val="single"/>
        </w:rPr>
        <w:t xml:space="preserve"> （签字或盖章）</w:t>
      </w:r>
    </w:p>
    <w:p>
      <w:pPr>
        <w:spacing w:line="360" w:lineRule="auto"/>
        <w:ind w:firstLine="2444" w:firstLineChars="1164"/>
        <w:jc w:val="left"/>
        <w:rPr>
          <w:rFonts w:ascii="宋体" w:hAnsi="宋体" w:cs="宋体"/>
          <w:color w:val="auto"/>
          <w:szCs w:val="21"/>
        </w:rPr>
      </w:pPr>
      <w:r>
        <w:rPr>
          <w:rFonts w:hint="eastAsia" w:ascii="宋体" w:hAnsi="宋体" w:cs="宋体"/>
          <w:color w:val="auto"/>
          <w:szCs w:val="21"/>
        </w:rPr>
        <w:t>日</w:t>
      </w:r>
      <w:r>
        <w:rPr>
          <w:rFonts w:ascii="宋体" w:hAnsi="宋体" w:cs="宋体"/>
          <w:color w:val="auto"/>
          <w:szCs w:val="21"/>
        </w:rPr>
        <w:t xml:space="preserve">   </w:t>
      </w:r>
      <w:r>
        <w:rPr>
          <w:rFonts w:hint="eastAsia" w:ascii="宋体" w:hAnsi="宋体" w:cs="宋体"/>
          <w:color w:val="auto"/>
          <w:szCs w:val="21"/>
        </w:rPr>
        <w:t>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41" w:name="_Toc12457"/>
      <w:bookmarkStart w:id="42" w:name="_Toc377719915"/>
      <w:r>
        <w:rPr>
          <w:rFonts w:ascii="宋体" w:hAnsi="宋体" w:cs="宋体"/>
          <w:b/>
          <w:bCs/>
          <w:color w:val="auto"/>
          <w:sz w:val="30"/>
          <w:szCs w:val="30"/>
        </w:rPr>
        <w:t xml:space="preserve">5  </w:t>
      </w:r>
      <w:r>
        <w:rPr>
          <w:rFonts w:hint="eastAsia" w:ascii="宋体" w:hAnsi="宋体" w:cs="宋体"/>
          <w:b/>
          <w:bCs/>
          <w:color w:val="auto"/>
          <w:sz w:val="30"/>
          <w:szCs w:val="30"/>
        </w:rPr>
        <w:t>投标人简介</w:t>
      </w:r>
      <w:bookmarkEnd w:id="41"/>
      <w:bookmarkEnd w:id="42"/>
    </w:p>
    <w:p>
      <w:pPr>
        <w:spacing w:line="400" w:lineRule="exact"/>
        <w:jc w:val="left"/>
        <w:rPr>
          <w:rFonts w:ascii="宋体" w:hAnsi="宋体" w:cs="宋体"/>
          <w:color w:val="auto"/>
          <w:szCs w:val="21"/>
        </w:rPr>
      </w:pPr>
      <w:r>
        <w:rPr>
          <w:rFonts w:ascii="宋体" w:hAnsi="宋体" w:cs="宋体"/>
          <w:color w:val="auto"/>
          <w:szCs w:val="21"/>
        </w:rPr>
        <w:t>5.1投标单位一般情况表(表1)</w:t>
      </w:r>
    </w:p>
    <w:p>
      <w:pPr>
        <w:spacing w:line="400" w:lineRule="exact"/>
        <w:jc w:val="center"/>
        <w:rPr>
          <w:rFonts w:ascii="宋体" w:hAnsi="宋体" w:cs="宋体"/>
          <w:b/>
          <w:color w:val="auto"/>
          <w:szCs w:val="21"/>
        </w:rPr>
      </w:pPr>
      <w:r>
        <w:rPr>
          <w:rFonts w:hint="eastAsia" w:ascii="宋体" w:hAnsi="宋体" w:cs="宋体"/>
          <w:b/>
          <w:color w:val="auto"/>
          <w:szCs w:val="21"/>
        </w:rPr>
        <w:t>表一：投标单位一般情况表</w:t>
      </w:r>
    </w:p>
    <w:tbl>
      <w:tblPr>
        <w:tblStyle w:val="28"/>
        <w:tblW w:w="85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8"/>
        <w:gridCol w:w="540"/>
        <w:gridCol w:w="222"/>
        <w:gridCol w:w="678"/>
        <w:gridCol w:w="1260"/>
        <w:gridCol w:w="193"/>
        <w:gridCol w:w="1067"/>
        <w:gridCol w:w="1063"/>
        <w:gridCol w:w="1097"/>
        <w:gridCol w:w="10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8522" w:type="dxa"/>
            <w:gridSpan w:val="10"/>
            <w:tcBorders>
              <w:top w:val="single" w:color="auto" w:sz="12" w:space="0"/>
              <w:bottom w:val="single" w:color="auto" w:sz="12" w:space="0"/>
            </w:tcBorders>
          </w:tcPr>
          <w:p>
            <w:pPr>
              <w:tabs>
                <w:tab w:val="left" w:pos="4140"/>
              </w:tabs>
              <w:jc w:val="center"/>
              <w:rPr>
                <w:rFonts w:ascii="宋体" w:hAnsi="宋体" w:cs="宋体"/>
                <w:color w:val="auto"/>
                <w:spacing w:val="20"/>
                <w:szCs w:val="21"/>
              </w:rPr>
            </w:pPr>
            <w:r>
              <w:rPr>
                <w:rFonts w:ascii="宋体" w:hAnsi="宋体" w:cs="宋体"/>
                <w:color w:val="auto"/>
                <w:spacing w:val="20"/>
                <w:szCs w:val="21"/>
              </w:rPr>
              <w:t xml:space="preserve">1. </w:t>
            </w:r>
            <w:r>
              <w:rPr>
                <w:rFonts w:hint="eastAsia" w:ascii="宋体" w:hAnsi="宋体" w:cs="宋体"/>
                <w:color w:val="auto"/>
                <w:spacing w:val="20"/>
                <w:szCs w:val="21"/>
              </w:rPr>
              <w:t>简况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8522" w:type="dxa"/>
            <w:gridSpan w:val="10"/>
            <w:tcBorders>
              <w:top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单位名称：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0" w:hRule="atLeast"/>
          <w:jc w:val="center"/>
        </w:trPr>
        <w:tc>
          <w:tcPr>
            <w:tcW w:w="1908" w:type="dxa"/>
            <w:gridSpan w:val="2"/>
            <w:tcBorders>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具备资质情况</w:t>
            </w:r>
          </w:p>
        </w:tc>
        <w:tc>
          <w:tcPr>
            <w:tcW w:w="3420" w:type="dxa"/>
            <w:gridSpan w:val="5"/>
            <w:tcBorders>
              <w:bottom w:val="single" w:color="auto" w:sz="12" w:space="0"/>
            </w:tcBorders>
            <w:vAlign w:val="center"/>
          </w:tcPr>
          <w:p>
            <w:pPr>
              <w:tabs>
                <w:tab w:val="left" w:pos="4140"/>
              </w:tabs>
              <w:rPr>
                <w:rFonts w:ascii="宋体" w:hAnsi="宋体" w:cs="宋体"/>
                <w:color w:val="auto"/>
                <w:spacing w:val="20"/>
                <w:szCs w:val="21"/>
              </w:rPr>
            </w:pPr>
          </w:p>
        </w:tc>
        <w:tc>
          <w:tcPr>
            <w:tcW w:w="1063" w:type="dxa"/>
            <w:tcBorders>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证书编号</w:t>
            </w:r>
          </w:p>
        </w:tc>
        <w:tc>
          <w:tcPr>
            <w:tcW w:w="2131" w:type="dxa"/>
            <w:gridSpan w:val="2"/>
            <w:tcBorders>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jc w:val="center"/>
        </w:trPr>
        <w:tc>
          <w:tcPr>
            <w:tcW w:w="8522" w:type="dxa"/>
            <w:gridSpan w:val="10"/>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ascii="宋体" w:hAnsi="宋体" w:cs="宋体"/>
                <w:color w:val="auto"/>
                <w:spacing w:val="20"/>
                <w:szCs w:val="21"/>
              </w:rPr>
              <w:t xml:space="preserve">2. </w:t>
            </w:r>
            <w:r>
              <w:rPr>
                <w:rFonts w:hint="eastAsia" w:ascii="宋体" w:hAnsi="宋体" w:cs="宋体"/>
                <w:color w:val="auto"/>
                <w:spacing w:val="20"/>
                <w:szCs w:val="21"/>
              </w:rPr>
              <w:t>人员结构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jc w:val="center"/>
        </w:trPr>
        <w:tc>
          <w:tcPr>
            <w:tcW w:w="1368"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职工总数</w:t>
            </w:r>
          </w:p>
        </w:tc>
        <w:tc>
          <w:tcPr>
            <w:tcW w:w="1440" w:type="dxa"/>
            <w:gridSpan w:val="3"/>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c>
          <w:tcPr>
            <w:tcW w:w="1260"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20"/>
                <w:szCs w:val="21"/>
              </w:rPr>
              <w:t>专业人数</w:t>
            </w:r>
          </w:p>
        </w:tc>
        <w:tc>
          <w:tcPr>
            <w:tcW w:w="1260" w:type="dxa"/>
            <w:gridSpan w:val="2"/>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c>
          <w:tcPr>
            <w:tcW w:w="2160" w:type="dxa"/>
            <w:gridSpan w:val="2"/>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中级以上职称人数</w:t>
            </w:r>
          </w:p>
        </w:tc>
        <w:tc>
          <w:tcPr>
            <w:tcW w:w="1034"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74" w:hRule="atLeast"/>
          <w:jc w:val="center"/>
        </w:trPr>
        <w:tc>
          <w:tcPr>
            <w:tcW w:w="2808" w:type="dxa"/>
            <w:gridSpan w:val="4"/>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r>
              <w:rPr>
                <w:rFonts w:hint="eastAsia" w:ascii="宋体" w:hAnsi="宋体" w:cs="宋体"/>
                <w:color w:val="auto"/>
                <w:spacing w:val="6"/>
                <w:szCs w:val="21"/>
              </w:rPr>
              <w:t>从事试验检测工作</w:t>
            </w:r>
            <w:r>
              <w:rPr>
                <w:rFonts w:ascii="宋体" w:hAnsi="宋体" w:cs="宋体"/>
                <w:color w:val="auto"/>
                <w:spacing w:val="6"/>
                <w:szCs w:val="21"/>
              </w:rPr>
              <w:t>10年以上人数</w:t>
            </w:r>
          </w:p>
        </w:tc>
        <w:tc>
          <w:tcPr>
            <w:tcW w:w="1260"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c>
          <w:tcPr>
            <w:tcW w:w="3420" w:type="dxa"/>
            <w:gridSpan w:val="4"/>
            <w:tcBorders>
              <w:top w:val="single" w:color="auto" w:sz="12" w:space="0"/>
              <w:bottom w:val="single" w:color="auto" w:sz="12" w:space="0"/>
            </w:tcBorders>
            <w:vAlign w:val="center"/>
          </w:tcPr>
          <w:p>
            <w:pPr>
              <w:tabs>
                <w:tab w:val="left" w:pos="4140"/>
              </w:tabs>
              <w:rPr>
                <w:rFonts w:ascii="宋体" w:hAnsi="宋体" w:cs="宋体"/>
                <w:color w:val="auto"/>
                <w:spacing w:val="6"/>
                <w:szCs w:val="21"/>
              </w:rPr>
            </w:pPr>
            <w:r>
              <w:rPr>
                <w:rFonts w:hint="eastAsia" w:ascii="宋体" w:hAnsi="宋体" w:cs="宋体"/>
                <w:color w:val="auto"/>
                <w:spacing w:val="6"/>
                <w:szCs w:val="21"/>
              </w:rPr>
              <w:t>从事试验检测工作</w:t>
            </w:r>
            <w:r>
              <w:rPr>
                <w:rFonts w:ascii="宋体" w:hAnsi="宋体" w:cs="宋体"/>
                <w:color w:val="auto"/>
                <w:spacing w:val="6"/>
                <w:szCs w:val="21"/>
              </w:rPr>
              <w:t>3～10年人数</w:t>
            </w:r>
          </w:p>
        </w:tc>
        <w:tc>
          <w:tcPr>
            <w:tcW w:w="1034" w:type="dxa"/>
            <w:tcBorders>
              <w:top w:val="single" w:color="auto" w:sz="12" w:space="0"/>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8" w:hRule="atLeast"/>
          <w:jc w:val="center"/>
        </w:trPr>
        <w:tc>
          <w:tcPr>
            <w:tcW w:w="8522" w:type="dxa"/>
            <w:gridSpan w:val="10"/>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ascii="宋体" w:hAnsi="宋体" w:cs="宋体"/>
                <w:color w:val="auto"/>
                <w:spacing w:val="20"/>
                <w:szCs w:val="21"/>
              </w:rPr>
              <w:t>3.领导人名单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职务</w:t>
            </w:r>
          </w:p>
        </w:tc>
        <w:tc>
          <w:tcPr>
            <w:tcW w:w="2131" w:type="dxa"/>
            <w:gridSpan w:val="3"/>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姓名</w:t>
            </w:r>
          </w:p>
        </w:tc>
        <w:tc>
          <w:tcPr>
            <w:tcW w:w="2130" w:type="dxa"/>
            <w:gridSpan w:val="2"/>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20"/>
                <w:szCs w:val="21"/>
              </w:rPr>
              <w:t>职称</w:t>
            </w:r>
          </w:p>
        </w:tc>
        <w:tc>
          <w:tcPr>
            <w:tcW w:w="2131" w:type="dxa"/>
            <w:gridSpan w:val="2"/>
            <w:tcBorders>
              <w:top w:val="single" w:color="auto" w:sz="12" w:space="0"/>
            </w:tcBorders>
            <w:vAlign w:val="center"/>
          </w:tcPr>
          <w:p>
            <w:pPr>
              <w:tabs>
                <w:tab w:val="left" w:pos="4140"/>
              </w:tabs>
              <w:jc w:val="center"/>
              <w:rPr>
                <w:rFonts w:ascii="宋体" w:hAnsi="宋体" w:cs="宋体"/>
                <w:color w:val="auto"/>
                <w:spacing w:val="20"/>
                <w:szCs w:val="21"/>
              </w:rPr>
            </w:pPr>
            <w:r>
              <w:rPr>
                <w:rFonts w:hint="eastAsia" w:ascii="宋体" w:hAnsi="宋体" w:cs="宋体"/>
                <w:color w:val="auto"/>
                <w:spacing w:val="6"/>
                <w:szCs w:val="21"/>
              </w:rPr>
              <w:t>从事岗位业务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tcBorders>
              <w:bottom w:val="single" w:color="auto" w:sz="12" w:space="0"/>
            </w:tcBorders>
            <w:vAlign w:val="center"/>
          </w:tcPr>
          <w:p>
            <w:pPr>
              <w:tabs>
                <w:tab w:val="left" w:pos="4140"/>
              </w:tabs>
              <w:rPr>
                <w:rFonts w:ascii="宋体" w:hAnsi="宋体" w:cs="宋体"/>
                <w:color w:val="auto"/>
                <w:spacing w:val="20"/>
                <w:szCs w:val="21"/>
              </w:rPr>
            </w:pPr>
          </w:p>
        </w:tc>
        <w:tc>
          <w:tcPr>
            <w:tcW w:w="2131" w:type="dxa"/>
            <w:gridSpan w:val="3"/>
            <w:tcBorders>
              <w:bottom w:val="single" w:color="auto" w:sz="12" w:space="0"/>
            </w:tcBorders>
            <w:vAlign w:val="center"/>
          </w:tcPr>
          <w:p>
            <w:pPr>
              <w:tabs>
                <w:tab w:val="left" w:pos="4140"/>
              </w:tabs>
              <w:rPr>
                <w:rFonts w:ascii="宋体" w:hAnsi="宋体" w:cs="宋体"/>
                <w:color w:val="auto"/>
                <w:spacing w:val="20"/>
                <w:szCs w:val="21"/>
              </w:rPr>
            </w:pPr>
          </w:p>
        </w:tc>
        <w:tc>
          <w:tcPr>
            <w:tcW w:w="2130" w:type="dxa"/>
            <w:gridSpan w:val="2"/>
            <w:tcBorders>
              <w:bottom w:val="single" w:color="auto" w:sz="12" w:space="0"/>
            </w:tcBorders>
            <w:vAlign w:val="center"/>
          </w:tcPr>
          <w:p>
            <w:pPr>
              <w:tabs>
                <w:tab w:val="left" w:pos="4140"/>
              </w:tabs>
              <w:rPr>
                <w:rFonts w:ascii="宋体" w:hAnsi="宋体" w:cs="宋体"/>
                <w:color w:val="auto"/>
                <w:spacing w:val="20"/>
                <w:szCs w:val="21"/>
              </w:rPr>
            </w:pPr>
          </w:p>
        </w:tc>
        <w:tc>
          <w:tcPr>
            <w:tcW w:w="2131" w:type="dxa"/>
            <w:gridSpan w:val="2"/>
            <w:tcBorders>
              <w:bottom w:val="single" w:color="auto" w:sz="12" w:space="0"/>
            </w:tcBorders>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8522" w:type="dxa"/>
            <w:gridSpan w:val="10"/>
            <w:tcBorders>
              <w:top w:val="single" w:color="auto" w:sz="12" w:space="0"/>
              <w:bottom w:val="single" w:color="auto" w:sz="12" w:space="0"/>
            </w:tcBorders>
            <w:vAlign w:val="center"/>
          </w:tcPr>
          <w:p>
            <w:pPr>
              <w:tabs>
                <w:tab w:val="left" w:pos="4140"/>
              </w:tabs>
              <w:jc w:val="center"/>
              <w:rPr>
                <w:rFonts w:ascii="宋体" w:hAnsi="宋体" w:cs="宋体"/>
                <w:color w:val="auto"/>
                <w:spacing w:val="20"/>
                <w:szCs w:val="21"/>
              </w:rPr>
            </w:pPr>
            <w:r>
              <w:rPr>
                <w:rFonts w:ascii="宋体" w:hAnsi="宋体" w:cs="宋体"/>
                <w:color w:val="auto"/>
                <w:spacing w:val="20"/>
                <w:szCs w:val="21"/>
              </w:rPr>
              <w:t>4.联系方式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联系人</w:t>
            </w:r>
          </w:p>
        </w:tc>
        <w:tc>
          <w:tcPr>
            <w:tcW w:w="2131" w:type="dxa"/>
            <w:gridSpan w:val="3"/>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电话</w:t>
            </w:r>
          </w:p>
        </w:tc>
        <w:tc>
          <w:tcPr>
            <w:tcW w:w="2130" w:type="dxa"/>
            <w:gridSpan w:val="2"/>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手机</w:t>
            </w:r>
          </w:p>
        </w:tc>
        <w:tc>
          <w:tcPr>
            <w:tcW w:w="2131" w:type="dxa"/>
            <w:gridSpan w:val="2"/>
            <w:tcBorders>
              <w:top w:val="single" w:color="auto" w:sz="12" w:space="0"/>
            </w:tcBorders>
            <w:vAlign w:val="center"/>
          </w:tcPr>
          <w:p>
            <w:pPr>
              <w:tabs>
                <w:tab w:val="left" w:pos="4140"/>
              </w:tabs>
              <w:jc w:val="center"/>
              <w:rPr>
                <w:rFonts w:ascii="宋体" w:hAnsi="宋体" w:cs="宋体"/>
                <w:color w:val="auto"/>
                <w:spacing w:val="6"/>
                <w:szCs w:val="21"/>
              </w:rPr>
            </w:pPr>
            <w:r>
              <w:rPr>
                <w:rFonts w:hint="eastAsia" w:ascii="宋体" w:hAnsi="宋体" w:cs="宋体"/>
                <w:color w:val="auto"/>
                <w:spacing w:val="6"/>
                <w:szCs w:val="21"/>
              </w:rPr>
              <w:t>传真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30" w:type="dxa"/>
            <w:gridSpan w:val="3"/>
            <w:vAlign w:val="center"/>
          </w:tcPr>
          <w:p>
            <w:pPr>
              <w:tabs>
                <w:tab w:val="left" w:pos="4140"/>
              </w:tabs>
              <w:rPr>
                <w:rFonts w:ascii="宋体" w:hAnsi="宋体" w:cs="宋体"/>
                <w:color w:val="auto"/>
                <w:spacing w:val="20"/>
                <w:szCs w:val="21"/>
              </w:rPr>
            </w:pPr>
          </w:p>
        </w:tc>
        <w:tc>
          <w:tcPr>
            <w:tcW w:w="2131" w:type="dxa"/>
            <w:gridSpan w:val="3"/>
            <w:vAlign w:val="center"/>
          </w:tcPr>
          <w:p>
            <w:pPr>
              <w:tabs>
                <w:tab w:val="left" w:pos="4140"/>
              </w:tabs>
              <w:rPr>
                <w:rFonts w:ascii="宋体" w:hAnsi="宋体" w:cs="宋体"/>
                <w:color w:val="auto"/>
                <w:spacing w:val="20"/>
                <w:szCs w:val="21"/>
              </w:rPr>
            </w:pPr>
          </w:p>
        </w:tc>
        <w:tc>
          <w:tcPr>
            <w:tcW w:w="2130" w:type="dxa"/>
            <w:gridSpan w:val="2"/>
            <w:vAlign w:val="center"/>
          </w:tcPr>
          <w:p>
            <w:pPr>
              <w:tabs>
                <w:tab w:val="left" w:pos="4140"/>
              </w:tabs>
              <w:rPr>
                <w:rFonts w:ascii="宋体" w:hAnsi="宋体" w:cs="宋体"/>
                <w:color w:val="auto"/>
                <w:spacing w:val="20"/>
                <w:szCs w:val="21"/>
              </w:rPr>
            </w:pPr>
          </w:p>
        </w:tc>
        <w:tc>
          <w:tcPr>
            <w:tcW w:w="2131" w:type="dxa"/>
            <w:gridSpan w:val="2"/>
            <w:vAlign w:val="center"/>
          </w:tcPr>
          <w:p>
            <w:pPr>
              <w:tabs>
                <w:tab w:val="left" w:pos="4140"/>
              </w:tabs>
              <w:rPr>
                <w:rFonts w:ascii="宋体" w:hAnsi="宋体" w:cs="宋体"/>
                <w:color w:val="auto"/>
                <w:spacing w:val="20"/>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 xml:space="preserve"> 1、联系人栏应填写两个人的联系方式以便于联系</w:t>
      </w:r>
    </w:p>
    <w:p>
      <w:pPr>
        <w:spacing w:line="400" w:lineRule="exact"/>
        <w:ind w:firstLine="525" w:firstLineChars="250"/>
        <w:jc w:val="left"/>
        <w:rPr>
          <w:rFonts w:ascii="宋体" w:hAnsi="宋体" w:cs="宋体"/>
          <w:color w:val="auto"/>
          <w:szCs w:val="21"/>
        </w:rPr>
      </w:pPr>
      <w:r>
        <w:rPr>
          <w:rFonts w:ascii="宋体" w:hAnsi="宋体" w:cs="宋体"/>
          <w:color w:val="auto"/>
          <w:szCs w:val="21"/>
        </w:rPr>
        <w:t>2、投标单位简介应简述试验检测投标单位成立时间、单位主要人员结构、单位主要业绩、试验检测业务能力、与本试验检测项目类似的试验检测项目业绩；</w:t>
      </w:r>
    </w:p>
    <w:p>
      <w:pPr>
        <w:spacing w:line="400" w:lineRule="exact"/>
        <w:jc w:val="left"/>
        <w:rPr>
          <w:rFonts w:ascii="宋体" w:hAnsi="宋体" w:cs="宋体"/>
          <w:color w:val="auto"/>
          <w:szCs w:val="21"/>
        </w:rPr>
      </w:pPr>
      <w:r>
        <w:rPr>
          <w:rFonts w:ascii="宋体" w:hAnsi="宋体" w:cs="宋体"/>
          <w:color w:val="auto"/>
          <w:szCs w:val="21"/>
        </w:rPr>
        <w:t xml:space="preserve">    3、其它证明本单位具有招标公告要求的合格投标人资料：</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 xml:space="preserve">1）营业执照副本复印件，如营业执照副本中没有体现经营范围的，则须提供工商部门网站 </w:t>
      </w:r>
      <w:r>
        <w:rPr>
          <w:rFonts w:hint="eastAsia" w:ascii="宋体" w:hAnsi="宋体" w:cs="宋体"/>
          <w:color w:val="auto"/>
          <w:szCs w:val="21"/>
        </w:rPr>
        <w:t>“商事主体登记及备案信息查询单”查询页面（含经营范围）打印件，或有体现经营范围的《税务登记证》。</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2）质量技术监督部门颁发的CMA计量认证合格证书复印件（建议在复印件中标识认证范围覆盖本次招标内容的部分）</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3）投标人应依据《东莞市住房和城乡建设局建设工程质量检测管理暂行规定》（东建〔2017〕4号）</w:t>
      </w:r>
      <w:r>
        <w:rPr>
          <w:rFonts w:hint="eastAsia" w:ascii="宋体" w:hAnsi="宋体" w:cs="宋体"/>
          <w:color w:val="auto"/>
          <w:szCs w:val="21"/>
        </w:rPr>
        <w:t>要求到东莞市住建局建立信用信息档案，且信用信息档案内的资质范围须覆盖本次招标</w:t>
      </w:r>
      <w:r>
        <w:rPr>
          <w:rFonts w:ascii="宋体" w:hAnsi="宋体" w:cs="宋体"/>
          <w:color w:val="auto"/>
          <w:szCs w:val="21"/>
        </w:rPr>
        <w:t>内容（本次招标内容，详见本公告附件三）。提供东莞市住建局</w:t>
      </w:r>
      <w:r>
        <w:rPr>
          <w:rFonts w:hint="eastAsia" w:ascii="宋体" w:hAnsi="宋体" w:cs="宋体"/>
          <w:color w:val="auto"/>
          <w:szCs w:val="21"/>
        </w:rPr>
        <w:t>建立信用信息档案</w:t>
      </w:r>
      <w:r>
        <w:rPr>
          <w:rFonts w:hint="eastAsia" w:ascii="宋体" w:hAnsi="宋体" w:cs="宋体"/>
          <w:color w:val="auto"/>
          <w:szCs w:val="21"/>
          <w:lang w:eastAsia="zh-CN"/>
        </w:rPr>
        <w:t>网上打印件</w:t>
      </w:r>
      <w:r>
        <w:rPr>
          <w:rFonts w:ascii="宋体" w:hAnsi="宋体" w:cs="宋体"/>
          <w:color w:val="auto"/>
          <w:szCs w:val="21"/>
        </w:rPr>
        <w:t>（建议在</w:t>
      </w:r>
      <w:r>
        <w:rPr>
          <w:rFonts w:hint="eastAsia" w:ascii="宋体" w:hAnsi="宋体" w:cs="宋体"/>
          <w:color w:val="auto"/>
          <w:szCs w:val="21"/>
          <w:lang w:eastAsia="zh-CN"/>
        </w:rPr>
        <w:t>打印件</w:t>
      </w:r>
      <w:r>
        <w:rPr>
          <w:rFonts w:ascii="宋体" w:hAnsi="宋体" w:cs="宋体"/>
          <w:color w:val="auto"/>
          <w:szCs w:val="21"/>
        </w:rPr>
        <w:t>中标识认证范围覆盖本次招标内容的部分）</w:t>
      </w:r>
    </w:p>
    <w:p>
      <w:pPr>
        <w:spacing w:line="400" w:lineRule="exact"/>
        <w:jc w:val="left"/>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）其他投标人认为需要提交的资料</w:t>
      </w:r>
    </w:p>
    <w:p>
      <w:pPr>
        <w:spacing w:line="400" w:lineRule="exact"/>
        <w:jc w:val="left"/>
        <w:rPr>
          <w:rFonts w:ascii="宋体" w:hAnsi="宋体" w:cs="宋体"/>
          <w:color w:val="auto"/>
          <w:szCs w:val="21"/>
        </w:rPr>
      </w:pPr>
      <w:r>
        <w:rPr>
          <w:rFonts w:ascii="宋体" w:hAnsi="宋体" w:cs="宋体"/>
          <w:color w:val="auto"/>
          <w:szCs w:val="21"/>
        </w:rPr>
        <w:t>4、其它证明本单位现有实力的材料。</w:t>
      </w: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Cs w:val="21"/>
        </w:rPr>
        <w:sectPr>
          <w:footerReference r:id="rId5" w:type="default"/>
          <w:pgSz w:w="11906" w:h="16838"/>
          <w:pgMar w:top="1418" w:right="1701" w:bottom="1418" w:left="1701" w:header="851" w:footer="794" w:gutter="0"/>
          <w:cols w:space="720" w:num="1"/>
          <w:docGrid w:type="lines" w:linePitch="312" w:charSpace="0"/>
        </w:sectPr>
      </w:pPr>
      <w:bookmarkStart w:id="43" w:name="_Toc377719916"/>
    </w:p>
    <w:p>
      <w:pPr>
        <w:keepNext/>
        <w:keepLines/>
        <w:spacing w:before="240" w:after="240" w:line="416" w:lineRule="auto"/>
        <w:outlineLvl w:val="1"/>
        <w:rPr>
          <w:rFonts w:ascii="宋体" w:hAnsi="宋体" w:cs="宋体"/>
          <w:b/>
          <w:bCs/>
          <w:color w:val="auto"/>
          <w:sz w:val="30"/>
          <w:szCs w:val="30"/>
        </w:rPr>
      </w:pPr>
      <w:bookmarkStart w:id="44" w:name="_Toc22941"/>
      <w:r>
        <w:rPr>
          <w:rFonts w:ascii="宋体" w:hAnsi="宋体" w:cs="宋体"/>
          <w:b/>
          <w:bCs/>
          <w:color w:val="auto"/>
          <w:sz w:val="30"/>
          <w:szCs w:val="30"/>
        </w:rPr>
        <w:t xml:space="preserve">6  </w:t>
      </w:r>
      <w:r>
        <w:rPr>
          <w:rFonts w:hint="eastAsia" w:ascii="宋体" w:hAnsi="宋体" w:cs="宋体"/>
          <w:b/>
          <w:bCs/>
          <w:color w:val="auto"/>
          <w:sz w:val="30"/>
          <w:szCs w:val="30"/>
        </w:rPr>
        <w:t>本项目组织机构和拟派人员</w:t>
      </w:r>
      <w:bookmarkEnd w:id="43"/>
      <w:bookmarkEnd w:id="44"/>
    </w:p>
    <w:p>
      <w:pPr>
        <w:spacing w:line="400" w:lineRule="exact"/>
        <w:jc w:val="left"/>
        <w:rPr>
          <w:rFonts w:ascii="宋体" w:hAnsi="宋体" w:cs="宋体"/>
          <w:b/>
          <w:color w:val="auto"/>
          <w:szCs w:val="21"/>
        </w:rPr>
      </w:pPr>
      <w:r>
        <w:rPr>
          <w:rFonts w:ascii="宋体" w:hAnsi="宋体" w:cs="宋体"/>
          <w:b/>
          <w:color w:val="auto"/>
          <w:szCs w:val="21"/>
        </w:rPr>
        <w:t xml:space="preserve">6.1  </w:t>
      </w:r>
      <w:r>
        <w:rPr>
          <w:rFonts w:hint="eastAsia" w:ascii="宋体" w:hAnsi="宋体" w:cs="宋体"/>
          <w:b/>
          <w:color w:val="auto"/>
          <w:szCs w:val="21"/>
        </w:rPr>
        <w:t>本项目的组织架构图</w:t>
      </w:r>
    </w:p>
    <w:p>
      <w:pPr>
        <w:spacing w:line="400" w:lineRule="exact"/>
        <w:jc w:val="left"/>
        <w:rPr>
          <w:rFonts w:ascii="宋体" w:hAnsi="宋体" w:cs="宋体"/>
          <w:b/>
          <w:color w:val="auto"/>
          <w:szCs w:val="21"/>
        </w:rPr>
      </w:pPr>
    </w:p>
    <w:p>
      <w:pPr>
        <w:spacing w:line="400" w:lineRule="exact"/>
        <w:jc w:val="left"/>
        <w:rPr>
          <w:rFonts w:ascii="宋体" w:hAnsi="宋体" w:cs="宋体"/>
          <w:color w:val="auto"/>
          <w:szCs w:val="21"/>
        </w:rPr>
      </w:pPr>
      <w:r>
        <w:rPr>
          <w:rFonts w:ascii="宋体" w:hAnsi="宋体" w:cs="宋体"/>
          <w:b/>
          <w:color w:val="auto"/>
          <w:szCs w:val="21"/>
        </w:rPr>
        <w:t xml:space="preserve">6.2  </w:t>
      </w:r>
      <w:r>
        <w:rPr>
          <w:rFonts w:hint="eastAsia" w:ascii="宋体" w:hAnsi="宋体" w:cs="宋体"/>
          <w:b/>
          <w:color w:val="auto"/>
          <w:szCs w:val="21"/>
        </w:rPr>
        <w:t>拟投入本项目的试验检测人员，按下表格式提供。</w:t>
      </w:r>
    </w:p>
    <w:p>
      <w:pPr>
        <w:spacing w:line="400" w:lineRule="exact"/>
        <w:jc w:val="left"/>
        <w:rPr>
          <w:rFonts w:ascii="宋体" w:hAnsi="宋体" w:cs="宋体"/>
          <w:color w:val="auto"/>
          <w:szCs w:val="21"/>
        </w:rPr>
      </w:pPr>
    </w:p>
    <w:p>
      <w:pPr>
        <w:spacing w:line="400" w:lineRule="exact"/>
        <w:jc w:val="center"/>
        <w:rPr>
          <w:rFonts w:ascii="宋体" w:hAnsi="宋体" w:cs="宋体"/>
          <w:b/>
          <w:color w:val="auto"/>
          <w:szCs w:val="21"/>
        </w:rPr>
      </w:pPr>
      <w:r>
        <w:rPr>
          <w:rFonts w:hint="eastAsia" w:ascii="宋体" w:hAnsi="宋体" w:cs="宋体"/>
          <w:b/>
          <w:color w:val="auto"/>
          <w:szCs w:val="21"/>
        </w:rPr>
        <w:t>表二：拟投入本项目的试验检测人员一览表</w:t>
      </w:r>
    </w:p>
    <w:p>
      <w:pPr>
        <w:spacing w:line="400" w:lineRule="exact"/>
        <w:jc w:val="left"/>
        <w:rPr>
          <w:rFonts w:ascii="宋体" w:hAnsi="宋体" w:cs="宋体"/>
          <w:color w:val="auto"/>
          <w:szCs w:val="21"/>
        </w:rPr>
      </w:pP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r>
        <w:rPr>
          <w:rFonts w:ascii="宋体" w:hAnsi="宋体" w:cs="宋体"/>
          <w:color w:val="auto"/>
          <w:szCs w:val="21"/>
        </w:rPr>
        <w:tab/>
      </w:r>
    </w:p>
    <w:tbl>
      <w:tblPr>
        <w:tblStyle w:val="28"/>
        <w:tblW w:w="8694" w:type="dxa"/>
        <w:jc w:val="center"/>
        <w:tblInd w:w="0" w:type="dxa"/>
        <w:tblLayout w:type="fixed"/>
        <w:tblCellMar>
          <w:top w:w="0" w:type="dxa"/>
          <w:left w:w="108" w:type="dxa"/>
          <w:bottom w:w="0" w:type="dxa"/>
          <w:right w:w="108" w:type="dxa"/>
        </w:tblCellMar>
      </w:tblPr>
      <w:tblGrid>
        <w:gridCol w:w="489"/>
        <w:gridCol w:w="652"/>
        <w:gridCol w:w="1313"/>
        <w:gridCol w:w="964"/>
        <w:gridCol w:w="899"/>
        <w:gridCol w:w="770"/>
        <w:gridCol w:w="1155"/>
        <w:gridCol w:w="1226"/>
        <w:gridCol w:w="1226"/>
      </w:tblGrid>
      <w:tr>
        <w:tblPrEx>
          <w:tblLayout w:type="fixed"/>
          <w:tblCellMar>
            <w:top w:w="0" w:type="dxa"/>
            <w:left w:w="108" w:type="dxa"/>
            <w:bottom w:w="0" w:type="dxa"/>
            <w:right w:w="108" w:type="dxa"/>
          </w:tblCellMar>
        </w:tblPrEx>
        <w:trPr>
          <w:trHeight w:val="716" w:hRule="atLeast"/>
          <w:jc w:val="center"/>
        </w:trPr>
        <w:tc>
          <w:tcPr>
            <w:tcW w:w="489"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w:t>
            </w:r>
            <w:r>
              <w:rPr>
                <w:rFonts w:ascii="宋体" w:hAnsi="宋体" w:cs="宋体"/>
                <w:b/>
                <w:bCs/>
                <w:color w:val="auto"/>
                <w:kern w:val="0"/>
                <w:szCs w:val="21"/>
              </w:rPr>
              <w:t xml:space="preserve">                </w:t>
            </w:r>
            <w:r>
              <w:rPr>
                <w:rFonts w:hint="eastAsia" w:ascii="宋体" w:hAnsi="宋体" w:cs="宋体"/>
                <w:b/>
                <w:bCs/>
                <w:color w:val="auto"/>
                <w:kern w:val="0"/>
                <w:szCs w:val="21"/>
              </w:rPr>
              <w:t>号</w:t>
            </w:r>
          </w:p>
        </w:tc>
        <w:tc>
          <w:tcPr>
            <w:tcW w:w="652"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姓名</w:t>
            </w:r>
          </w:p>
        </w:tc>
        <w:tc>
          <w:tcPr>
            <w:tcW w:w="1313"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拟在本项目中任职</w:t>
            </w:r>
          </w:p>
        </w:tc>
        <w:tc>
          <w:tcPr>
            <w:tcW w:w="96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毕业学校、专业</w:t>
            </w:r>
          </w:p>
        </w:tc>
        <w:tc>
          <w:tcPr>
            <w:tcW w:w="899"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学</w:t>
            </w:r>
            <w:r>
              <w:rPr>
                <w:rFonts w:ascii="宋体" w:hAnsi="宋体" w:cs="宋体"/>
                <w:b/>
                <w:bCs/>
                <w:color w:val="auto"/>
                <w:kern w:val="0"/>
                <w:szCs w:val="21"/>
              </w:rPr>
              <w:t xml:space="preserve"> </w:t>
            </w:r>
            <w:r>
              <w:rPr>
                <w:rFonts w:hint="eastAsia" w:ascii="宋体" w:hAnsi="宋体" w:cs="宋体"/>
                <w:b/>
                <w:bCs/>
                <w:color w:val="auto"/>
                <w:kern w:val="0"/>
                <w:szCs w:val="21"/>
              </w:rPr>
              <w:t>历</w:t>
            </w:r>
          </w:p>
        </w:tc>
        <w:tc>
          <w:tcPr>
            <w:tcW w:w="77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职</w:t>
            </w:r>
            <w:r>
              <w:rPr>
                <w:rFonts w:ascii="宋体" w:hAnsi="宋体" w:cs="宋体"/>
                <w:b/>
                <w:bCs/>
                <w:color w:val="auto"/>
                <w:kern w:val="0"/>
                <w:szCs w:val="21"/>
              </w:rPr>
              <w:t xml:space="preserve"> </w:t>
            </w:r>
            <w:r>
              <w:rPr>
                <w:rFonts w:hint="eastAsia" w:ascii="宋体" w:hAnsi="宋体" w:cs="宋体"/>
                <w:b/>
                <w:bCs/>
                <w:color w:val="auto"/>
                <w:kern w:val="0"/>
                <w:szCs w:val="21"/>
              </w:rPr>
              <w:t>称</w:t>
            </w:r>
          </w:p>
        </w:tc>
        <w:tc>
          <w:tcPr>
            <w:tcW w:w="1155"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参加工作时间</w:t>
            </w:r>
          </w:p>
        </w:tc>
        <w:tc>
          <w:tcPr>
            <w:tcW w:w="1226"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从事试验检测工作年限</w:t>
            </w:r>
          </w:p>
        </w:tc>
        <w:tc>
          <w:tcPr>
            <w:tcW w:w="1226"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外聘</w:t>
            </w:r>
            <w:r>
              <w:rPr>
                <w:rFonts w:ascii="宋体" w:hAnsi="宋体" w:cs="宋体"/>
                <w:b/>
                <w:bCs/>
                <w:color w:val="auto"/>
                <w:kern w:val="0"/>
                <w:szCs w:val="21"/>
              </w:rPr>
              <w:t>/返聘</w:t>
            </w:r>
          </w:p>
        </w:tc>
      </w:tr>
      <w:tr>
        <w:tblPrEx>
          <w:tblLayout w:type="fixed"/>
          <w:tblCellMar>
            <w:top w:w="0" w:type="dxa"/>
            <w:left w:w="108" w:type="dxa"/>
            <w:bottom w:w="0" w:type="dxa"/>
            <w:right w:w="108" w:type="dxa"/>
          </w:tblCellMar>
        </w:tblPrEx>
        <w:trPr>
          <w:trHeight w:val="552"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r>
              <w:rPr>
                <w:rFonts w:hint="eastAsia" w:ascii="宋体" w:hAnsi="宋体" w:cs="宋体"/>
                <w:color w:val="auto"/>
                <w:kern w:val="0"/>
                <w:sz w:val="18"/>
                <w:szCs w:val="18"/>
              </w:rPr>
              <w:t>项目负责人</w:t>
            </w: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900"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r>
              <w:rPr>
                <w:rFonts w:hint="eastAsia" w:ascii="宋体" w:hAnsi="宋体" w:cs="宋体"/>
                <w:color w:val="auto"/>
                <w:kern w:val="0"/>
                <w:sz w:val="18"/>
                <w:szCs w:val="18"/>
              </w:rPr>
              <w:t>地基基础专项检测负责人</w:t>
            </w: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718"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r>
              <w:rPr>
                <w:rFonts w:hint="eastAsia" w:ascii="宋体" w:hAnsi="宋体" w:cs="宋体"/>
                <w:color w:val="auto"/>
                <w:kern w:val="0"/>
                <w:sz w:val="18"/>
                <w:szCs w:val="18"/>
              </w:rPr>
              <w:t>主体结构专项检测负责人</w:t>
            </w: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602"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626"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rPr>
                <w:rFonts w:ascii="宋体" w:hAnsi="宋体" w:cs="宋体"/>
                <w:color w:val="auto"/>
                <w:kern w:val="0"/>
                <w:sz w:val="18"/>
                <w:szCs w:val="18"/>
              </w:rPr>
            </w:pP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40" w:hRule="exact"/>
          <w:jc w:val="center"/>
        </w:trPr>
        <w:tc>
          <w:tcPr>
            <w:tcW w:w="489"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506"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70"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58"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70"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290"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8" w:hRule="exact"/>
          <w:jc w:val="center"/>
        </w:trPr>
        <w:tc>
          <w:tcPr>
            <w:tcW w:w="489"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652"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313"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96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899"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770"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155"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c>
          <w:tcPr>
            <w:tcW w:w="1226" w:type="dxa"/>
            <w:tcBorders>
              <w:top w:val="single" w:color="auto" w:sz="4" w:space="0"/>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注：若属外聘或返聘人员请注明。项目负责人、地基基础专项检测负责人、主体结构专项检测负责人不得使用外聘或返聘人员；除上述项目负责人、地基基础专项检测负责人、主体结构专项检测负责人外，其他人员中，属外聘或返聘人员的数量之和不得超过</w:t>
      </w:r>
      <w:r>
        <w:rPr>
          <w:rFonts w:ascii="宋体" w:hAnsi="宋体" w:cs="宋体"/>
          <w:color w:val="auto"/>
          <w:szCs w:val="21"/>
        </w:rPr>
        <w:t>20%</w:t>
      </w:r>
      <w:r>
        <w:rPr>
          <w:rFonts w:hint="eastAsia" w:ascii="宋体" w:hAnsi="宋体" w:cs="宋体"/>
          <w:color w:val="auto"/>
          <w:szCs w:val="21"/>
        </w:rPr>
        <w:t>。</w:t>
      </w:r>
    </w:p>
    <w:p>
      <w:pPr>
        <w:spacing w:line="400" w:lineRule="exact"/>
        <w:jc w:val="left"/>
        <w:rPr>
          <w:rFonts w:ascii="宋体" w:hAnsi="宋体" w:cs="宋体"/>
          <w:color w:val="auto"/>
          <w:szCs w:val="21"/>
        </w:rPr>
      </w:pPr>
      <w:r>
        <w:rPr>
          <w:rFonts w:ascii="宋体" w:hAnsi="宋体" w:cs="宋体"/>
          <w:color w:val="auto"/>
          <w:szCs w:val="21"/>
        </w:rPr>
        <w:t xml:space="preserve"> </w:t>
      </w:r>
    </w:p>
    <w:p>
      <w:pPr>
        <w:spacing w:line="400" w:lineRule="exact"/>
        <w:jc w:val="left"/>
        <w:rPr>
          <w:rFonts w:ascii="宋体" w:hAnsi="宋体" w:cs="宋体"/>
          <w:color w:val="auto"/>
          <w:szCs w:val="21"/>
        </w:rPr>
      </w:pPr>
      <w:r>
        <w:rPr>
          <w:rFonts w:ascii="宋体" w:hAnsi="宋体" w:cs="宋体"/>
          <w:color w:val="auto"/>
          <w:szCs w:val="21"/>
        </w:rPr>
        <w:br w:type="page"/>
      </w:r>
      <w:r>
        <w:rPr>
          <w:rFonts w:ascii="宋体" w:hAnsi="宋体" w:cs="宋体"/>
          <w:color w:val="auto"/>
          <w:szCs w:val="21"/>
        </w:rPr>
        <w:t xml:space="preserve">6.3  </w:t>
      </w:r>
      <w:r>
        <w:rPr>
          <w:rFonts w:hint="eastAsia" w:ascii="宋体" w:hAnsi="宋体" w:cs="宋体"/>
          <w:color w:val="auto"/>
          <w:szCs w:val="21"/>
        </w:rPr>
        <w:t>拟投入本项目的主要试验检测人员简历表（表三）</w:t>
      </w:r>
    </w:p>
    <w:p>
      <w:pPr>
        <w:spacing w:line="400" w:lineRule="exact"/>
        <w:jc w:val="left"/>
        <w:rPr>
          <w:rFonts w:ascii="宋体" w:hAnsi="宋体" w:cs="宋体"/>
          <w:color w:val="auto"/>
          <w:szCs w:val="21"/>
        </w:rPr>
      </w:pPr>
    </w:p>
    <w:p>
      <w:pPr>
        <w:spacing w:line="400" w:lineRule="exact"/>
        <w:jc w:val="center"/>
        <w:rPr>
          <w:rFonts w:ascii="宋体" w:hAnsi="宋体" w:cs="宋体"/>
          <w:b/>
          <w:color w:val="auto"/>
          <w:szCs w:val="21"/>
        </w:rPr>
      </w:pPr>
      <w:r>
        <w:rPr>
          <w:rFonts w:hint="eastAsia" w:ascii="宋体" w:hAnsi="宋体" w:cs="宋体"/>
          <w:b/>
          <w:color w:val="auto"/>
          <w:szCs w:val="21"/>
        </w:rPr>
        <w:t>表三：拟投入本项目的主要试验检测人员简历表</w:t>
      </w:r>
    </w:p>
    <w:tbl>
      <w:tblPr>
        <w:tblStyle w:val="28"/>
        <w:tblW w:w="8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20"/>
        <w:gridCol w:w="603"/>
        <w:gridCol w:w="477"/>
        <w:gridCol w:w="720"/>
        <w:gridCol w:w="508"/>
        <w:gridCol w:w="212"/>
        <w:gridCol w:w="1083"/>
        <w:gridCol w:w="409"/>
        <w:gridCol w:w="675"/>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姓名</w:t>
            </w:r>
          </w:p>
        </w:tc>
        <w:tc>
          <w:tcPr>
            <w:tcW w:w="1620" w:type="dxa"/>
            <w:vAlign w:val="center"/>
          </w:tcPr>
          <w:p>
            <w:pPr>
              <w:tabs>
                <w:tab w:val="left" w:pos="4140"/>
              </w:tabs>
              <w:jc w:val="center"/>
              <w:rPr>
                <w:rFonts w:ascii="宋体" w:hAnsi="宋体" w:cs="宋体"/>
                <w:color w:val="auto"/>
                <w:szCs w:val="21"/>
              </w:rPr>
            </w:pPr>
          </w:p>
        </w:tc>
        <w:tc>
          <w:tcPr>
            <w:tcW w:w="1080" w:type="dxa"/>
            <w:gridSpan w:val="2"/>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性别</w:t>
            </w:r>
          </w:p>
        </w:tc>
        <w:tc>
          <w:tcPr>
            <w:tcW w:w="720" w:type="dxa"/>
            <w:tcBorders>
              <w:left w:val="single" w:color="auto" w:sz="2" w:space="0"/>
            </w:tcBorders>
            <w:vAlign w:val="center"/>
          </w:tcPr>
          <w:p>
            <w:pPr>
              <w:tabs>
                <w:tab w:val="left" w:pos="4140"/>
              </w:tabs>
              <w:jc w:val="center"/>
              <w:rPr>
                <w:rFonts w:ascii="宋体" w:hAnsi="宋体" w:cs="宋体"/>
                <w:color w:val="auto"/>
                <w:szCs w:val="21"/>
              </w:rPr>
            </w:pPr>
          </w:p>
        </w:tc>
        <w:tc>
          <w:tcPr>
            <w:tcW w:w="720" w:type="dxa"/>
            <w:gridSpan w:val="2"/>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出生</w:t>
            </w:r>
          </w:p>
          <w:p>
            <w:pPr>
              <w:tabs>
                <w:tab w:val="left" w:pos="4140"/>
              </w:tabs>
              <w:jc w:val="center"/>
              <w:rPr>
                <w:rFonts w:ascii="宋体" w:hAnsi="宋体" w:cs="宋体"/>
                <w:color w:val="auto"/>
                <w:szCs w:val="21"/>
              </w:rPr>
            </w:pPr>
            <w:r>
              <w:rPr>
                <w:rFonts w:hint="eastAsia" w:ascii="宋体" w:hAnsi="宋体" w:cs="宋体"/>
                <w:color w:val="auto"/>
                <w:szCs w:val="21"/>
              </w:rPr>
              <w:t>年月</w:t>
            </w:r>
          </w:p>
        </w:tc>
        <w:tc>
          <w:tcPr>
            <w:tcW w:w="1492" w:type="dxa"/>
            <w:gridSpan w:val="2"/>
            <w:tcBorders>
              <w:left w:val="single" w:color="auto" w:sz="2" w:space="0"/>
            </w:tcBorders>
            <w:vAlign w:val="center"/>
          </w:tcPr>
          <w:p>
            <w:pPr>
              <w:tabs>
                <w:tab w:val="left" w:pos="4140"/>
              </w:tabs>
              <w:jc w:val="center"/>
              <w:rPr>
                <w:rFonts w:ascii="宋体" w:hAnsi="宋体" w:cs="宋体"/>
                <w:color w:val="auto"/>
                <w:szCs w:val="21"/>
              </w:rPr>
            </w:pPr>
          </w:p>
        </w:tc>
        <w:tc>
          <w:tcPr>
            <w:tcW w:w="675" w:type="dxa"/>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文化程度</w:t>
            </w:r>
          </w:p>
        </w:tc>
        <w:tc>
          <w:tcPr>
            <w:tcW w:w="1033" w:type="dxa"/>
            <w:tcBorders>
              <w:left w:val="single" w:color="auto" w:sz="2" w:space="0"/>
            </w:tcBorders>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毕业院校</w:t>
            </w:r>
          </w:p>
        </w:tc>
        <w:tc>
          <w:tcPr>
            <w:tcW w:w="2700" w:type="dxa"/>
            <w:gridSpan w:val="3"/>
            <w:tcBorders>
              <w:right w:val="single" w:color="auto" w:sz="2" w:space="0"/>
            </w:tcBorders>
            <w:vAlign w:val="center"/>
          </w:tcPr>
          <w:p>
            <w:pPr>
              <w:tabs>
                <w:tab w:val="left" w:pos="4140"/>
              </w:tabs>
              <w:jc w:val="center"/>
              <w:rPr>
                <w:rFonts w:ascii="宋体" w:hAnsi="宋体" w:cs="宋体"/>
                <w:color w:val="auto"/>
                <w:szCs w:val="21"/>
              </w:rPr>
            </w:pPr>
          </w:p>
        </w:tc>
        <w:tc>
          <w:tcPr>
            <w:tcW w:w="720" w:type="dxa"/>
            <w:tcBorders>
              <w:left w:val="single" w:color="auto" w:sz="2" w:space="0"/>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专业</w:t>
            </w:r>
          </w:p>
        </w:tc>
        <w:tc>
          <w:tcPr>
            <w:tcW w:w="1803" w:type="dxa"/>
            <w:gridSpan w:val="3"/>
            <w:tcBorders>
              <w:left w:val="single" w:color="auto" w:sz="2" w:space="0"/>
              <w:right w:val="single" w:color="auto" w:sz="2" w:space="0"/>
            </w:tcBorders>
            <w:vAlign w:val="center"/>
          </w:tcPr>
          <w:p>
            <w:pPr>
              <w:tabs>
                <w:tab w:val="left" w:pos="4140"/>
              </w:tabs>
              <w:jc w:val="center"/>
              <w:rPr>
                <w:rFonts w:ascii="宋体" w:hAnsi="宋体" w:cs="宋体"/>
                <w:color w:val="auto"/>
                <w:szCs w:val="21"/>
              </w:rPr>
            </w:pPr>
          </w:p>
        </w:tc>
        <w:tc>
          <w:tcPr>
            <w:tcW w:w="1084" w:type="dxa"/>
            <w:gridSpan w:val="2"/>
            <w:tcBorders>
              <w:left w:val="single" w:color="auto" w:sz="2" w:space="0"/>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毕业时间</w:t>
            </w:r>
          </w:p>
        </w:tc>
        <w:tc>
          <w:tcPr>
            <w:tcW w:w="1033" w:type="dxa"/>
            <w:tcBorders>
              <w:left w:val="single" w:color="auto" w:sz="2" w:space="0"/>
            </w:tcBorders>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技术职称</w:t>
            </w:r>
          </w:p>
        </w:tc>
        <w:tc>
          <w:tcPr>
            <w:tcW w:w="1620" w:type="dxa"/>
            <w:vAlign w:val="center"/>
          </w:tcPr>
          <w:p>
            <w:pPr>
              <w:tabs>
                <w:tab w:val="left" w:pos="4140"/>
              </w:tabs>
              <w:jc w:val="center"/>
              <w:rPr>
                <w:rFonts w:ascii="宋体" w:hAnsi="宋体" w:cs="宋体"/>
                <w:color w:val="auto"/>
                <w:szCs w:val="21"/>
              </w:rPr>
            </w:pPr>
          </w:p>
        </w:tc>
        <w:tc>
          <w:tcPr>
            <w:tcW w:w="1800" w:type="dxa"/>
            <w:gridSpan w:val="3"/>
            <w:vAlign w:val="center"/>
          </w:tcPr>
          <w:p>
            <w:pPr>
              <w:tabs>
                <w:tab w:val="left" w:pos="4140"/>
              </w:tabs>
              <w:jc w:val="center"/>
              <w:rPr>
                <w:rFonts w:ascii="宋体" w:hAnsi="宋体" w:cs="宋体"/>
                <w:color w:val="auto"/>
                <w:szCs w:val="21"/>
              </w:rPr>
            </w:pPr>
            <w:r>
              <w:rPr>
                <w:rFonts w:hint="eastAsia" w:ascii="宋体" w:hAnsi="宋体" w:cs="宋体"/>
                <w:color w:val="auto"/>
                <w:szCs w:val="21"/>
              </w:rPr>
              <w:t>从事试验检测</w:t>
            </w:r>
          </w:p>
          <w:p>
            <w:pPr>
              <w:tabs>
                <w:tab w:val="left" w:pos="4140"/>
              </w:tabs>
              <w:jc w:val="center"/>
              <w:rPr>
                <w:rFonts w:ascii="宋体" w:hAnsi="宋体" w:cs="宋体"/>
                <w:color w:val="auto"/>
                <w:szCs w:val="21"/>
              </w:rPr>
            </w:pPr>
            <w:r>
              <w:rPr>
                <w:rFonts w:hint="eastAsia" w:ascii="宋体" w:hAnsi="宋体" w:cs="宋体"/>
                <w:color w:val="auto"/>
                <w:szCs w:val="21"/>
              </w:rPr>
              <w:t>工作年限</w:t>
            </w:r>
          </w:p>
        </w:tc>
        <w:tc>
          <w:tcPr>
            <w:tcW w:w="1803" w:type="dxa"/>
            <w:gridSpan w:val="3"/>
            <w:vAlign w:val="center"/>
          </w:tcPr>
          <w:p>
            <w:pPr>
              <w:tabs>
                <w:tab w:val="left" w:pos="4140"/>
              </w:tabs>
              <w:jc w:val="center"/>
              <w:rPr>
                <w:rFonts w:ascii="宋体" w:hAnsi="宋体" w:cs="宋体"/>
                <w:color w:val="auto"/>
                <w:szCs w:val="21"/>
              </w:rPr>
            </w:pPr>
          </w:p>
        </w:tc>
        <w:tc>
          <w:tcPr>
            <w:tcW w:w="1084" w:type="dxa"/>
            <w:gridSpan w:val="2"/>
            <w:tcBorders>
              <w:right w:val="single" w:color="auto" w:sz="2"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拟在本项目担任的职位</w:t>
            </w:r>
          </w:p>
        </w:tc>
        <w:tc>
          <w:tcPr>
            <w:tcW w:w="1033" w:type="dxa"/>
            <w:tcBorders>
              <w:left w:val="single" w:color="auto" w:sz="2" w:space="0"/>
            </w:tcBorders>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名称</w:t>
            </w:r>
          </w:p>
        </w:tc>
        <w:tc>
          <w:tcPr>
            <w:tcW w:w="2223" w:type="dxa"/>
            <w:gridSpan w:val="2"/>
            <w:vAlign w:val="center"/>
          </w:tcPr>
          <w:p>
            <w:pPr>
              <w:tabs>
                <w:tab w:val="left" w:pos="4140"/>
              </w:tabs>
              <w:jc w:val="center"/>
              <w:rPr>
                <w:rFonts w:ascii="宋体" w:hAnsi="宋体" w:cs="宋体"/>
                <w:color w:val="auto"/>
                <w:szCs w:val="21"/>
              </w:rPr>
            </w:pPr>
            <w:r>
              <w:rPr>
                <w:rFonts w:hint="eastAsia" w:ascii="宋体" w:hAnsi="宋体" w:cs="宋体"/>
                <w:color w:val="auto"/>
                <w:szCs w:val="21"/>
              </w:rPr>
              <w:t>起讫时间</w:t>
            </w:r>
          </w:p>
        </w:tc>
        <w:tc>
          <w:tcPr>
            <w:tcW w:w="1705" w:type="dxa"/>
            <w:gridSpan w:val="3"/>
            <w:vAlign w:val="center"/>
          </w:tcPr>
          <w:p>
            <w:pPr>
              <w:tabs>
                <w:tab w:val="left" w:pos="4140"/>
              </w:tabs>
              <w:jc w:val="center"/>
              <w:rPr>
                <w:rFonts w:ascii="宋体" w:hAnsi="宋体" w:cs="宋体"/>
                <w:color w:val="auto"/>
                <w:szCs w:val="21"/>
              </w:rPr>
            </w:pPr>
            <w:r>
              <w:rPr>
                <w:rFonts w:hint="eastAsia" w:ascii="宋体" w:hAnsi="宋体" w:cs="宋体"/>
                <w:color w:val="auto"/>
                <w:szCs w:val="21"/>
              </w:rPr>
              <w:t>任</w:t>
            </w:r>
            <w:r>
              <w:rPr>
                <w:rFonts w:ascii="宋体" w:hAnsi="宋体" w:cs="宋体"/>
                <w:color w:val="auto"/>
                <w:szCs w:val="21"/>
              </w:rPr>
              <w:t xml:space="preserve">   </w:t>
            </w:r>
            <w:r>
              <w:rPr>
                <w:rFonts w:hint="eastAsia" w:ascii="宋体" w:hAnsi="宋体" w:cs="宋体"/>
                <w:color w:val="auto"/>
                <w:szCs w:val="21"/>
              </w:rPr>
              <w:t>职</w:t>
            </w:r>
          </w:p>
        </w:tc>
        <w:tc>
          <w:tcPr>
            <w:tcW w:w="1704" w:type="dxa"/>
            <w:gridSpan w:val="3"/>
            <w:vAlign w:val="center"/>
          </w:tcPr>
          <w:p>
            <w:pPr>
              <w:tabs>
                <w:tab w:val="left" w:pos="4140"/>
              </w:tabs>
              <w:jc w:val="center"/>
              <w:rPr>
                <w:rFonts w:ascii="宋体" w:hAnsi="宋体" w:cs="宋体"/>
                <w:color w:val="auto"/>
                <w:szCs w:val="21"/>
              </w:rPr>
            </w:pPr>
            <w:r>
              <w:rPr>
                <w:rFonts w:hint="eastAsia" w:ascii="宋体" w:hAnsi="宋体" w:cs="宋体"/>
                <w:color w:val="auto"/>
                <w:szCs w:val="21"/>
              </w:rPr>
              <w:t>工程名称</w:t>
            </w:r>
          </w:p>
        </w:tc>
        <w:tc>
          <w:tcPr>
            <w:tcW w:w="1708" w:type="dxa"/>
            <w:gridSpan w:val="2"/>
            <w:vAlign w:val="center"/>
          </w:tcPr>
          <w:p>
            <w:pPr>
              <w:tabs>
                <w:tab w:val="left" w:pos="4140"/>
              </w:tabs>
              <w:jc w:val="center"/>
              <w:rPr>
                <w:rFonts w:ascii="宋体" w:hAnsi="宋体" w:cs="宋体"/>
                <w:color w:val="auto"/>
                <w:szCs w:val="21"/>
              </w:rPr>
            </w:pPr>
            <w:r>
              <w:rPr>
                <w:rFonts w:hint="eastAsia" w:ascii="宋体" w:hAnsi="宋体" w:cs="宋体"/>
                <w:color w:val="auto"/>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3" w:hRule="atLeast"/>
          <w:jc w:val="center"/>
        </w:trPr>
        <w:tc>
          <w:tcPr>
            <w:tcW w:w="1185" w:type="dxa"/>
            <w:vAlign w:val="center"/>
          </w:tcPr>
          <w:p>
            <w:pPr>
              <w:tabs>
                <w:tab w:val="left" w:pos="4140"/>
              </w:tabs>
              <w:jc w:val="center"/>
              <w:rPr>
                <w:rFonts w:ascii="宋体" w:hAnsi="宋体" w:cs="宋体"/>
                <w:color w:val="auto"/>
                <w:szCs w:val="21"/>
              </w:rPr>
            </w:pPr>
            <w:r>
              <w:rPr>
                <w:rFonts w:hint="eastAsia" w:ascii="宋体" w:hAnsi="宋体" w:cs="宋体"/>
                <w:color w:val="auto"/>
                <w:szCs w:val="21"/>
              </w:rPr>
              <w:t>个人简历</w:t>
            </w:r>
          </w:p>
        </w:tc>
        <w:tc>
          <w:tcPr>
            <w:tcW w:w="2223" w:type="dxa"/>
            <w:gridSpan w:val="2"/>
            <w:vAlign w:val="center"/>
          </w:tcPr>
          <w:p>
            <w:pPr>
              <w:tabs>
                <w:tab w:val="left" w:pos="4140"/>
              </w:tabs>
              <w:jc w:val="center"/>
              <w:rPr>
                <w:rFonts w:ascii="宋体" w:hAnsi="宋体" w:cs="宋体"/>
                <w:color w:val="auto"/>
                <w:szCs w:val="21"/>
              </w:rPr>
            </w:pPr>
          </w:p>
        </w:tc>
        <w:tc>
          <w:tcPr>
            <w:tcW w:w="1705" w:type="dxa"/>
            <w:gridSpan w:val="3"/>
            <w:vAlign w:val="center"/>
          </w:tcPr>
          <w:p>
            <w:pPr>
              <w:tabs>
                <w:tab w:val="left" w:pos="4140"/>
              </w:tabs>
              <w:jc w:val="center"/>
              <w:rPr>
                <w:rFonts w:ascii="宋体" w:hAnsi="宋体" w:cs="宋体"/>
                <w:color w:val="auto"/>
                <w:szCs w:val="21"/>
              </w:rPr>
            </w:pPr>
          </w:p>
        </w:tc>
        <w:tc>
          <w:tcPr>
            <w:tcW w:w="1704" w:type="dxa"/>
            <w:gridSpan w:val="3"/>
            <w:vAlign w:val="center"/>
          </w:tcPr>
          <w:p>
            <w:pPr>
              <w:tabs>
                <w:tab w:val="left" w:pos="4140"/>
              </w:tabs>
              <w:jc w:val="center"/>
              <w:rPr>
                <w:rFonts w:ascii="宋体" w:hAnsi="宋体" w:cs="宋体"/>
                <w:color w:val="auto"/>
                <w:szCs w:val="21"/>
              </w:rPr>
            </w:pPr>
          </w:p>
        </w:tc>
        <w:tc>
          <w:tcPr>
            <w:tcW w:w="1708" w:type="dxa"/>
            <w:gridSpan w:val="2"/>
            <w:vAlign w:val="center"/>
          </w:tcPr>
          <w:p>
            <w:pPr>
              <w:tabs>
                <w:tab w:val="left" w:pos="4140"/>
              </w:tabs>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6" w:hRule="atLeast"/>
          <w:jc w:val="center"/>
        </w:trPr>
        <w:tc>
          <w:tcPr>
            <w:tcW w:w="1185" w:type="dxa"/>
            <w:tcBorders>
              <w:bottom w:val="single" w:color="auto" w:sz="4" w:space="0"/>
            </w:tcBorders>
            <w:vAlign w:val="center"/>
          </w:tcPr>
          <w:p>
            <w:pPr>
              <w:tabs>
                <w:tab w:val="left" w:pos="4140"/>
              </w:tabs>
              <w:jc w:val="center"/>
              <w:rPr>
                <w:rFonts w:ascii="宋体" w:hAnsi="宋体" w:cs="宋体"/>
                <w:color w:val="auto"/>
                <w:szCs w:val="21"/>
              </w:rPr>
            </w:pPr>
            <w:r>
              <w:rPr>
                <w:rFonts w:hint="eastAsia" w:ascii="宋体" w:hAnsi="宋体" w:cs="宋体"/>
                <w:color w:val="auto"/>
                <w:szCs w:val="21"/>
              </w:rPr>
              <w:t>试验检测主要经历</w:t>
            </w:r>
          </w:p>
        </w:tc>
        <w:tc>
          <w:tcPr>
            <w:tcW w:w="2223" w:type="dxa"/>
            <w:gridSpan w:val="2"/>
            <w:tcBorders>
              <w:bottom w:val="single" w:color="auto" w:sz="4" w:space="0"/>
            </w:tcBorders>
            <w:vAlign w:val="center"/>
          </w:tcPr>
          <w:p>
            <w:pPr>
              <w:tabs>
                <w:tab w:val="left" w:pos="4140"/>
              </w:tabs>
              <w:jc w:val="center"/>
              <w:rPr>
                <w:rFonts w:ascii="宋体" w:hAnsi="宋体" w:cs="宋体"/>
                <w:color w:val="auto"/>
                <w:szCs w:val="21"/>
              </w:rPr>
            </w:pPr>
          </w:p>
        </w:tc>
        <w:tc>
          <w:tcPr>
            <w:tcW w:w="1705" w:type="dxa"/>
            <w:gridSpan w:val="3"/>
            <w:tcBorders>
              <w:bottom w:val="single" w:color="auto" w:sz="4" w:space="0"/>
            </w:tcBorders>
            <w:vAlign w:val="center"/>
          </w:tcPr>
          <w:p>
            <w:pPr>
              <w:tabs>
                <w:tab w:val="left" w:pos="4140"/>
              </w:tabs>
              <w:jc w:val="center"/>
              <w:rPr>
                <w:rFonts w:ascii="宋体" w:hAnsi="宋体" w:cs="宋体"/>
                <w:color w:val="auto"/>
                <w:szCs w:val="21"/>
              </w:rPr>
            </w:pPr>
          </w:p>
        </w:tc>
        <w:tc>
          <w:tcPr>
            <w:tcW w:w="1704" w:type="dxa"/>
            <w:gridSpan w:val="3"/>
            <w:tcBorders>
              <w:bottom w:val="single" w:color="auto" w:sz="4" w:space="0"/>
            </w:tcBorders>
            <w:vAlign w:val="center"/>
          </w:tcPr>
          <w:p>
            <w:pPr>
              <w:tabs>
                <w:tab w:val="left" w:pos="4140"/>
              </w:tabs>
              <w:jc w:val="center"/>
              <w:rPr>
                <w:rFonts w:ascii="宋体" w:hAnsi="宋体" w:cs="宋体"/>
                <w:color w:val="auto"/>
                <w:szCs w:val="21"/>
              </w:rPr>
            </w:pPr>
          </w:p>
        </w:tc>
        <w:tc>
          <w:tcPr>
            <w:tcW w:w="1708" w:type="dxa"/>
            <w:gridSpan w:val="2"/>
            <w:tcBorders>
              <w:bottom w:val="single" w:color="auto" w:sz="4" w:space="0"/>
            </w:tcBorders>
            <w:vAlign w:val="center"/>
          </w:tcPr>
          <w:p>
            <w:pPr>
              <w:tabs>
                <w:tab w:val="left" w:pos="4140"/>
              </w:tabs>
              <w:jc w:val="center"/>
              <w:rPr>
                <w:rFonts w:ascii="宋体" w:hAnsi="宋体" w:cs="宋体"/>
                <w:color w:val="auto"/>
                <w:szCs w:val="21"/>
              </w:rPr>
            </w:pPr>
          </w:p>
        </w:tc>
      </w:tr>
    </w:tbl>
    <w:p>
      <w:pPr>
        <w:spacing w:line="400" w:lineRule="exact"/>
        <w:jc w:val="left"/>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1、每人一表，</w:t>
      </w:r>
      <w:r>
        <w:rPr>
          <w:rFonts w:hint="eastAsia" w:ascii="宋体" w:hAnsi="宋体" w:cs="宋体"/>
          <w:color w:val="auto"/>
          <w:szCs w:val="21"/>
        </w:rPr>
        <w:t>本表后附试验检测人员学历证书、身份证、职称证书、相关资格证等复印件或相关证明。</w:t>
      </w:r>
    </w:p>
    <w:p>
      <w:pPr>
        <w:numPr>
          <w:ilvl w:val="0"/>
          <w:numId w:val="5"/>
        </w:numPr>
        <w:spacing w:line="400" w:lineRule="exact"/>
        <w:jc w:val="left"/>
        <w:rPr>
          <w:rFonts w:ascii="宋体" w:hAnsi="宋体"/>
          <w:color w:val="auto"/>
          <w:szCs w:val="21"/>
          <w:lang w:val="zh-CN"/>
        </w:rPr>
      </w:pPr>
      <w:r>
        <w:rPr>
          <w:rFonts w:hint="eastAsia" w:ascii="宋体" w:hAnsi="宋体" w:cs="宋体"/>
          <w:color w:val="auto"/>
          <w:szCs w:val="21"/>
        </w:rPr>
        <w:t>项目负责人、地基基础专项检测负责人、主体结构专项检测负责人及其他非外聘或非返聘的人员：</w:t>
      </w:r>
      <w:r>
        <w:rPr>
          <w:rFonts w:hint="eastAsia" w:ascii="宋体" w:hAnsi="宋体"/>
          <w:color w:val="auto"/>
          <w:szCs w:val="21"/>
          <w:lang w:val="zh-CN"/>
        </w:rPr>
        <w:t>以提供的社保证明为准，需提供投标人近</w:t>
      </w:r>
      <w:r>
        <w:rPr>
          <w:rFonts w:ascii="宋体" w:hAnsi="宋体"/>
          <w:color w:val="auto"/>
          <w:szCs w:val="21"/>
          <w:lang w:val="zh-CN"/>
        </w:rPr>
        <w:t>6个月（扣除发布招标公告当月往前顺推6个月，</w:t>
      </w:r>
      <w:r>
        <w:rPr>
          <w:rFonts w:ascii="宋体" w:hAnsi="宋体"/>
          <w:color w:val="auto"/>
          <w:szCs w:val="21"/>
        </w:rPr>
        <w:t>2019年</w:t>
      </w:r>
      <w:r>
        <w:rPr>
          <w:rFonts w:hint="eastAsia" w:ascii="宋体" w:hAnsi="宋体"/>
          <w:color w:val="auto"/>
          <w:szCs w:val="21"/>
          <w:lang w:val="en-US" w:eastAsia="zh-CN"/>
        </w:rPr>
        <w:t xml:space="preserve"> </w:t>
      </w:r>
      <w:r>
        <w:rPr>
          <w:rFonts w:ascii="宋体" w:hAnsi="宋体"/>
          <w:color w:val="auto"/>
          <w:szCs w:val="21"/>
        </w:rPr>
        <w:t>月-</w:t>
      </w:r>
      <w:r>
        <w:rPr>
          <w:rFonts w:hint="eastAsia" w:ascii="宋体" w:hAnsi="宋体"/>
          <w:color w:val="auto"/>
          <w:szCs w:val="21"/>
          <w:lang w:val="en-US" w:eastAsia="zh-CN"/>
        </w:rPr>
        <w:t xml:space="preserve"> </w:t>
      </w:r>
      <w:r>
        <w:rPr>
          <w:rFonts w:ascii="宋体" w:hAnsi="宋体"/>
          <w:color w:val="auto"/>
          <w:szCs w:val="21"/>
        </w:rPr>
        <w:t>月</w:t>
      </w:r>
      <w:r>
        <w:rPr>
          <w:rFonts w:hint="eastAsia" w:ascii="宋体" w:hAnsi="宋体"/>
          <w:color w:val="auto"/>
          <w:szCs w:val="21"/>
          <w:lang w:val="zh-CN"/>
        </w:rPr>
        <w:t>）为上述拟派人员缴纳社保资金的有效的社保证明材料。有效的社保证明材料是指投标人（或其分支机构）所属当地社保管理部门出具的证明文件，或经投标人（或其分支机构）所属当地社保管理部门盖章确认的社保清单</w:t>
      </w:r>
      <w:r>
        <w:rPr>
          <w:rFonts w:ascii="宋体" w:hAnsi="宋体"/>
          <w:color w:val="auto"/>
          <w:szCs w:val="21"/>
          <w:lang w:val="zh-CN"/>
        </w:rPr>
        <w:t>(含社保管理部门终端设备打印的社保证明文件)等。（投标人因所在地区社保查询的不同规定，如只能查询至查询日的上上月，不能提供规定期限内社保区间的社保证明的，投标人如提供了政府部门的社保管理相应文件，其所提供的社保可以按当地的文件要求相应顺推，否则，不予认可。</w:t>
      </w:r>
    </w:p>
    <w:p>
      <w:pPr>
        <w:numPr>
          <w:ilvl w:val="0"/>
          <w:numId w:val="5"/>
        </w:numPr>
        <w:spacing w:line="400" w:lineRule="exact"/>
        <w:jc w:val="left"/>
        <w:rPr>
          <w:rFonts w:ascii="宋体" w:hAnsi="宋体"/>
          <w:color w:val="auto"/>
          <w:szCs w:val="21"/>
          <w:lang w:val="zh-CN"/>
        </w:rPr>
      </w:pPr>
      <w:r>
        <w:rPr>
          <w:rFonts w:hint="eastAsia" w:ascii="宋体" w:hAnsi="宋体"/>
          <w:color w:val="auto"/>
          <w:szCs w:val="21"/>
          <w:lang w:val="zh-CN"/>
        </w:rPr>
        <w:t>其他外聘或返聘人员：提供有效的聘用合同（协议）。</w:t>
      </w: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45" w:name="_Toc377719917"/>
      <w:bookmarkStart w:id="46" w:name="_Toc27403"/>
      <w:r>
        <w:rPr>
          <w:rFonts w:ascii="宋体" w:hAnsi="宋体" w:cs="宋体"/>
          <w:b/>
          <w:bCs/>
          <w:color w:val="auto"/>
          <w:sz w:val="30"/>
          <w:szCs w:val="30"/>
        </w:rPr>
        <w:t xml:space="preserve">7  </w:t>
      </w:r>
      <w:bookmarkEnd w:id="45"/>
      <w:r>
        <w:rPr>
          <w:rFonts w:hint="eastAsia" w:ascii="宋体" w:hAnsi="宋体" w:cs="宋体"/>
          <w:b/>
          <w:bCs/>
          <w:color w:val="auto"/>
          <w:sz w:val="30"/>
          <w:szCs w:val="30"/>
        </w:rPr>
        <w:t>试验检测投标单位近八年内试验检测业绩</w:t>
      </w:r>
      <w:bookmarkEnd w:id="46"/>
    </w:p>
    <w:p>
      <w:pPr>
        <w:spacing w:line="400" w:lineRule="exact"/>
        <w:jc w:val="center"/>
        <w:rPr>
          <w:rFonts w:ascii="宋体" w:hAnsi="宋体" w:cs="宋体"/>
          <w:b/>
          <w:color w:val="auto"/>
          <w:szCs w:val="21"/>
        </w:rPr>
      </w:pPr>
      <w:r>
        <w:rPr>
          <w:rFonts w:hint="eastAsia" w:ascii="宋体" w:hAnsi="宋体" w:cs="宋体"/>
          <w:b/>
          <w:color w:val="auto"/>
          <w:szCs w:val="21"/>
        </w:rPr>
        <w:t>表四：试验检测业绩表</w:t>
      </w:r>
    </w:p>
    <w:p>
      <w:pPr>
        <w:spacing w:line="360" w:lineRule="auto"/>
        <w:jc w:val="center"/>
        <w:rPr>
          <w:rFonts w:ascii="宋体" w:hAnsi="宋体" w:cs="宋体"/>
          <w:b/>
          <w:color w:val="auto"/>
          <w:szCs w:val="21"/>
        </w:rPr>
      </w:pPr>
      <w:r>
        <w:rPr>
          <w:rFonts w:hint="eastAsia" w:ascii="宋体" w:hAnsi="宋体" w:cs="宋体"/>
          <w:color w:val="auto"/>
          <w:szCs w:val="21"/>
        </w:rPr>
        <w:t>（</w:t>
      </w:r>
      <w:r>
        <w:rPr>
          <w:rFonts w:ascii="宋体" w:hAnsi="宋体" w:cs="宋体"/>
          <w:color w:val="auto"/>
          <w:szCs w:val="21"/>
        </w:rPr>
        <w:t xml:space="preserve">  2011 年1   月～  2019   年至今   ）</w:t>
      </w:r>
    </w:p>
    <w:tbl>
      <w:tblPr>
        <w:tblStyle w:val="28"/>
        <w:tblW w:w="8187" w:type="dxa"/>
        <w:jc w:val="center"/>
        <w:tblInd w:w="0" w:type="dxa"/>
        <w:tblLayout w:type="fixed"/>
        <w:tblCellMar>
          <w:top w:w="0" w:type="dxa"/>
          <w:left w:w="108" w:type="dxa"/>
          <w:bottom w:w="0" w:type="dxa"/>
          <w:right w:w="108" w:type="dxa"/>
        </w:tblCellMar>
      </w:tblPr>
      <w:tblGrid>
        <w:gridCol w:w="626"/>
        <w:gridCol w:w="1639"/>
        <w:gridCol w:w="2041"/>
        <w:gridCol w:w="1794"/>
        <w:gridCol w:w="2087"/>
      </w:tblGrid>
      <w:tr>
        <w:tblPrEx>
          <w:tblLayout w:type="fixed"/>
          <w:tblCellMar>
            <w:top w:w="0" w:type="dxa"/>
            <w:left w:w="108" w:type="dxa"/>
            <w:bottom w:w="0" w:type="dxa"/>
            <w:right w:w="108" w:type="dxa"/>
          </w:tblCellMar>
        </w:tblPrEx>
        <w:trPr>
          <w:trHeight w:val="810" w:hRule="atLeast"/>
          <w:jc w:val="center"/>
        </w:trPr>
        <w:tc>
          <w:tcPr>
            <w:tcW w:w="626"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w:t>
            </w:r>
            <w:r>
              <w:rPr>
                <w:rFonts w:ascii="宋体" w:hAnsi="宋体" w:cs="宋体"/>
                <w:color w:val="auto"/>
                <w:kern w:val="0"/>
                <w:szCs w:val="21"/>
              </w:rPr>
              <w:t xml:space="preserve">                </w:t>
            </w:r>
            <w:r>
              <w:rPr>
                <w:rFonts w:hint="eastAsia" w:ascii="宋体" w:hAnsi="宋体" w:cs="宋体"/>
                <w:color w:val="auto"/>
                <w:kern w:val="0"/>
                <w:szCs w:val="21"/>
              </w:rPr>
              <w:t>号</w:t>
            </w:r>
          </w:p>
        </w:tc>
        <w:tc>
          <w:tcPr>
            <w:tcW w:w="1639"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工程名称</w:t>
            </w:r>
          </w:p>
        </w:tc>
        <w:tc>
          <w:tcPr>
            <w:tcW w:w="2041"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工程概况</w:t>
            </w:r>
          </w:p>
        </w:tc>
        <w:tc>
          <w:tcPr>
            <w:tcW w:w="179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试验检测</w:t>
            </w:r>
            <w:r>
              <w:rPr>
                <w:rFonts w:ascii="宋体" w:hAnsi="宋体" w:cs="宋体"/>
                <w:color w:val="auto"/>
                <w:kern w:val="0"/>
                <w:szCs w:val="21"/>
              </w:rPr>
              <w:t xml:space="preserve">               </w:t>
            </w:r>
            <w:r>
              <w:rPr>
                <w:rFonts w:hint="eastAsia" w:ascii="宋体" w:hAnsi="宋体" w:cs="宋体"/>
                <w:color w:val="auto"/>
                <w:kern w:val="0"/>
                <w:szCs w:val="21"/>
              </w:rPr>
              <w:t>项目内容</w:t>
            </w:r>
          </w:p>
        </w:tc>
        <w:tc>
          <w:tcPr>
            <w:tcW w:w="208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招标人名称、地址、电话</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4"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r>
        <w:tblPrEx>
          <w:tblLayout w:type="fixed"/>
          <w:tblCellMar>
            <w:top w:w="0" w:type="dxa"/>
            <w:left w:w="108" w:type="dxa"/>
            <w:bottom w:w="0" w:type="dxa"/>
            <w:right w:w="108" w:type="dxa"/>
          </w:tblCellMar>
        </w:tblPrEx>
        <w:trPr>
          <w:trHeight w:val="900" w:hRule="atLeast"/>
          <w:jc w:val="center"/>
        </w:trPr>
        <w:tc>
          <w:tcPr>
            <w:tcW w:w="626" w:type="dxa"/>
            <w:tcBorders>
              <w:top w:val="nil"/>
              <w:left w:val="single" w:color="auto" w:sz="8" w:space="0"/>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639"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41"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794"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2087" w:type="dxa"/>
            <w:tcBorders>
              <w:top w:val="nil"/>
              <w:left w:val="nil"/>
              <w:bottom w:val="single" w:color="auto" w:sz="8" w:space="0"/>
              <w:right w:val="single" w:color="auto" w:sz="8"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r>
    </w:tbl>
    <w:p>
      <w:pPr>
        <w:spacing w:line="400" w:lineRule="exact"/>
        <w:jc w:val="left"/>
        <w:rPr>
          <w:rFonts w:ascii="宋体" w:hAnsi="宋体" w:cs="宋体"/>
          <w:color w:val="auto"/>
          <w:szCs w:val="21"/>
        </w:rPr>
      </w:pPr>
      <w:r>
        <w:rPr>
          <w:rFonts w:hint="eastAsia" w:ascii="宋体" w:hAnsi="宋体" w:cs="宋体"/>
          <w:color w:val="auto"/>
          <w:szCs w:val="21"/>
        </w:rPr>
        <w:t>注：</w:t>
      </w:r>
      <w:r>
        <w:rPr>
          <w:rFonts w:ascii="宋体" w:hAnsi="宋体" w:cs="宋体"/>
          <w:color w:val="auto"/>
          <w:szCs w:val="21"/>
        </w:rPr>
        <w:t>1、本表单位业绩限近</w:t>
      </w:r>
      <w:r>
        <w:rPr>
          <w:rFonts w:hint="eastAsia" w:ascii="宋体" w:hAnsi="宋体" w:cs="宋体"/>
          <w:color w:val="auto"/>
          <w:szCs w:val="21"/>
        </w:rPr>
        <w:t>八年内试验检测业绩（业绩要提交证明材料详见评审办法的要求）。</w:t>
      </w:r>
      <w:r>
        <w:rPr>
          <w:rFonts w:ascii="宋体" w:hAnsi="宋体" w:cs="宋体"/>
          <w:color w:val="auto"/>
          <w:szCs w:val="21"/>
        </w:rPr>
        <w:t xml:space="preserve"> </w:t>
      </w: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47" w:name="_Toc377719918"/>
      <w:bookmarkStart w:id="48" w:name="_Toc3471"/>
      <w:r>
        <w:rPr>
          <w:rFonts w:ascii="宋体" w:hAnsi="宋体" w:cs="宋体"/>
          <w:b/>
          <w:bCs/>
          <w:color w:val="auto"/>
          <w:sz w:val="30"/>
          <w:szCs w:val="30"/>
        </w:rPr>
        <w:t xml:space="preserve">8  </w:t>
      </w:r>
      <w:r>
        <w:rPr>
          <w:rFonts w:hint="eastAsia" w:ascii="宋体" w:hAnsi="宋体" w:cs="宋体"/>
          <w:b/>
          <w:bCs/>
          <w:color w:val="auto"/>
          <w:sz w:val="30"/>
          <w:szCs w:val="30"/>
        </w:rPr>
        <w:t>拟投入本项目的主要试验检测仪器设备一览表</w:t>
      </w:r>
      <w:bookmarkEnd w:id="47"/>
      <w:bookmarkEnd w:id="48"/>
    </w:p>
    <w:p>
      <w:pPr>
        <w:jc w:val="center"/>
        <w:rPr>
          <w:rFonts w:ascii="宋体" w:hAnsi="宋体" w:cs="宋体"/>
          <w:b/>
          <w:color w:val="auto"/>
          <w:szCs w:val="21"/>
        </w:rPr>
      </w:pPr>
      <w:r>
        <w:rPr>
          <w:rFonts w:hint="eastAsia" w:ascii="宋体" w:hAnsi="宋体" w:cs="宋体"/>
          <w:b/>
          <w:color w:val="auto"/>
          <w:szCs w:val="21"/>
        </w:rPr>
        <w:t>表五：拟投入本项目的主要试验检测仪器设备一览表</w:t>
      </w:r>
    </w:p>
    <w:tbl>
      <w:tblPr>
        <w:tblStyle w:val="28"/>
        <w:tblW w:w="8694" w:type="dxa"/>
        <w:jc w:val="center"/>
        <w:tblInd w:w="0" w:type="dxa"/>
        <w:tblLayout w:type="fixed"/>
        <w:tblCellMar>
          <w:top w:w="0" w:type="dxa"/>
          <w:left w:w="108" w:type="dxa"/>
          <w:bottom w:w="0" w:type="dxa"/>
          <w:right w:w="108" w:type="dxa"/>
        </w:tblCellMar>
      </w:tblPr>
      <w:tblGrid>
        <w:gridCol w:w="731"/>
        <w:gridCol w:w="929"/>
        <w:gridCol w:w="1521"/>
        <w:gridCol w:w="1244"/>
        <w:gridCol w:w="1105"/>
        <w:gridCol w:w="1244"/>
        <w:gridCol w:w="960"/>
        <w:gridCol w:w="960"/>
      </w:tblGrid>
      <w:tr>
        <w:tblPrEx>
          <w:tblLayout w:type="fixed"/>
          <w:tblCellMar>
            <w:top w:w="0" w:type="dxa"/>
            <w:left w:w="108" w:type="dxa"/>
            <w:bottom w:w="0" w:type="dxa"/>
            <w:right w:w="108" w:type="dxa"/>
          </w:tblCellMar>
        </w:tblPrEx>
        <w:trPr>
          <w:trHeight w:val="720" w:hRule="atLeast"/>
          <w:jc w:val="center"/>
        </w:trPr>
        <w:tc>
          <w:tcPr>
            <w:tcW w:w="731"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w:t>
            </w:r>
            <w:r>
              <w:rPr>
                <w:rFonts w:ascii="宋体" w:hAnsi="宋体" w:cs="宋体"/>
                <w:color w:val="auto"/>
                <w:kern w:val="0"/>
                <w:szCs w:val="21"/>
              </w:rPr>
              <w:t xml:space="preserve">                </w:t>
            </w:r>
            <w:r>
              <w:rPr>
                <w:rFonts w:hint="eastAsia" w:ascii="宋体" w:hAnsi="宋体" w:cs="宋体"/>
                <w:color w:val="auto"/>
                <w:kern w:val="0"/>
                <w:szCs w:val="21"/>
              </w:rPr>
              <w:t>号</w:t>
            </w:r>
          </w:p>
        </w:tc>
        <w:tc>
          <w:tcPr>
            <w:tcW w:w="929"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仪器设备名称</w:t>
            </w:r>
          </w:p>
        </w:tc>
        <w:tc>
          <w:tcPr>
            <w:tcW w:w="1521"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型号</w:t>
            </w:r>
          </w:p>
        </w:tc>
        <w:tc>
          <w:tcPr>
            <w:tcW w:w="124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制</w:t>
            </w:r>
            <w:r>
              <w:rPr>
                <w:rFonts w:ascii="宋体" w:hAnsi="宋体" w:cs="宋体"/>
                <w:color w:val="auto"/>
                <w:kern w:val="0"/>
                <w:szCs w:val="21"/>
              </w:rPr>
              <w:t xml:space="preserve"> </w:t>
            </w:r>
            <w:r>
              <w:rPr>
                <w:rFonts w:hint="eastAsia" w:ascii="宋体" w:hAnsi="宋体" w:cs="宋体"/>
                <w:color w:val="auto"/>
                <w:kern w:val="0"/>
                <w:szCs w:val="21"/>
              </w:rPr>
              <w:t>造</w:t>
            </w:r>
            <w:r>
              <w:rPr>
                <w:rFonts w:ascii="宋体" w:hAnsi="宋体" w:cs="宋体"/>
                <w:color w:val="auto"/>
                <w:kern w:val="0"/>
                <w:szCs w:val="21"/>
              </w:rPr>
              <w:t xml:space="preserve"> </w:t>
            </w:r>
            <w:r>
              <w:rPr>
                <w:rFonts w:hint="eastAsia" w:ascii="宋体" w:hAnsi="宋体" w:cs="宋体"/>
                <w:color w:val="auto"/>
                <w:kern w:val="0"/>
                <w:szCs w:val="21"/>
              </w:rPr>
              <w:t>厂</w:t>
            </w:r>
          </w:p>
        </w:tc>
        <w:tc>
          <w:tcPr>
            <w:tcW w:w="1105" w:type="dxa"/>
            <w:tcBorders>
              <w:top w:val="single" w:color="auto" w:sz="8" w:space="0"/>
              <w:left w:val="nil"/>
              <w:bottom w:val="single" w:color="auto" w:sz="8" w:space="0"/>
              <w:right w:val="single" w:color="auto" w:sz="4" w:space="0"/>
            </w:tcBorders>
            <w:vAlign w:val="center"/>
          </w:tcPr>
          <w:p>
            <w:pPr>
              <w:widowControl/>
              <w:ind w:left="-107" w:leftChars="-51"/>
              <w:jc w:val="center"/>
              <w:rPr>
                <w:rFonts w:ascii="宋体" w:hAnsi="宋体" w:cs="宋体"/>
                <w:color w:val="auto"/>
                <w:kern w:val="0"/>
                <w:szCs w:val="21"/>
              </w:rPr>
            </w:pPr>
            <w:r>
              <w:rPr>
                <w:rFonts w:hint="eastAsia" w:ascii="宋体" w:hAnsi="宋体" w:cs="宋体"/>
                <w:color w:val="auto"/>
                <w:kern w:val="0"/>
                <w:szCs w:val="21"/>
              </w:rPr>
              <w:t>检定</w:t>
            </w:r>
            <w:r>
              <w:rPr>
                <w:rFonts w:ascii="宋体" w:hAnsi="宋体" w:cs="宋体"/>
                <w:color w:val="auto"/>
                <w:kern w:val="0"/>
                <w:szCs w:val="21"/>
              </w:rPr>
              <w:t>/校准机构</w:t>
            </w:r>
          </w:p>
        </w:tc>
        <w:tc>
          <w:tcPr>
            <w:tcW w:w="1244"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有校期</w:t>
            </w:r>
          </w:p>
        </w:tc>
        <w:tc>
          <w:tcPr>
            <w:tcW w:w="96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检定</w:t>
            </w:r>
            <w:r>
              <w:rPr>
                <w:rFonts w:ascii="宋体" w:hAnsi="宋体" w:cs="宋体"/>
                <w:color w:val="auto"/>
                <w:kern w:val="0"/>
                <w:szCs w:val="21"/>
              </w:rPr>
              <w:t>/校准周期</w:t>
            </w:r>
          </w:p>
        </w:tc>
        <w:tc>
          <w:tcPr>
            <w:tcW w:w="960" w:type="dxa"/>
            <w:tcBorders>
              <w:top w:val="single" w:color="auto" w:sz="8" w:space="0"/>
              <w:left w:val="nil"/>
              <w:bottom w:val="single" w:color="auto" w:sz="8" w:space="0"/>
              <w:right w:val="single" w:color="auto" w:sz="4" w:space="0"/>
            </w:tcBorders>
            <w:vAlign w:val="center"/>
          </w:tcPr>
          <w:p>
            <w:pPr>
              <w:widowControl/>
              <w:jc w:val="center"/>
              <w:rPr>
                <w:rFonts w:ascii="宋体" w:hAnsi="宋体" w:cs="宋体"/>
                <w:color w:val="auto"/>
                <w:kern w:val="0"/>
                <w:szCs w:val="21"/>
              </w:rPr>
            </w:pPr>
            <w:r>
              <w:rPr>
                <w:rFonts w:hint="eastAsia" w:ascii="宋体" w:hAnsi="宋体" w:cs="宋体"/>
                <w:color w:val="auto"/>
                <w:kern w:val="0"/>
                <w:szCs w:val="21"/>
              </w:rPr>
              <w:t>购置价格（元）</w:t>
            </w: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90"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4" w:space="0"/>
              <w:right w:val="single" w:color="auto" w:sz="4" w:space="0"/>
            </w:tcBorders>
            <w:noWrap/>
            <w:vAlign w:val="bottom"/>
          </w:tcPr>
          <w:p>
            <w:pPr>
              <w:widowControl/>
              <w:jc w:val="left"/>
              <w:rPr>
                <w:rFonts w:ascii="宋体" w:hAnsi="宋体" w:cs="宋体"/>
                <w:color w:val="auto"/>
                <w:kern w:val="0"/>
                <w:szCs w:val="21"/>
              </w:rPr>
            </w:pPr>
          </w:p>
        </w:tc>
      </w:tr>
      <w:tr>
        <w:tblPrEx>
          <w:tblLayout w:type="fixed"/>
          <w:tblCellMar>
            <w:top w:w="0" w:type="dxa"/>
            <w:left w:w="108" w:type="dxa"/>
            <w:bottom w:w="0" w:type="dxa"/>
            <w:right w:w="108" w:type="dxa"/>
          </w:tblCellMar>
        </w:tblPrEx>
        <w:trPr>
          <w:trHeight w:val="402" w:hRule="atLeast"/>
          <w:jc w:val="center"/>
        </w:trPr>
        <w:tc>
          <w:tcPr>
            <w:tcW w:w="731" w:type="dxa"/>
            <w:tcBorders>
              <w:top w:val="nil"/>
              <w:left w:val="single" w:color="auto" w:sz="8" w:space="0"/>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29"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521"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105"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1244"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r>
              <w:rPr>
                <w:rFonts w:hint="eastAsia" w:ascii="宋体" w:hAnsi="宋体" w:cs="宋体"/>
                <w:color w:val="auto"/>
                <w:kern w:val="0"/>
                <w:szCs w:val="21"/>
              </w:rPr>
              <w:t>　</w:t>
            </w:r>
          </w:p>
        </w:tc>
        <w:tc>
          <w:tcPr>
            <w:tcW w:w="960" w:type="dxa"/>
            <w:tcBorders>
              <w:top w:val="nil"/>
              <w:left w:val="nil"/>
              <w:bottom w:val="single" w:color="auto" w:sz="8" w:space="0"/>
              <w:right w:val="single" w:color="auto" w:sz="4" w:space="0"/>
            </w:tcBorders>
            <w:noWrap/>
            <w:vAlign w:val="bottom"/>
          </w:tcPr>
          <w:p>
            <w:pPr>
              <w:widowControl/>
              <w:jc w:val="left"/>
              <w:rPr>
                <w:rFonts w:ascii="宋体" w:hAnsi="宋体" w:cs="宋体"/>
                <w:color w:val="auto"/>
                <w:kern w:val="0"/>
                <w:szCs w:val="21"/>
              </w:rPr>
            </w:pPr>
          </w:p>
        </w:tc>
      </w:tr>
    </w:tbl>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r>
        <w:rPr>
          <w:rFonts w:hint="eastAsia" w:ascii="宋体" w:hAnsi="宋体" w:cs="宋体"/>
          <w:color w:val="auto"/>
          <w:szCs w:val="21"/>
        </w:rPr>
        <w:t>备注</w:t>
      </w:r>
      <w:r>
        <w:rPr>
          <w:rFonts w:ascii="宋体" w:hAnsi="宋体" w:cs="宋体"/>
          <w:color w:val="auto"/>
          <w:szCs w:val="21"/>
        </w:rPr>
        <w:t>: 1、附该表所列仪器设备购买发票或其它证明材料；</w:t>
      </w:r>
    </w:p>
    <w:p>
      <w:pPr>
        <w:spacing w:line="400" w:lineRule="exact"/>
        <w:ind w:firstLine="630" w:firstLineChars="300"/>
        <w:jc w:val="left"/>
        <w:rPr>
          <w:rFonts w:ascii="宋体" w:hAnsi="宋体" w:cs="宋体"/>
          <w:color w:val="auto"/>
          <w:szCs w:val="21"/>
        </w:rPr>
      </w:pPr>
      <w:r>
        <w:rPr>
          <w:rFonts w:ascii="宋体" w:hAnsi="宋体" w:cs="宋体"/>
          <w:color w:val="auto"/>
          <w:szCs w:val="21"/>
        </w:rPr>
        <w:t>2、附该表所列仪器设备检定或标定证书。</w:t>
      </w:r>
    </w:p>
    <w:p>
      <w:pPr>
        <w:spacing w:line="400" w:lineRule="exact"/>
        <w:jc w:val="left"/>
        <w:rPr>
          <w:rFonts w:ascii="宋体" w:hAnsi="宋体" w:cs="宋体"/>
          <w:color w:val="auto"/>
          <w:szCs w:val="21"/>
        </w:rPr>
      </w:pPr>
      <w:r>
        <w:rPr>
          <w:rFonts w:ascii="宋体" w:hAnsi="宋体" w:cs="宋体"/>
          <w:color w:val="auto"/>
          <w:szCs w:val="21"/>
        </w:rPr>
        <w:t xml:space="preserve"> </w:t>
      </w:r>
    </w:p>
    <w:p>
      <w:pPr>
        <w:keepNext/>
        <w:keepLines/>
        <w:spacing w:before="240" w:after="240" w:line="416" w:lineRule="auto"/>
        <w:outlineLvl w:val="1"/>
        <w:rPr>
          <w:rFonts w:ascii="宋体" w:hAnsi="宋体" w:cs="宋体"/>
          <w:b/>
          <w:bCs/>
          <w:color w:val="auto"/>
          <w:szCs w:val="21"/>
        </w:rPr>
      </w:pPr>
      <w:r>
        <w:rPr>
          <w:rFonts w:ascii="宋体" w:hAnsi="宋体" w:cs="宋体"/>
          <w:b/>
          <w:bCs/>
          <w:color w:val="auto"/>
          <w:szCs w:val="21"/>
        </w:rPr>
        <w:br w:type="page"/>
      </w:r>
      <w:bookmarkStart w:id="49" w:name="_Toc377719919"/>
      <w:bookmarkStart w:id="50" w:name="_Toc28295"/>
      <w:r>
        <w:rPr>
          <w:rFonts w:ascii="宋体" w:hAnsi="宋体" w:cs="宋体"/>
          <w:b/>
          <w:bCs/>
          <w:color w:val="auto"/>
          <w:sz w:val="30"/>
          <w:szCs w:val="30"/>
        </w:rPr>
        <w:t xml:space="preserve">9  </w:t>
      </w:r>
      <w:r>
        <w:rPr>
          <w:rFonts w:hint="eastAsia" w:ascii="宋体" w:hAnsi="宋体" w:cs="宋体"/>
          <w:b/>
          <w:bCs/>
          <w:color w:val="auto"/>
          <w:sz w:val="30"/>
          <w:szCs w:val="30"/>
        </w:rPr>
        <w:t>实施本项目工作大纲</w:t>
      </w:r>
      <w:bookmarkEnd w:id="49"/>
      <w:bookmarkEnd w:id="50"/>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工作大纲和实施方案中必须包括但不限于以下内容：</w:t>
      </w:r>
    </w:p>
    <w:p>
      <w:pPr>
        <w:spacing w:line="400" w:lineRule="exact"/>
        <w:ind w:firstLine="424" w:firstLineChars="202"/>
        <w:jc w:val="left"/>
        <w:rPr>
          <w:rFonts w:ascii="宋体" w:hAnsi="宋体" w:cs="宋体"/>
          <w:color w:val="auto"/>
          <w:szCs w:val="21"/>
        </w:rPr>
      </w:pPr>
      <w:r>
        <w:rPr>
          <w:rFonts w:ascii="宋体" w:hAnsi="宋体" w:cs="宋体"/>
          <w:color w:val="auto"/>
          <w:szCs w:val="21"/>
        </w:rPr>
        <w:t>9.1.有效完成本项目的质量方针，包括目标和承诺；</w:t>
      </w:r>
    </w:p>
    <w:p>
      <w:pPr>
        <w:spacing w:line="400" w:lineRule="exact"/>
        <w:ind w:firstLine="424" w:firstLineChars="202"/>
        <w:jc w:val="left"/>
        <w:rPr>
          <w:rFonts w:ascii="宋体" w:hAnsi="宋体" w:cs="宋体"/>
          <w:color w:val="auto"/>
          <w:szCs w:val="21"/>
        </w:rPr>
      </w:pPr>
      <w:r>
        <w:rPr>
          <w:rFonts w:ascii="宋体" w:hAnsi="宋体" w:cs="宋体"/>
          <w:color w:val="auto"/>
          <w:szCs w:val="21"/>
        </w:rPr>
        <w:t>9.2.投入本项目的组织结构框图、现场组织及人员安排；</w:t>
      </w:r>
    </w:p>
    <w:p>
      <w:pPr>
        <w:spacing w:line="400" w:lineRule="exact"/>
        <w:ind w:firstLine="424" w:firstLineChars="202"/>
        <w:jc w:val="left"/>
        <w:rPr>
          <w:rFonts w:ascii="宋体" w:hAnsi="宋体" w:cs="宋体"/>
          <w:color w:val="auto"/>
          <w:szCs w:val="21"/>
        </w:rPr>
      </w:pPr>
      <w:r>
        <w:rPr>
          <w:rFonts w:ascii="宋体" w:hAnsi="宋体" w:cs="宋体"/>
          <w:color w:val="auto"/>
          <w:szCs w:val="21"/>
        </w:rPr>
        <w:t>9.3.各试验检测人员工作岗位及其职责；</w:t>
      </w:r>
    </w:p>
    <w:p>
      <w:pPr>
        <w:spacing w:line="400" w:lineRule="exact"/>
        <w:ind w:firstLine="424" w:firstLineChars="202"/>
        <w:jc w:val="left"/>
        <w:rPr>
          <w:rFonts w:ascii="宋体" w:hAnsi="宋体" w:cs="宋体"/>
          <w:color w:val="auto"/>
          <w:szCs w:val="21"/>
        </w:rPr>
      </w:pPr>
      <w:r>
        <w:rPr>
          <w:rFonts w:ascii="宋体" w:hAnsi="宋体" w:cs="宋体"/>
          <w:color w:val="auto"/>
          <w:szCs w:val="21"/>
        </w:rPr>
        <w:t>9.4.检测工作控制程序；</w:t>
      </w:r>
    </w:p>
    <w:p>
      <w:pPr>
        <w:spacing w:line="400" w:lineRule="exact"/>
        <w:ind w:firstLine="424" w:firstLineChars="202"/>
        <w:jc w:val="left"/>
        <w:rPr>
          <w:rFonts w:ascii="宋体" w:hAnsi="宋体" w:cs="宋体"/>
          <w:color w:val="auto"/>
          <w:szCs w:val="21"/>
        </w:rPr>
      </w:pPr>
      <w:r>
        <w:rPr>
          <w:rFonts w:ascii="宋体" w:hAnsi="宋体" w:cs="宋体"/>
          <w:color w:val="auto"/>
          <w:szCs w:val="21"/>
        </w:rPr>
        <w:t>9.5.试验检测工作申诉处理程序；</w:t>
      </w:r>
    </w:p>
    <w:p>
      <w:pPr>
        <w:spacing w:line="400" w:lineRule="exact"/>
        <w:ind w:firstLine="424" w:firstLineChars="202"/>
        <w:jc w:val="left"/>
        <w:rPr>
          <w:rFonts w:ascii="宋体" w:hAnsi="宋体" w:cs="宋体"/>
          <w:color w:val="auto"/>
          <w:szCs w:val="21"/>
        </w:rPr>
      </w:pPr>
      <w:r>
        <w:rPr>
          <w:rFonts w:ascii="宋体" w:hAnsi="宋体" w:cs="宋体"/>
          <w:color w:val="auto"/>
          <w:szCs w:val="21"/>
        </w:rPr>
        <w:t>9.6.保密和保护所有权程序。</w:t>
      </w:r>
    </w:p>
    <w:p>
      <w:pPr>
        <w:spacing w:line="400" w:lineRule="exact"/>
        <w:ind w:firstLine="424" w:firstLineChars="202"/>
        <w:jc w:val="left"/>
        <w:rPr>
          <w:rFonts w:ascii="宋体" w:hAnsi="宋体" w:cs="宋体"/>
          <w:color w:val="auto"/>
          <w:szCs w:val="21"/>
        </w:rPr>
      </w:pPr>
      <w:r>
        <w:rPr>
          <w:rFonts w:ascii="宋体" w:hAnsi="宋体" w:cs="宋体"/>
          <w:color w:val="auto"/>
          <w:szCs w:val="21"/>
        </w:rPr>
        <w:t>9.7.质量保证措施；</w:t>
      </w:r>
    </w:p>
    <w:p>
      <w:pPr>
        <w:spacing w:line="400" w:lineRule="exact"/>
        <w:ind w:firstLine="424" w:firstLineChars="202"/>
        <w:jc w:val="left"/>
        <w:rPr>
          <w:rFonts w:ascii="宋体" w:hAnsi="宋体" w:cs="宋体"/>
          <w:color w:val="auto"/>
          <w:szCs w:val="21"/>
        </w:rPr>
      </w:pPr>
      <w:r>
        <w:rPr>
          <w:rFonts w:ascii="宋体" w:hAnsi="宋体" w:cs="宋体"/>
          <w:color w:val="auto"/>
          <w:szCs w:val="21"/>
        </w:rPr>
        <w:t>9.8.按期完成任务措施；</w:t>
      </w:r>
    </w:p>
    <w:p>
      <w:pPr>
        <w:spacing w:line="400" w:lineRule="exact"/>
        <w:ind w:firstLine="424" w:firstLineChars="202"/>
        <w:jc w:val="left"/>
        <w:rPr>
          <w:rFonts w:ascii="宋体" w:hAnsi="宋体" w:cs="宋体"/>
          <w:color w:val="auto"/>
          <w:szCs w:val="21"/>
        </w:rPr>
      </w:pPr>
      <w:r>
        <w:rPr>
          <w:rFonts w:ascii="宋体" w:hAnsi="宋体" w:cs="宋体"/>
          <w:color w:val="auto"/>
          <w:szCs w:val="21"/>
        </w:rPr>
        <w:t>9.9.可提供的服务，包括如何解决试验检测过程中的问题，根据施工需要，主动与施工单位沟通，以及为招标人工作需要提供的技术服务等；</w:t>
      </w:r>
    </w:p>
    <w:p>
      <w:pPr>
        <w:spacing w:line="400" w:lineRule="exact"/>
        <w:ind w:firstLine="424" w:firstLineChars="202"/>
        <w:jc w:val="left"/>
        <w:rPr>
          <w:rFonts w:ascii="宋体" w:hAnsi="宋体" w:cs="宋体"/>
          <w:color w:val="auto"/>
          <w:szCs w:val="21"/>
        </w:rPr>
      </w:pPr>
      <w:r>
        <w:rPr>
          <w:rFonts w:ascii="宋体" w:hAnsi="宋体" w:cs="宋体"/>
          <w:color w:val="auto"/>
          <w:szCs w:val="21"/>
        </w:rPr>
        <w:t>9.10.投标人可提出自己认为本工程试验检测的重点、难点及合理化建议；</w:t>
      </w:r>
    </w:p>
    <w:p>
      <w:pPr>
        <w:spacing w:line="400" w:lineRule="exact"/>
        <w:ind w:firstLine="424" w:firstLineChars="202"/>
        <w:jc w:val="left"/>
        <w:rPr>
          <w:rFonts w:ascii="宋体" w:hAnsi="宋体" w:cs="宋体"/>
          <w:color w:val="auto"/>
          <w:szCs w:val="21"/>
        </w:rPr>
      </w:pPr>
      <w:r>
        <w:rPr>
          <w:rFonts w:ascii="宋体" w:hAnsi="宋体" w:cs="宋体"/>
          <w:color w:val="auto"/>
          <w:szCs w:val="21"/>
        </w:rPr>
        <w:t>9.11.配合施工服务措施。</w:t>
      </w:r>
    </w:p>
    <w:p>
      <w:pPr>
        <w:keepNext/>
        <w:keepLines/>
        <w:spacing w:before="240" w:after="240" w:line="416" w:lineRule="auto"/>
        <w:outlineLvl w:val="1"/>
        <w:rPr>
          <w:rFonts w:ascii="宋体" w:hAnsi="宋体" w:cs="宋体"/>
          <w:b/>
          <w:bCs/>
          <w:color w:val="auto"/>
          <w:sz w:val="30"/>
          <w:szCs w:val="30"/>
        </w:rPr>
      </w:pPr>
      <w:bookmarkStart w:id="51" w:name="_Toc377719920"/>
      <w:bookmarkStart w:id="52" w:name="_Toc19267"/>
      <w:r>
        <w:rPr>
          <w:rFonts w:ascii="宋体" w:hAnsi="宋体" w:cs="宋体"/>
          <w:b/>
          <w:bCs/>
          <w:color w:val="auto"/>
          <w:sz w:val="30"/>
          <w:szCs w:val="30"/>
        </w:rPr>
        <w:t xml:space="preserve">10  </w:t>
      </w:r>
      <w:r>
        <w:rPr>
          <w:rFonts w:hint="eastAsia" w:ascii="宋体" w:hAnsi="宋体" w:cs="宋体"/>
          <w:b/>
          <w:bCs/>
          <w:color w:val="auto"/>
          <w:sz w:val="30"/>
          <w:szCs w:val="30"/>
        </w:rPr>
        <w:t>实施本项目检测工作应符合的检测规范及要求</w:t>
      </w:r>
      <w:bookmarkEnd w:id="51"/>
      <w:bookmarkEnd w:id="52"/>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实施本项目检测工作应符合</w:t>
      </w:r>
      <w:r>
        <w:rPr>
          <w:rFonts w:ascii="宋体" w:hAnsi="宋体" w:cs="宋体"/>
          <w:color w:val="auto"/>
          <w:szCs w:val="21"/>
        </w:rPr>
        <w:t>(但不仅限于)以下的检测规范及要求及其它国家及省、部、市等相关检测规范及文件要求（有最新版本的按最新版本执行）。</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10.1 </w:t>
      </w:r>
      <w:r>
        <w:rPr>
          <w:rFonts w:hint="eastAsia" w:ascii="宋体" w:hAnsi="宋体" w:cs="宋体"/>
          <w:color w:val="auto"/>
          <w:szCs w:val="21"/>
        </w:rPr>
        <w:t>《建设工程质量检测管理办法》（建设部令第</w:t>
      </w:r>
      <w:r>
        <w:rPr>
          <w:rFonts w:ascii="宋体" w:hAnsi="宋体" w:cs="宋体"/>
          <w:color w:val="auto"/>
          <w:szCs w:val="21"/>
        </w:rPr>
        <w:t>141号）</w:t>
      </w:r>
    </w:p>
    <w:p>
      <w:pPr>
        <w:spacing w:line="400" w:lineRule="exact"/>
        <w:ind w:firstLine="424" w:firstLineChars="202"/>
        <w:jc w:val="left"/>
        <w:rPr>
          <w:rFonts w:ascii="宋体" w:hAnsi="宋体" w:cs="宋体"/>
          <w:color w:val="auto"/>
          <w:szCs w:val="21"/>
        </w:rPr>
      </w:pPr>
      <w:r>
        <w:rPr>
          <w:rFonts w:ascii="宋体" w:hAnsi="宋体" w:cs="宋体"/>
          <w:color w:val="auto"/>
          <w:szCs w:val="21"/>
        </w:rPr>
        <w:t>10.2《广东省建设工程质量管理条例》</w:t>
      </w:r>
    </w:p>
    <w:p>
      <w:pPr>
        <w:spacing w:line="400" w:lineRule="exact"/>
        <w:ind w:firstLine="424" w:firstLineChars="202"/>
        <w:jc w:val="left"/>
        <w:rPr>
          <w:rFonts w:ascii="宋体" w:hAnsi="宋体" w:cs="宋体"/>
          <w:color w:val="auto"/>
          <w:szCs w:val="21"/>
        </w:rPr>
      </w:pPr>
      <w:r>
        <w:rPr>
          <w:rFonts w:ascii="宋体" w:hAnsi="宋体" w:cs="宋体"/>
          <w:color w:val="auto"/>
          <w:szCs w:val="21"/>
        </w:rPr>
        <w:t>10.3《东莞市住房和城乡建设局建设工程质量检测管理暂行规定》（东建〔2017〕4号）</w:t>
      </w:r>
    </w:p>
    <w:p>
      <w:pPr>
        <w:spacing w:line="400" w:lineRule="exact"/>
        <w:ind w:firstLine="424" w:firstLineChars="202"/>
        <w:jc w:val="left"/>
        <w:rPr>
          <w:rFonts w:ascii="宋体" w:hAnsi="宋体" w:cs="宋体"/>
          <w:color w:val="auto"/>
          <w:szCs w:val="21"/>
        </w:rPr>
      </w:pPr>
      <w:r>
        <w:rPr>
          <w:rFonts w:ascii="宋体" w:hAnsi="宋体" w:cs="宋体"/>
          <w:color w:val="auto"/>
          <w:szCs w:val="21"/>
        </w:rPr>
        <w:t>10.4现行的法律法规、行业规范标准</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10.5 </w:t>
      </w:r>
      <w:r>
        <w:rPr>
          <w:rFonts w:hint="eastAsia" w:ascii="宋体" w:hAnsi="宋体" w:cs="宋体"/>
          <w:color w:val="auto"/>
          <w:szCs w:val="21"/>
        </w:rPr>
        <w:t>设计图纸及相关资料等</w:t>
      </w:r>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投标人可自行增加。</w:t>
      </w:r>
    </w:p>
    <w:p>
      <w:pPr>
        <w:spacing w:line="400" w:lineRule="exact"/>
        <w:ind w:firstLine="424" w:firstLineChars="202"/>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sectPr>
          <w:pgSz w:w="11906" w:h="16838"/>
          <w:pgMar w:top="1418" w:right="1701" w:bottom="1418" w:left="1701" w:header="851" w:footer="794" w:gutter="0"/>
          <w:cols w:space="720" w:num="1"/>
          <w:docGrid w:type="lines" w:linePitch="312" w:charSpace="0"/>
        </w:sectPr>
      </w:pPr>
      <w:bookmarkStart w:id="53" w:name="_Toc377719921"/>
    </w:p>
    <w:p>
      <w:pPr>
        <w:keepNext/>
        <w:keepLines/>
        <w:spacing w:before="240" w:after="240" w:line="416" w:lineRule="auto"/>
        <w:outlineLvl w:val="1"/>
        <w:rPr>
          <w:rFonts w:ascii="宋体" w:hAnsi="宋体" w:cs="宋体"/>
          <w:b/>
          <w:bCs/>
          <w:color w:val="auto"/>
          <w:sz w:val="30"/>
          <w:szCs w:val="30"/>
        </w:rPr>
      </w:pPr>
      <w:bookmarkStart w:id="54" w:name="_Toc27288"/>
      <w:r>
        <w:rPr>
          <w:rFonts w:ascii="宋体" w:hAnsi="宋体" w:cs="宋体"/>
          <w:b/>
          <w:bCs/>
          <w:color w:val="auto"/>
          <w:sz w:val="30"/>
          <w:szCs w:val="30"/>
        </w:rPr>
        <w:t xml:space="preserve">11  </w:t>
      </w:r>
      <w:r>
        <w:rPr>
          <w:rFonts w:hint="eastAsia" w:ascii="宋体" w:hAnsi="宋体" w:cs="宋体"/>
          <w:b/>
          <w:bCs/>
          <w:color w:val="auto"/>
          <w:sz w:val="30"/>
          <w:szCs w:val="30"/>
        </w:rPr>
        <w:t>报价表</w:t>
      </w:r>
      <w:bookmarkEnd w:id="53"/>
      <w:bookmarkEnd w:id="54"/>
    </w:p>
    <w:p>
      <w:pPr>
        <w:spacing w:line="400" w:lineRule="exact"/>
        <w:ind w:firstLine="424" w:firstLineChars="202"/>
        <w:jc w:val="left"/>
        <w:rPr>
          <w:rFonts w:ascii="宋体" w:hAnsi="宋体" w:cs="宋体"/>
          <w:color w:val="auto"/>
          <w:szCs w:val="21"/>
        </w:rPr>
      </w:pPr>
      <w:r>
        <w:rPr>
          <w:rFonts w:hint="eastAsia" w:ascii="宋体" w:hAnsi="宋体" w:cs="宋体"/>
          <w:color w:val="auto"/>
          <w:szCs w:val="21"/>
        </w:rPr>
        <w:t>本项目为综合单价包干，投标人应阅读招标须知</w:t>
      </w:r>
      <w:r>
        <w:rPr>
          <w:rFonts w:ascii="宋体" w:hAnsi="宋体" w:cs="宋体"/>
          <w:color w:val="auto"/>
          <w:szCs w:val="21"/>
        </w:rPr>
        <w:t>1.2、3.2规定，参考第Ⅳ卷工程量清单填报。</w:t>
      </w:r>
    </w:p>
    <w:p>
      <w:pPr>
        <w:spacing w:line="400" w:lineRule="exact"/>
        <w:ind w:firstLine="424" w:firstLineChars="202"/>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bookmarkStart w:id="55" w:name="_Toc377719922"/>
      <w:bookmarkStart w:id="56" w:name="_Toc3759"/>
      <w:r>
        <w:rPr>
          <w:rFonts w:ascii="宋体" w:hAnsi="宋体" w:cs="宋体"/>
          <w:b/>
          <w:bCs/>
          <w:color w:val="auto"/>
          <w:sz w:val="30"/>
          <w:szCs w:val="30"/>
        </w:rPr>
        <w:t xml:space="preserve">12  </w:t>
      </w:r>
      <w:r>
        <w:rPr>
          <w:rFonts w:hint="eastAsia" w:ascii="宋体" w:hAnsi="宋体" w:cs="宋体"/>
          <w:b/>
          <w:bCs/>
          <w:color w:val="auto"/>
          <w:sz w:val="30"/>
          <w:szCs w:val="30"/>
        </w:rPr>
        <w:t>其它要求</w:t>
      </w:r>
      <w:bookmarkEnd w:id="55"/>
      <w:bookmarkEnd w:id="56"/>
    </w:p>
    <w:p>
      <w:pPr>
        <w:spacing w:line="400" w:lineRule="exact"/>
        <w:ind w:firstLine="319" w:firstLineChars="152"/>
        <w:jc w:val="left"/>
        <w:rPr>
          <w:rFonts w:ascii="宋体" w:hAnsi="宋体" w:cs="宋体"/>
          <w:color w:val="auto"/>
          <w:szCs w:val="21"/>
        </w:rPr>
      </w:pPr>
      <w:r>
        <w:rPr>
          <w:rFonts w:ascii="宋体" w:hAnsi="宋体" w:cs="宋体"/>
          <w:color w:val="auto"/>
          <w:szCs w:val="21"/>
        </w:rPr>
        <w:t>12.1项目负责人应满足的条件：具有建筑工程相关专业高级及以上工程师资格，本专业技术管理8年以上管理经验。</w:t>
      </w:r>
    </w:p>
    <w:p>
      <w:pPr>
        <w:spacing w:line="400" w:lineRule="exact"/>
        <w:ind w:firstLine="319" w:firstLineChars="152"/>
        <w:jc w:val="left"/>
        <w:rPr>
          <w:rFonts w:ascii="宋体" w:hAnsi="宋体" w:cs="宋体"/>
          <w:color w:val="auto"/>
          <w:szCs w:val="21"/>
        </w:rPr>
      </w:pPr>
      <w:r>
        <w:rPr>
          <w:rFonts w:ascii="宋体" w:hAnsi="宋体" w:cs="宋体"/>
          <w:color w:val="auto"/>
          <w:szCs w:val="21"/>
        </w:rPr>
        <w:t>12.2专项检测负责人应满足的条件：具有建筑工程相关专业</w:t>
      </w:r>
      <w:r>
        <w:rPr>
          <w:rFonts w:hint="eastAsia" w:ascii="宋体" w:hAnsi="宋体" w:cs="宋体"/>
          <w:color w:val="auto"/>
          <w:spacing w:val="20"/>
          <w:szCs w:val="21"/>
        </w:rPr>
        <w:t>中级或以上工程师职称</w:t>
      </w:r>
      <w:r>
        <w:rPr>
          <w:rFonts w:hint="eastAsia" w:ascii="宋体" w:hAnsi="宋体" w:cs="宋体"/>
          <w:color w:val="auto"/>
          <w:szCs w:val="21"/>
        </w:rPr>
        <w:t>，本专业技术管理</w:t>
      </w:r>
      <w:r>
        <w:rPr>
          <w:rFonts w:ascii="宋体" w:hAnsi="宋体" w:cs="宋体"/>
          <w:color w:val="auto"/>
          <w:szCs w:val="21"/>
        </w:rPr>
        <w:t>5年以上管理经验。</w:t>
      </w:r>
    </w:p>
    <w:p>
      <w:pPr>
        <w:spacing w:line="400" w:lineRule="exact"/>
        <w:ind w:firstLine="319" w:firstLineChars="152"/>
        <w:jc w:val="left"/>
        <w:rPr>
          <w:rFonts w:ascii="宋体" w:hAnsi="宋体" w:cs="宋体"/>
          <w:color w:val="auto"/>
          <w:szCs w:val="21"/>
        </w:rPr>
      </w:pPr>
      <w:r>
        <w:rPr>
          <w:rFonts w:ascii="宋体" w:hAnsi="宋体" w:cs="宋体"/>
          <w:color w:val="auto"/>
          <w:szCs w:val="21"/>
        </w:rPr>
        <w:t>12.3现场检测人员数量配备应满足现场检测需要，并均持有建筑工程质量安全检测员证。</w:t>
      </w:r>
    </w:p>
    <w:p>
      <w:pPr>
        <w:spacing w:line="400" w:lineRule="exact"/>
        <w:ind w:firstLine="319" w:firstLineChars="152"/>
        <w:jc w:val="left"/>
        <w:rPr>
          <w:rFonts w:ascii="宋体" w:hAnsi="宋体" w:cs="宋体"/>
          <w:color w:val="auto"/>
          <w:szCs w:val="21"/>
        </w:rPr>
      </w:pPr>
      <w:r>
        <w:rPr>
          <w:rFonts w:ascii="宋体" w:hAnsi="宋体" w:cs="宋体"/>
          <w:color w:val="auto"/>
          <w:szCs w:val="21"/>
        </w:rPr>
        <w:t>12.4提供检测类发明专利、实用新型专利证书或检测类计算机软件著作权登记证书（如有）。</w:t>
      </w:r>
    </w:p>
    <w:p>
      <w:pPr>
        <w:spacing w:line="400" w:lineRule="exact"/>
        <w:ind w:firstLine="319" w:firstLineChars="152"/>
        <w:jc w:val="left"/>
        <w:rPr>
          <w:rFonts w:ascii="宋体" w:hAnsi="宋体" w:cs="宋体"/>
          <w:color w:val="auto"/>
          <w:szCs w:val="21"/>
        </w:rPr>
      </w:pPr>
      <w:r>
        <w:rPr>
          <w:rFonts w:ascii="宋体" w:hAnsi="宋体" w:cs="宋体"/>
          <w:color w:val="auto"/>
          <w:szCs w:val="21"/>
        </w:rPr>
        <w:t>12.5提供</w:t>
      </w:r>
      <w:r>
        <w:rPr>
          <w:rFonts w:hint="eastAsia" w:ascii="宋体" w:hAnsi="宋体" w:cs="宋体"/>
          <w:color w:val="auto"/>
          <w:szCs w:val="21"/>
        </w:rPr>
        <w:t>获奖证书及受表彰情况资料。</w:t>
      </w:r>
    </w:p>
    <w:p>
      <w:pPr>
        <w:spacing w:line="400" w:lineRule="exact"/>
        <w:ind w:firstLine="319" w:firstLineChars="152"/>
        <w:jc w:val="left"/>
        <w:rPr>
          <w:rFonts w:ascii="宋体" w:hAnsi="宋体" w:cs="宋体"/>
          <w:color w:val="auto"/>
          <w:szCs w:val="21"/>
        </w:rPr>
      </w:pPr>
      <w:r>
        <w:rPr>
          <w:rFonts w:ascii="宋体" w:hAnsi="宋体" w:cs="宋体"/>
          <w:color w:val="auto"/>
          <w:szCs w:val="21"/>
        </w:rPr>
        <w:t>12.6对应评标办法评审标准需要提交的其他所有资格审查资料和技术资料。</w:t>
      </w:r>
    </w:p>
    <w:p>
      <w:pPr>
        <w:spacing w:line="400" w:lineRule="exact"/>
        <w:ind w:firstLine="319" w:firstLineChars="152"/>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jc w:val="left"/>
        <w:rPr>
          <w:rFonts w:ascii="宋体" w:hAnsi="宋体" w:cs="宋体"/>
          <w:color w:val="auto"/>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57" w:name="_Toc29721"/>
      <w:bookmarkStart w:id="58" w:name="_Toc377719923"/>
      <w:r>
        <w:rPr>
          <w:rFonts w:ascii="宋体" w:hAnsi="宋体" w:cs="宋体"/>
          <w:b/>
          <w:bCs/>
          <w:color w:val="auto"/>
          <w:sz w:val="30"/>
          <w:szCs w:val="30"/>
        </w:rPr>
        <w:t xml:space="preserve">13  </w:t>
      </w:r>
      <w:r>
        <w:rPr>
          <w:rFonts w:hint="eastAsia" w:ascii="宋体" w:hAnsi="宋体" w:cs="宋体"/>
          <w:b/>
          <w:bCs/>
          <w:color w:val="auto"/>
          <w:sz w:val="30"/>
          <w:szCs w:val="30"/>
        </w:rPr>
        <w:t>投标申请人声明</w:t>
      </w:r>
      <w:bookmarkEnd w:id="57"/>
      <w:bookmarkEnd w:id="58"/>
    </w:p>
    <w:p>
      <w:pPr>
        <w:rPr>
          <w:rFonts w:ascii="宋体" w:hAnsi="宋体" w:cs="宋体"/>
          <w:color w:val="auto"/>
          <w:szCs w:val="21"/>
        </w:rPr>
      </w:pPr>
      <w:r>
        <w:rPr>
          <w:rFonts w:hint="eastAsia" w:ascii="宋体" w:hAnsi="宋体" w:cs="宋体"/>
          <w:color w:val="auto"/>
          <w:szCs w:val="21"/>
        </w:rPr>
        <w:t>（格式按本项目招标公告）</w:t>
      </w:r>
    </w:p>
    <w:p>
      <w:pPr>
        <w:widowControl/>
        <w:shd w:val="clear" w:color="auto" w:fill="FFFFFF"/>
        <w:ind w:right="-57" w:rightChars="-27"/>
        <w:jc w:val="center"/>
        <w:rPr>
          <w:rFonts w:ascii="宋体" w:hAnsi="宋体" w:cs="宋体"/>
          <w:b/>
          <w:color w:val="auto"/>
          <w:kern w:val="0"/>
          <w:szCs w:val="21"/>
        </w:rPr>
      </w:pPr>
    </w:p>
    <w:p>
      <w:pPr>
        <w:keepNext/>
        <w:keepLines/>
        <w:spacing w:before="240" w:after="240" w:line="416" w:lineRule="auto"/>
        <w:outlineLvl w:val="1"/>
        <w:rPr>
          <w:rFonts w:ascii="宋体" w:hAnsi="宋体" w:cs="宋体"/>
          <w:b/>
          <w:bCs/>
          <w:color w:val="auto"/>
          <w:sz w:val="30"/>
          <w:szCs w:val="30"/>
        </w:rPr>
      </w:pPr>
      <w:r>
        <w:rPr>
          <w:rFonts w:ascii="宋体" w:hAnsi="宋体" w:cs="宋体"/>
          <w:b/>
          <w:bCs/>
          <w:color w:val="auto"/>
          <w:szCs w:val="21"/>
        </w:rPr>
        <w:br w:type="page"/>
      </w:r>
      <w:bookmarkStart w:id="59" w:name="_Toc377719924"/>
      <w:bookmarkStart w:id="60" w:name="_Toc1785"/>
      <w:r>
        <w:rPr>
          <w:rFonts w:ascii="宋体" w:hAnsi="宋体" w:cs="宋体"/>
          <w:b/>
          <w:bCs/>
          <w:color w:val="auto"/>
          <w:sz w:val="30"/>
          <w:szCs w:val="30"/>
        </w:rPr>
        <w:t xml:space="preserve">14  </w:t>
      </w:r>
      <w:r>
        <w:rPr>
          <w:rFonts w:hint="eastAsia" w:ascii="宋体" w:hAnsi="宋体" w:cs="宋体"/>
          <w:b/>
          <w:bCs/>
          <w:color w:val="auto"/>
          <w:sz w:val="30"/>
          <w:szCs w:val="30"/>
        </w:rPr>
        <w:t>廉洁承诺书</w:t>
      </w:r>
      <w:bookmarkEnd w:id="59"/>
      <w:bookmarkEnd w:id="60"/>
    </w:p>
    <w:p>
      <w:pPr>
        <w:spacing w:line="400" w:lineRule="exact"/>
        <w:jc w:val="left"/>
        <w:rPr>
          <w:rFonts w:ascii="宋体" w:hAnsi="宋体" w:cs="宋体"/>
          <w:color w:val="auto"/>
          <w:szCs w:val="21"/>
        </w:rPr>
      </w:pPr>
    </w:p>
    <w:p>
      <w:pPr>
        <w:spacing w:line="400" w:lineRule="exact"/>
        <w:jc w:val="center"/>
        <w:rPr>
          <w:rFonts w:ascii="宋体" w:hAnsi="宋体" w:cs="宋体"/>
          <w:b/>
          <w:color w:val="auto"/>
          <w:sz w:val="30"/>
          <w:szCs w:val="30"/>
        </w:rPr>
      </w:pPr>
      <w:r>
        <w:rPr>
          <w:rFonts w:hint="eastAsia" w:ascii="宋体" w:hAnsi="宋体" w:cs="宋体"/>
          <w:b/>
          <w:color w:val="auto"/>
          <w:sz w:val="30"/>
          <w:szCs w:val="30"/>
        </w:rPr>
        <w:t>廉</w:t>
      </w:r>
      <w:r>
        <w:rPr>
          <w:rFonts w:ascii="宋体" w:hAnsi="宋体" w:cs="宋体"/>
          <w:b/>
          <w:color w:val="auto"/>
          <w:sz w:val="30"/>
          <w:szCs w:val="30"/>
        </w:rPr>
        <w:t xml:space="preserve"> </w:t>
      </w:r>
      <w:r>
        <w:rPr>
          <w:rFonts w:hint="eastAsia" w:ascii="宋体" w:hAnsi="宋体" w:cs="宋体"/>
          <w:b/>
          <w:color w:val="auto"/>
          <w:sz w:val="30"/>
          <w:szCs w:val="30"/>
        </w:rPr>
        <w:t>洁</w:t>
      </w:r>
      <w:r>
        <w:rPr>
          <w:rFonts w:ascii="宋体" w:hAnsi="宋体" w:cs="宋体"/>
          <w:b/>
          <w:color w:val="auto"/>
          <w:sz w:val="30"/>
          <w:szCs w:val="30"/>
        </w:rPr>
        <w:t xml:space="preserve"> </w:t>
      </w:r>
      <w:r>
        <w:rPr>
          <w:rFonts w:hint="eastAsia" w:ascii="宋体" w:hAnsi="宋体" w:cs="宋体"/>
          <w:b/>
          <w:color w:val="auto"/>
          <w:sz w:val="30"/>
          <w:szCs w:val="30"/>
        </w:rPr>
        <w:t>承</w:t>
      </w:r>
      <w:r>
        <w:rPr>
          <w:rFonts w:ascii="宋体" w:hAnsi="宋体" w:cs="宋体"/>
          <w:b/>
          <w:color w:val="auto"/>
          <w:sz w:val="30"/>
          <w:szCs w:val="30"/>
        </w:rPr>
        <w:t xml:space="preserve"> </w:t>
      </w:r>
      <w:r>
        <w:rPr>
          <w:rFonts w:hint="eastAsia" w:ascii="宋体" w:hAnsi="宋体" w:cs="宋体"/>
          <w:b/>
          <w:color w:val="auto"/>
          <w:sz w:val="30"/>
          <w:szCs w:val="30"/>
        </w:rPr>
        <w:t>诺</w:t>
      </w:r>
      <w:r>
        <w:rPr>
          <w:rFonts w:ascii="宋体" w:hAnsi="宋体" w:cs="宋体"/>
          <w:b/>
          <w:color w:val="auto"/>
          <w:sz w:val="30"/>
          <w:szCs w:val="30"/>
        </w:rPr>
        <w:t xml:space="preserve"> </w:t>
      </w:r>
      <w:r>
        <w:rPr>
          <w:rFonts w:hint="eastAsia" w:ascii="宋体" w:hAnsi="宋体" w:cs="宋体"/>
          <w:b/>
          <w:color w:val="auto"/>
          <w:sz w:val="30"/>
          <w:szCs w:val="30"/>
        </w:rPr>
        <w:t>书</w:t>
      </w:r>
    </w:p>
    <w:p>
      <w:pPr>
        <w:spacing w:line="400" w:lineRule="exact"/>
        <w:jc w:val="left"/>
        <w:rPr>
          <w:rFonts w:ascii="宋体" w:hAnsi="宋体" w:cs="宋体"/>
          <w:color w:val="auto"/>
          <w:sz w:val="30"/>
          <w:szCs w:val="30"/>
        </w:rPr>
      </w:pPr>
    </w:p>
    <w:p>
      <w:pPr>
        <w:spacing w:line="360" w:lineRule="auto"/>
        <w:jc w:val="left"/>
        <w:rPr>
          <w:rFonts w:ascii="宋体" w:hAnsi="宋体" w:cs="宋体"/>
          <w:color w:val="auto"/>
          <w:szCs w:val="21"/>
        </w:rPr>
      </w:pPr>
      <w:r>
        <w:rPr>
          <w:rFonts w:hint="eastAsia" w:ascii="宋体" w:hAnsi="宋体" w:cs="宋体"/>
          <w:color w:val="auto"/>
          <w:szCs w:val="21"/>
        </w:rPr>
        <w:t>承诺企业：</w:t>
      </w:r>
    </w:p>
    <w:p>
      <w:pPr>
        <w:spacing w:line="360" w:lineRule="auto"/>
        <w:jc w:val="left"/>
        <w:rPr>
          <w:rFonts w:ascii="宋体" w:hAnsi="宋体" w:cs="宋体"/>
          <w:color w:val="auto"/>
          <w:szCs w:val="21"/>
        </w:rPr>
      </w:pPr>
      <w:r>
        <w:rPr>
          <w:rFonts w:hint="eastAsia" w:ascii="宋体" w:hAnsi="宋体" w:cs="宋体"/>
          <w:color w:val="auto"/>
          <w:szCs w:val="21"/>
        </w:rPr>
        <w:t>地址：</w:t>
      </w:r>
    </w:p>
    <w:p>
      <w:pPr>
        <w:spacing w:line="360" w:lineRule="auto"/>
        <w:jc w:val="left"/>
        <w:rPr>
          <w:rFonts w:ascii="宋体" w:hAnsi="宋体" w:cs="宋体"/>
          <w:color w:val="auto"/>
          <w:szCs w:val="21"/>
        </w:rPr>
      </w:pPr>
      <w:r>
        <w:rPr>
          <w:rFonts w:hint="eastAsia" w:ascii="宋体" w:hAnsi="宋体" w:cs="宋体"/>
          <w:color w:val="auto"/>
          <w:szCs w:val="21"/>
        </w:rPr>
        <w:t>承诺人（法定代表人或法定代表人授权人）：</w:t>
      </w:r>
    </w:p>
    <w:p>
      <w:pPr>
        <w:spacing w:line="360" w:lineRule="auto"/>
        <w:ind w:firstLine="495" w:firstLineChars="236"/>
        <w:jc w:val="left"/>
        <w:rPr>
          <w:rFonts w:ascii="宋体" w:hAnsi="宋体" w:cs="宋体"/>
          <w:color w:val="auto"/>
          <w:szCs w:val="21"/>
        </w:rPr>
      </w:pPr>
      <w:r>
        <w:rPr>
          <w:rFonts w:hint="eastAsia" w:ascii="宋体" w:hAnsi="宋体" w:cs="宋体"/>
          <w:color w:val="auto"/>
          <w:szCs w:val="21"/>
        </w:rPr>
        <w:t>本公司就参加</w:t>
      </w:r>
      <w:r>
        <w:rPr>
          <w:rFonts w:ascii="宋体" w:hAnsi="宋体" w:cs="宋体"/>
          <w:color w:val="auto"/>
          <w:szCs w:val="21"/>
        </w:rPr>
        <w:t xml:space="preserve"> </w:t>
      </w:r>
      <w:r>
        <w:rPr>
          <w:rFonts w:ascii="宋体" w:hAnsi="宋体" w:cs="宋体"/>
          <w:color w:val="auto"/>
          <w:szCs w:val="21"/>
          <w:u w:val="single"/>
        </w:rPr>
        <w:t xml:space="preserve">                  </w:t>
      </w:r>
      <w:r>
        <w:rPr>
          <w:rFonts w:ascii="宋体" w:hAnsi="宋体" w:cs="宋体"/>
          <w:color w:val="auto"/>
          <w:szCs w:val="21"/>
        </w:rPr>
        <w:t xml:space="preserve"> 的投标工作，郑重作出如下承诺：</w:t>
      </w:r>
    </w:p>
    <w:p>
      <w:pPr>
        <w:spacing w:line="360" w:lineRule="auto"/>
        <w:ind w:firstLine="495" w:firstLineChars="236"/>
        <w:jc w:val="left"/>
        <w:rPr>
          <w:rFonts w:ascii="宋体" w:hAnsi="宋体" w:cs="宋体"/>
          <w:color w:val="auto"/>
          <w:szCs w:val="21"/>
        </w:rPr>
      </w:pPr>
      <w:r>
        <w:rPr>
          <w:rFonts w:hint="eastAsia" w:ascii="宋体" w:hAnsi="宋体" w:cs="宋体"/>
          <w:color w:val="auto"/>
          <w:szCs w:val="21"/>
        </w:rPr>
        <w:t>我公司已经充分阅读并清楚理解招标要求，我司参加投标所提供的投标登记材料是真实、合法的。如有机会成为正式投标人，我公司保证不与其他投标单位围标、串标，不出让投标资格，不向招标人、评标委员会成员行贿和私下联系，同时不出现其他不廉洁行为，如有违反上述规定，本人和本公司愿意接受没收投标保证金及</w:t>
      </w:r>
      <w:r>
        <w:rPr>
          <w:rFonts w:ascii="宋体" w:hAnsi="宋体" w:cs="宋体"/>
          <w:color w:val="auto"/>
          <w:szCs w:val="21"/>
        </w:rPr>
        <w:t>6个月至2年内不得参与贵公司管辖工程项目的投标等处罚，并愿意承担由此带来的法律后果；如果中标，本公司愿意与贵公司签署并执行《廉洁协议》。</w:t>
      </w:r>
    </w:p>
    <w:p>
      <w:pPr>
        <w:spacing w:line="360" w:lineRule="auto"/>
        <w:ind w:firstLine="495" w:firstLineChars="236"/>
        <w:jc w:val="left"/>
        <w:rPr>
          <w:rFonts w:ascii="宋体" w:hAnsi="宋体" w:cs="宋体"/>
          <w:color w:val="auto"/>
          <w:szCs w:val="21"/>
        </w:rPr>
      </w:pPr>
      <w:r>
        <w:rPr>
          <w:rFonts w:hint="eastAsia" w:ascii="宋体" w:hAnsi="宋体" w:cs="宋体"/>
          <w:color w:val="auto"/>
          <w:szCs w:val="21"/>
        </w:rPr>
        <w:t>特此承诺！</w:t>
      </w:r>
    </w:p>
    <w:p>
      <w:pPr>
        <w:spacing w:line="360" w:lineRule="auto"/>
        <w:jc w:val="left"/>
        <w:rPr>
          <w:rFonts w:ascii="宋体" w:hAnsi="宋体" w:cs="宋体"/>
          <w:color w:val="auto"/>
          <w:szCs w:val="21"/>
        </w:rPr>
      </w:pPr>
    </w:p>
    <w:p>
      <w:pPr>
        <w:spacing w:line="400" w:lineRule="exact"/>
        <w:jc w:val="left"/>
        <w:rPr>
          <w:rFonts w:ascii="宋体" w:hAnsi="宋体" w:cs="宋体"/>
          <w:color w:val="auto"/>
          <w:szCs w:val="21"/>
        </w:rPr>
      </w:pPr>
    </w:p>
    <w:p>
      <w:pPr>
        <w:spacing w:line="400" w:lineRule="exact"/>
        <w:ind w:firstLine="2232" w:firstLineChars="1063"/>
        <w:jc w:val="left"/>
        <w:rPr>
          <w:rFonts w:ascii="宋体" w:hAnsi="宋体" w:cs="宋体"/>
          <w:color w:val="auto"/>
          <w:szCs w:val="21"/>
        </w:rPr>
      </w:pPr>
      <w:r>
        <w:rPr>
          <w:rFonts w:hint="eastAsia" w:ascii="宋体" w:hAnsi="宋体" w:cs="宋体"/>
          <w:color w:val="auto"/>
          <w:szCs w:val="21"/>
        </w:rPr>
        <w:t>承诺人（法定代表人或法定代表人授权人）签字：</w:t>
      </w:r>
    </w:p>
    <w:p>
      <w:pPr>
        <w:spacing w:line="400" w:lineRule="exact"/>
        <w:ind w:firstLine="2232" w:firstLineChars="1063"/>
        <w:jc w:val="left"/>
        <w:rPr>
          <w:rFonts w:ascii="宋体" w:hAnsi="宋体" w:cs="宋体"/>
          <w:color w:val="auto"/>
          <w:szCs w:val="21"/>
        </w:rPr>
      </w:pPr>
      <w:r>
        <w:rPr>
          <w:rFonts w:hint="eastAsia" w:ascii="宋体" w:hAnsi="宋体" w:cs="宋体"/>
          <w:color w:val="auto"/>
          <w:szCs w:val="21"/>
        </w:rPr>
        <w:t>承诺企业公章</w:t>
      </w:r>
    </w:p>
    <w:p>
      <w:pPr>
        <w:spacing w:line="400" w:lineRule="exact"/>
        <w:ind w:firstLine="2232" w:firstLineChars="1063"/>
        <w:jc w:val="left"/>
        <w:rPr>
          <w:rFonts w:ascii="宋体" w:hAnsi="宋体" w:cs="宋体"/>
          <w:color w:val="auto"/>
          <w:szCs w:val="21"/>
        </w:rPr>
      </w:pPr>
    </w:p>
    <w:p>
      <w:pPr>
        <w:spacing w:line="400" w:lineRule="exact"/>
        <w:ind w:firstLine="2232" w:firstLineChars="1063"/>
        <w:jc w:val="left"/>
        <w:rPr>
          <w:rFonts w:ascii="宋体" w:hAnsi="宋体" w:cs="宋体"/>
          <w:color w:val="auto"/>
          <w:szCs w:val="21"/>
        </w:rPr>
      </w:pPr>
      <w:r>
        <w:rPr>
          <w:rFonts w:hint="eastAsia" w:ascii="宋体" w:hAnsi="宋体" w:cs="宋体"/>
          <w:color w:val="auto"/>
          <w:szCs w:val="21"/>
        </w:rPr>
        <w:t>年</w:t>
      </w:r>
      <w:r>
        <w:rPr>
          <w:rFonts w:ascii="宋体" w:hAnsi="宋体" w:cs="宋体"/>
          <w:color w:val="auto"/>
          <w:szCs w:val="21"/>
        </w:rPr>
        <w:t xml:space="preserve">   </w:t>
      </w:r>
      <w:r>
        <w:rPr>
          <w:rFonts w:hint="eastAsia" w:ascii="宋体" w:hAnsi="宋体" w:cs="宋体"/>
          <w:color w:val="auto"/>
          <w:szCs w:val="21"/>
        </w:rPr>
        <w:t>月</w:t>
      </w:r>
      <w:r>
        <w:rPr>
          <w:rFonts w:ascii="宋体" w:hAnsi="宋体" w:cs="宋体"/>
          <w:color w:val="auto"/>
          <w:szCs w:val="21"/>
        </w:rPr>
        <w:t xml:space="preserve">   </w:t>
      </w:r>
      <w:r>
        <w:rPr>
          <w:rFonts w:hint="eastAsia" w:ascii="宋体" w:hAnsi="宋体" w:cs="宋体"/>
          <w:color w:val="auto"/>
          <w:szCs w:val="21"/>
        </w:rPr>
        <w:t>日</w:t>
      </w:r>
    </w:p>
    <w:p>
      <w:pPr>
        <w:spacing w:line="400" w:lineRule="exact"/>
        <w:ind w:firstLine="2232" w:firstLineChars="1063"/>
        <w:jc w:val="left"/>
        <w:rPr>
          <w:rFonts w:ascii="宋体" w:hAnsi="宋体" w:cs="宋体"/>
          <w:color w:val="auto"/>
          <w:szCs w:val="21"/>
        </w:rPr>
      </w:pPr>
    </w:p>
    <w:p>
      <w:pPr>
        <w:pStyle w:val="4"/>
        <w:rPr>
          <w:rFonts w:ascii="宋体" w:hAnsi="宋体" w:eastAsia="宋体" w:cs="宋体"/>
          <w:color w:val="auto"/>
          <w:sz w:val="30"/>
          <w:szCs w:val="30"/>
        </w:rPr>
        <w:sectPr>
          <w:pgSz w:w="11906" w:h="16838"/>
          <w:pgMar w:top="1418" w:right="1701" w:bottom="1418" w:left="1701" w:header="851" w:footer="794" w:gutter="0"/>
          <w:cols w:space="720" w:num="1"/>
          <w:docGrid w:type="lines" w:linePitch="312" w:charSpace="0"/>
        </w:sectPr>
      </w:pPr>
      <w:bookmarkStart w:id="61" w:name="_Toc476678193"/>
      <w:bookmarkStart w:id="62" w:name="_Toc11962"/>
      <w:bookmarkStart w:id="63" w:name="_Toc476659703"/>
      <w:bookmarkStart w:id="64" w:name="_Toc476727463"/>
      <w:bookmarkStart w:id="65" w:name="_Toc383027961"/>
      <w:bookmarkStart w:id="66" w:name="_Toc387222774"/>
      <w:bookmarkStart w:id="67" w:name="_Toc27374"/>
      <w:bookmarkStart w:id="68" w:name="_Toc383029360"/>
      <w:bookmarkStart w:id="69" w:name="_Toc476664928"/>
      <w:bookmarkStart w:id="70" w:name="_Toc476659282"/>
      <w:bookmarkStart w:id="71" w:name="_Toc476661198"/>
      <w:bookmarkStart w:id="72" w:name="_Toc11207"/>
      <w:bookmarkStart w:id="73" w:name="_Toc11158"/>
      <w:bookmarkStart w:id="74" w:name="_Toc476669637"/>
      <w:bookmarkStart w:id="75" w:name="_Toc476659570"/>
      <w:bookmarkStart w:id="76" w:name="_Toc476661245"/>
      <w:bookmarkStart w:id="77" w:name="_Toc476668869"/>
      <w:bookmarkStart w:id="78" w:name="_Toc7978824"/>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Pr>
        <w:spacing w:line="500" w:lineRule="exact"/>
        <w:ind w:firstLine="210" w:firstLineChars="100"/>
        <w:rPr>
          <w:rFonts w:ascii="宋体" w:hAnsi="宋体" w:cs="宋体"/>
          <w:color w:val="auto"/>
          <w:szCs w:val="21"/>
        </w:rPr>
      </w:pPr>
    </w:p>
    <w:p>
      <w:pPr>
        <w:ind w:firstLine="2415" w:firstLineChars="1150"/>
        <w:rPr>
          <w:rFonts w:ascii="宋体" w:hAnsi="宋体"/>
          <w:color w:val="auto"/>
          <w:szCs w:val="21"/>
        </w:rPr>
      </w:pPr>
    </w:p>
    <w:p>
      <w:pPr>
        <w:spacing w:line="500" w:lineRule="exact"/>
        <w:ind w:firstLine="210" w:firstLineChars="100"/>
        <w:rPr>
          <w:rFonts w:ascii="宋体" w:hAnsi="宋体" w:cs="宋体"/>
          <w:color w:val="auto"/>
          <w:szCs w:val="21"/>
        </w:rPr>
      </w:pPr>
    </w:p>
    <w:p>
      <w:pPr>
        <w:ind w:firstLine="210" w:firstLineChars="100"/>
        <w:rPr>
          <w:rFonts w:ascii="宋体" w:hAnsi="宋体" w:cs="宋体"/>
          <w:color w:val="auto"/>
        </w:rPr>
      </w:pPr>
    </w:p>
    <w:p>
      <w:pPr>
        <w:spacing w:line="400" w:lineRule="exact"/>
        <w:ind w:firstLine="2551" w:firstLineChars="1063"/>
        <w:jc w:val="left"/>
        <w:rPr>
          <w:rFonts w:ascii="宋体" w:hAnsi="宋体" w:cs="宋体"/>
          <w:color w:val="auto"/>
          <w:sz w:val="24"/>
          <w:szCs w:val="28"/>
        </w:rPr>
      </w:pPr>
    </w:p>
    <w:p>
      <w:pPr>
        <w:spacing w:line="400" w:lineRule="exact"/>
        <w:ind w:firstLine="2551" w:firstLineChars="1063"/>
        <w:jc w:val="left"/>
        <w:rPr>
          <w:rFonts w:ascii="宋体" w:hAnsi="宋体" w:cs="宋体"/>
          <w:color w:val="auto"/>
          <w:sz w:val="24"/>
          <w:szCs w:val="28"/>
        </w:rPr>
      </w:pPr>
    </w:p>
    <w:p>
      <w:pPr>
        <w:keepNext/>
        <w:keepLines/>
        <w:spacing w:line="578" w:lineRule="auto"/>
        <w:jc w:val="center"/>
        <w:outlineLvl w:val="0"/>
        <w:rPr>
          <w:rFonts w:ascii="宋体" w:hAnsi="宋体" w:cs="宋体"/>
          <w:b/>
          <w:bCs/>
          <w:color w:val="auto"/>
          <w:kern w:val="44"/>
          <w:sz w:val="44"/>
          <w:szCs w:val="44"/>
        </w:rPr>
      </w:pPr>
      <w:bookmarkStart w:id="79" w:name="_Toc7278"/>
      <w:bookmarkStart w:id="80" w:name="_Toc377719925"/>
      <w:r>
        <w:rPr>
          <w:rFonts w:hint="eastAsia" w:ascii="宋体" w:hAnsi="宋体" w:cs="宋体"/>
          <w:b/>
          <w:bCs/>
          <w:color w:val="auto"/>
          <w:kern w:val="44"/>
          <w:sz w:val="44"/>
          <w:szCs w:val="44"/>
        </w:rPr>
        <w:t>第Ⅳ卷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工程量清单</w:t>
      </w:r>
      <w:bookmarkEnd w:id="79"/>
      <w:bookmarkEnd w:id="80"/>
    </w:p>
    <w:p>
      <w:pPr>
        <w:spacing w:line="400" w:lineRule="exact"/>
        <w:jc w:val="left"/>
        <w:rPr>
          <w:rFonts w:ascii="宋体" w:hAnsi="宋体" w:cs="宋体"/>
          <w:color w:val="auto"/>
          <w:sz w:val="28"/>
          <w:szCs w:val="28"/>
        </w:rPr>
      </w:pPr>
    </w:p>
    <w:p>
      <w:pPr>
        <w:ind w:firstLine="424"/>
        <w:rPr>
          <w:rFonts w:ascii="宋体" w:hAnsi="宋体" w:cs="宋体"/>
          <w:color w:val="auto"/>
        </w:rPr>
      </w:pPr>
    </w:p>
    <w:p>
      <w:pPr>
        <w:rPr>
          <w:rFonts w:ascii="宋体" w:hAnsi="宋体" w:cs="宋体"/>
          <w:color w:val="auto"/>
        </w:rPr>
        <w:sectPr>
          <w:pgSz w:w="11906" w:h="16838"/>
          <w:pgMar w:top="1418" w:right="1701" w:bottom="1418" w:left="1701" w:header="851" w:footer="794" w:gutter="0"/>
          <w:cols w:space="720" w:num="1"/>
          <w:docGrid w:type="lines" w:linePitch="312" w:charSpace="0"/>
        </w:sectPr>
      </w:pPr>
    </w:p>
    <w:p>
      <w:pPr>
        <w:rPr>
          <w:rFonts w:ascii="宋体" w:hAnsi="宋体" w:cs="宋体"/>
          <w:b/>
          <w:color w:val="auto"/>
          <w:spacing w:val="-5"/>
          <w:kern w:val="0"/>
          <w:szCs w:val="21"/>
        </w:rPr>
      </w:pPr>
    </w:p>
    <w:p>
      <w:pPr>
        <w:keepNext/>
        <w:keepLines/>
        <w:spacing w:before="240" w:after="240" w:line="416" w:lineRule="auto"/>
        <w:outlineLvl w:val="1"/>
        <w:rPr>
          <w:rFonts w:ascii="宋体" w:hAnsi="宋体" w:cs="宋体"/>
          <w:b/>
          <w:bCs/>
          <w:color w:val="auto"/>
          <w:sz w:val="24"/>
          <w:szCs w:val="24"/>
        </w:rPr>
      </w:pPr>
      <w:bookmarkStart w:id="81" w:name="_Toc377719926"/>
      <w:bookmarkStart w:id="82" w:name="_Toc27526"/>
      <w:r>
        <w:rPr>
          <w:rFonts w:ascii="宋体" w:hAnsi="宋体" w:cs="宋体"/>
          <w:b/>
          <w:bCs/>
          <w:color w:val="auto"/>
          <w:sz w:val="24"/>
          <w:szCs w:val="24"/>
        </w:rPr>
        <w:t xml:space="preserve">1  </w:t>
      </w:r>
      <w:r>
        <w:rPr>
          <w:rFonts w:hint="eastAsia" w:ascii="宋体" w:hAnsi="宋体" w:cs="宋体"/>
          <w:b/>
          <w:bCs/>
          <w:color w:val="auto"/>
          <w:sz w:val="24"/>
          <w:szCs w:val="24"/>
        </w:rPr>
        <w:t>工程量清单说明</w:t>
      </w:r>
      <w:bookmarkEnd w:id="81"/>
      <w:bookmarkEnd w:id="82"/>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1.1 </w:t>
      </w:r>
      <w:r>
        <w:rPr>
          <w:rFonts w:hint="eastAsia" w:ascii="宋体" w:hAnsi="宋体" w:cs="宋体"/>
          <w:color w:val="auto"/>
          <w:szCs w:val="21"/>
        </w:rPr>
        <w:t>工程量清单是招标文件的组成部分，只是为投标提供一个共同的基础，但不能完全作为最后对承包人进行支付的依据。投标人不得自行修改工程量清单的项目和数量。</w:t>
      </w:r>
    </w:p>
    <w:p>
      <w:pPr>
        <w:spacing w:line="400" w:lineRule="exact"/>
        <w:ind w:firstLine="424" w:firstLineChars="202"/>
        <w:jc w:val="left"/>
        <w:rPr>
          <w:rFonts w:ascii="宋体" w:hAnsi="宋体" w:cs="宋体"/>
          <w:color w:val="auto"/>
          <w:szCs w:val="21"/>
        </w:rPr>
      </w:pPr>
      <w:r>
        <w:rPr>
          <w:rFonts w:ascii="宋体" w:hAnsi="宋体" w:cs="宋体"/>
          <w:color w:val="auto"/>
          <w:szCs w:val="21"/>
        </w:rPr>
        <w:t>1.2工程量清单中的综合单价与合价已包括了所有检测仪器设备费、设施费、劳务费、检验/检测费、材料费、安装费、措施项目费、保险费、社保费、住房公积金，还包括临时工程费、缺陷修复费、管理费、利润、行政事业性收费、办理工程检测相关许可、以及购买有关资料费、检测材料以及加工费、检测作业仪器设备和机具的搬运费、装拆费、加荷体的吊装费和进退场费、过路过桥费等，以及合同明示和暗示的所有风险、责任和业务等费用。</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1.3 </w:t>
      </w:r>
      <w:r>
        <w:rPr>
          <w:rFonts w:hint="eastAsia" w:ascii="宋体" w:hAnsi="宋体" w:cs="宋体"/>
          <w:color w:val="auto"/>
          <w:szCs w:val="21"/>
        </w:rPr>
        <w:t>凡工程量清单中标有数量的每个项目均须填入单价和合价，投标人没有填写的单价和合价的项目，在实施时不予支付，并认为此项目的费用已包含括在工程量清单相关工程项目的单价和合价之中。本工程实行综合单价承包方式，综合单价在合同执行期间不作调整。</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1.4 </w:t>
      </w:r>
      <w:r>
        <w:rPr>
          <w:rFonts w:hint="eastAsia" w:ascii="宋体" w:hAnsi="宋体" w:cs="宋体"/>
          <w:color w:val="auto"/>
          <w:szCs w:val="21"/>
        </w:rPr>
        <w:t>用于支付已完成工程的计算和支付，应符合“计量与支付”条款的规定。</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1.5 </w:t>
      </w:r>
      <w:r>
        <w:rPr>
          <w:rFonts w:hint="eastAsia" w:ascii="宋体" w:hAnsi="宋体" w:cs="宋体"/>
          <w:color w:val="auto"/>
          <w:szCs w:val="21"/>
        </w:rPr>
        <w:t>合同执行中所列工程量的增减或调整，不会使合同条件或条款的约束无效或降低，也不免除检测人按要求的标准进行试验检测的责任。</w:t>
      </w:r>
    </w:p>
    <w:p>
      <w:pPr>
        <w:spacing w:line="400" w:lineRule="exact"/>
        <w:ind w:firstLine="424" w:firstLineChars="202"/>
        <w:jc w:val="left"/>
        <w:rPr>
          <w:rFonts w:ascii="宋体" w:hAnsi="宋体" w:cs="宋体"/>
          <w:color w:val="auto"/>
          <w:szCs w:val="21"/>
        </w:rPr>
      </w:pPr>
      <w:r>
        <w:rPr>
          <w:rFonts w:ascii="宋体" w:hAnsi="宋体" w:cs="宋体"/>
          <w:color w:val="auto"/>
          <w:szCs w:val="21"/>
        </w:rPr>
        <w:t xml:space="preserve">1.6 </w:t>
      </w:r>
      <w:r>
        <w:rPr>
          <w:rFonts w:hint="eastAsia" w:ascii="宋体" w:hAnsi="宋体" w:cs="宋体"/>
          <w:color w:val="auto"/>
          <w:szCs w:val="21"/>
        </w:rPr>
        <w:t>检测单位提供的检测文件，应当符合国家规定的工程技术质量标准，满足合同约定的内容、质量要求。由于检测原因造成工程检测返工或增加工作量的，发包人不另外支付增加的费用。由于检测人工作失误给工程造成损失的，应当按有关规定承担责任。</w:t>
      </w:r>
    </w:p>
    <w:p>
      <w:pPr>
        <w:spacing w:line="400" w:lineRule="exact"/>
        <w:ind w:firstLine="424" w:firstLineChars="202"/>
        <w:jc w:val="left"/>
        <w:rPr>
          <w:rFonts w:ascii="宋体" w:hAnsi="宋体" w:cs="宋体"/>
          <w:color w:val="auto"/>
          <w:szCs w:val="21"/>
        </w:rPr>
      </w:pPr>
      <w:r>
        <w:rPr>
          <w:rFonts w:ascii="宋体" w:hAnsi="宋体" w:cs="宋体"/>
          <w:color w:val="auto"/>
          <w:szCs w:val="21"/>
        </w:rPr>
        <w:t>1.7本工程量清单所采用的计量单位为国际单位制（SI）。本工程量清单的单价和合价全用人民币表示。</w:t>
      </w:r>
    </w:p>
    <w:p>
      <w:pPr>
        <w:spacing w:line="400" w:lineRule="exact"/>
        <w:ind w:firstLine="424" w:firstLineChars="202"/>
        <w:jc w:val="left"/>
        <w:rPr>
          <w:rFonts w:ascii="宋体" w:hAnsi="宋体" w:cs="宋体"/>
          <w:color w:val="auto"/>
          <w:szCs w:val="21"/>
        </w:rPr>
      </w:pPr>
      <w:r>
        <w:rPr>
          <w:rFonts w:ascii="宋体" w:hAnsi="宋体" w:cs="宋体"/>
          <w:color w:val="auto"/>
          <w:szCs w:val="21"/>
        </w:rPr>
        <w:t>1.8投标人须对现场进行摸查，充分考虑检测过程中可能遇到的风险和不可预见的情况。在报价时，应包含所有技术处理等发生的费用，招标人在实施过程中不另行计量支付。</w:t>
      </w:r>
    </w:p>
    <w:p>
      <w:pPr>
        <w:spacing w:line="360" w:lineRule="auto"/>
        <w:ind w:firstLine="424" w:firstLineChars="202"/>
        <w:jc w:val="left"/>
        <w:rPr>
          <w:rFonts w:ascii="宋体" w:hAnsi="宋体" w:cs="宋体"/>
          <w:color w:val="auto"/>
          <w:szCs w:val="21"/>
        </w:rPr>
      </w:pPr>
      <w:r>
        <w:rPr>
          <w:rFonts w:ascii="宋体" w:hAnsi="宋体" w:cs="宋体"/>
          <w:color w:val="auto"/>
          <w:szCs w:val="21"/>
        </w:rPr>
        <w:t>1.9</w:t>
      </w:r>
      <w:r>
        <w:rPr>
          <w:rFonts w:hint="eastAsia" w:ascii="宋体" w:hAnsi="宋体" w:cs="宋体"/>
          <w:color w:val="auto"/>
          <w:szCs w:val="21"/>
        </w:rPr>
        <w:t>由于</w:t>
      </w:r>
      <w:r>
        <w:rPr>
          <w:rFonts w:ascii="宋体" w:hAnsi="宋体" w:cs="宋体"/>
          <w:color w:val="auto"/>
          <w:szCs w:val="21"/>
        </w:rPr>
        <w:t>1号线工程线路敷设方式改变、站位调整等原因，待最新的初步设计批复后将依据批复后的初步设计对本次招标的工程量清单重新进行统计，该次工程量清单的变化按照相关合同管理办法一次性办理合同变更，更新合同价和合同清单，检测项目单价按中标单价计算，如本标段无相同或相近检测项目的，按1号线相同或相近检测项目中标单价的平均价计算，如出现1号线工程无相同或相近检测项目的，比照合同价款中的调价原则办理。结算工程量以实际发生的派单工程量为准，对比更新后的合同清单仅发生数量变化可不办理变更。</w:t>
      </w:r>
    </w:p>
    <w:p>
      <w:pPr>
        <w:rPr>
          <w:rFonts w:ascii="宋体" w:hAnsi="宋体" w:cs="宋体"/>
          <w:b/>
          <w:color w:val="auto"/>
          <w:spacing w:val="-5"/>
          <w:kern w:val="0"/>
          <w:szCs w:val="21"/>
        </w:rPr>
      </w:pPr>
    </w:p>
    <w:p>
      <w:pPr>
        <w:rPr>
          <w:rFonts w:ascii="宋体" w:hAnsi="宋体" w:cs="宋体"/>
          <w:b/>
          <w:color w:val="auto"/>
          <w:spacing w:val="-5"/>
          <w:kern w:val="0"/>
          <w:szCs w:val="21"/>
        </w:rPr>
      </w:pPr>
      <w:r>
        <w:rPr>
          <w:rFonts w:hint="eastAsia" w:ascii="宋体" w:hAnsi="宋体" w:cs="宋体"/>
          <w:b/>
          <w:color w:val="auto"/>
          <w:spacing w:val="-5"/>
          <w:kern w:val="0"/>
          <w:szCs w:val="21"/>
        </w:rPr>
        <w:t>说明：本卷所涉及的标准和规范，如有更新版本的，应遵照新版本执行。</w:t>
      </w:r>
    </w:p>
    <w:p>
      <w:pPr>
        <w:rPr>
          <w:rFonts w:ascii="宋体" w:hAnsi="宋体" w:cs="宋体"/>
          <w:b/>
          <w:color w:val="auto"/>
          <w:spacing w:val="-5"/>
          <w:kern w:val="0"/>
          <w:szCs w:val="21"/>
        </w:rPr>
      </w:pPr>
    </w:p>
    <w:p>
      <w:pPr>
        <w:numPr>
          <w:ilvl w:val="0"/>
          <w:numId w:val="6"/>
        </w:numPr>
        <w:rPr>
          <w:rFonts w:ascii="宋体" w:hAnsi="宋体" w:cs="宋体"/>
          <w:b/>
          <w:color w:val="auto"/>
          <w:spacing w:val="-5"/>
          <w:kern w:val="0"/>
          <w:szCs w:val="21"/>
        </w:rPr>
        <w:sectPr>
          <w:pgSz w:w="11906" w:h="16838"/>
          <w:pgMar w:top="1418" w:right="1701" w:bottom="1418" w:left="1701" w:header="851" w:footer="794" w:gutter="0"/>
          <w:cols w:space="720" w:num="1"/>
          <w:docGrid w:type="lines" w:linePitch="312" w:charSpace="0"/>
        </w:sectPr>
      </w:pPr>
    </w:p>
    <w:p>
      <w:pPr>
        <w:outlineLvl w:val="1"/>
        <w:rPr>
          <w:rFonts w:ascii="宋体" w:hAnsi="宋体" w:cs="宋体"/>
          <w:b/>
          <w:color w:val="auto"/>
          <w:spacing w:val="-5"/>
          <w:kern w:val="0"/>
          <w:sz w:val="30"/>
          <w:szCs w:val="30"/>
        </w:rPr>
      </w:pPr>
      <w:bookmarkStart w:id="83" w:name="_Toc8901"/>
      <w:r>
        <w:rPr>
          <w:rFonts w:ascii="宋体" w:hAnsi="宋体" w:cs="宋体"/>
          <w:b/>
          <w:color w:val="auto"/>
          <w:spacing w:val="-5"/>
          <w:kern w:val="0"/>
          <w:sz w:val="30"/>
          <w:szCs w:val="30"/>
        </w:rPr>
        <w:t xml:space="preserve">2 </w:t>
      </w:r>
      <w:r>
        <w:rPr>
          <w:rFonts w:hint="eastAsia" w:ascii="宋体" w:hAnsi="宋体" w:cs="宋体"/>
          <w:b/>
          <w:color w:val="auto"/>
          <w:spacing w:val="-5"/>
          <w:kern w:val="0"/>
          <w:sz w:val="30"/>
          <w:szCs w:val="30"/>
        </w:rPr>
        <w:t>工程量清单汇总表</w:t>
      </w:r>
      <w:bookmarkEnd w:id="83"/>
    </w:p>
    <w:p>
      <w:pPr>
        <w:jc w:val="center"/>
        <w:rPr>
          <w:rFonts w:ascii="宋体" w:hAnsi="宋体" w:cs="宋体"/>
          <w:b/>
          <w:color w:val="auto"/>
          <w:sz w:val="30"/>
          <w:szCs w:val="30"/>
        </w:rPr>
      </w:pPr>
      <w:r>
        <w:rPr>
          <w:rFonts w:hint="eastAsia" w:ascii="宋体" w:hAnsi="宋体" w:cs="宋体"/>
          <w:b/>
          <w:color w:val="auto"/>
          <w:sz w:val="30"/>
          <w:szCs w:val="30"/>
        </w:rPr>
        <w:t>工程量清单汇总表</w:t>
      </w:r>
    </w:p>
    <w:p>
      <w:pPr>
        <w:rPr>
          <w:rFonts w:ascii="宋体" w:hAnsi="宋体" w:cs="宋体"/>
          <w:color w:val="auto"/>
          <w:sz w:val="24"/>
        </w:rPr>
      </w:pPr>
    </w:p>
    <w:p>
      <w:pPr>
        <w:spacing w:line="360" w:lineRule="auto"/>
        <w:ind w:left="1200" w:hanging="1200" w:hangingChars="500"/>
        <w:jc w:val="center"/>
        <w:rPr>
          <w:rFonts w:ascii="宋体" w:hAnsi="宋体" w:cs="宋体"/>
          <w:color w:val="auto"/>
          <w:sz w:val="24"/>
          <w:szCs w:val="24"/>
        </w:rPr>
      </w:pPr>
      <w:r>
        <w:rPr>
          <w:rFonts w:hint="eastAsia" w:ascii="宋体" w:hAnsi="宋体" w:cs="宋体"/>
          <w:color w:val="auto"/>
          <w:sz w:val="24"/>
          <w:szCs w:val="24"/>
        </w:rPr>
        <w:t>东莞市城市轨道交通</w:t>
      </w:r>
      <w:r>
        <w:rPr>
          <w:rFonts w:ascii="宋体" w:hAnsi="宋体" w:cs="宋体"/>
          <w:color w:val="auto"/>
          <w:sz w:val="24"/>
          <w:szCs w:val="24"/>
        </w:rPr>
        <w:t>1号线一期工程【质量专项检测项目】1405标</w:t>
      </w:r>
    </w:p>
    <w:p>
      <w:pPr>
        <w:spacing w:line="360" w:lineRule="auto"/>
        <w:ind w:left="1205" w:hanging="1205" w:hangingChars="500"/>
        <w:jc w:val="center"/>
        <w:rPr>
          <w:rFonts w:ascii="宋体" w:hAnsi="宋体" w:cs="宋体"/>
          <w:color w:val="auto"/>
          <w:sz w:val="24"/>
          <w:szCs w:val="24"/>
        </w:rPr>
      </w:pPr>
      <w:r>
        <w:rPr>
          <w:rFonts w:hint="eastAsia" w:ascii="宋体" w:hAnsi="宋体" w:cs="宋体"/>
          <w:b/>
          <w:color w:val="auto"/>
          <w:sz w:val="24"/>
          <w:szCs w:val="24"/>
        </w:rPr>
        <w:t>投标报价汇总表</w:t>
      </w:r>
    </w:p>
    <w:tbl>
      <w:tblPr>
        <w:tblStyle w:val="28"/>
        <w:tblW w:w="8379" w:type="dxa"/>
        <w:tblInd w:w="93" w:type="dxa"/>
        <w:tblLayout w:type="fixed"/>
        <w:tblCellMar>
          <w:top w:w="0" w:type="dxa"/>
          <w:left w:w="108" w:type="dxa"/>
          <w:bottom w:w="0" w:type="dxa"/>
          <w:right w:w="108" w:type="dxa"/>
        </w:tblCellMar>
      </w:tblPr>
      <w:tblGrid>
        <w:gridCol w:w="920"/>
        <w:gridCol w:w="1505"/>
        <w:gridCol w:w="3827"/>
        <w:gridCol w:w="2127"/>
      </w:tblGrid>
      <w:tr>
        <w:tblPrEx>
          <w:tblLayout w:type="fixed"/>
          <w:tblCellMar>
            <w:top w:w="0" w:type="dxa"/>
            <w:left w:w="108" w:type="dxa"/>
            <w:bottom w:w="0" w:type="dxa"/>
            <w:right w:w="108" w:type="dxa"/>
          </w:tblCellMar>
        </w:tblPrEx>
        <w:trPr>
          <w:trHeight w:val="885" w:hRule="atLeast"/>
        </w:trPr>
        <w:tc>
          <w:tcPr>
            <w:tcW w:w="92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序号</w:t>
            </w:r>
          </w:p>
        </w:tc>
        <w:tc>
          <w:tcPr>
            <w:tcW w:w="1505"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标段</w:t>
            </w:r>
          </w:p>
        </w:tc>
        <w:tc>
          <w:tcPr>
            <w:tcW w:w="382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金额（元）</w:t>
            </w:r>
          </w:p>
        </w:tc>
        <w:tc>
          <w:tcPr>
            <w:tcW w:w="2127" w:type="dxa"/>
            <w:tcBorders>
              <w:top w:val="single" w:color="auto" w:sz="4" w:space="0"/>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备注</w:t>
            </w:r>
          </w:p>
        </w:tc>
      </w:tr>
      <w:tr>
        <w:tblPrEx>
          <w:tblLayout w:type="fixed"/>
          <w:tblCellMar>
            <w:top w:w="0" w:type="dxa"/>
            <w:left w:w="108" w:type="dxa"/>
            <w:bottom w:w="0" w:type="dxa"/>
            <w:right w:w="108" w:type="dxa"/>
          </w:tblCellMar>
        </w:tblPrEx>
        <w:trPr>
          <w:trHeight w:val="1185" w:hRule="atLeast"/>
        </w:trPr>
        <w:tc>
          <w:tcPr>
            <w:tcW w:w="92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ascii="宋体" w:hAnsi="宋体" w:cs="宋体"/>
                <w:bCs/>
                <w:color w:val="auto"/>
                <w:kern w:val="0"/>
                <w:szCs w:val="21"/>
              </w:rPr>
              <w:t>1</w:t>
            </w:r>
          </w:p>
        </w:tc>
        <w:tc>
          <w:tcPr>
            <w:tcW w:w="1505"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auto"/>
                <w:kern w:val="0"/>
                <w:szCs w:val="21"/>
              </w:rPr>
            </w:pPr>
            <w:r>
              <w:rPr>
                <w:rFonts w:ascii="宋体" w:hAnsi="宋体" w:cs="宋体"/>
                <w:bCs/>
                <w:color w:val="auto"/>
                <w:kern w:val="0"/>
                <w:szCs w:val="21"/>
              </w:rPr>
              <w:t>1405标</w:t>
            </w:r>
          </w:p>
        </w:tc>
        <w:tc>
          <w:tcPr>
            <w:tcW w:w="38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　</w:t>
            </w:r>
          </w:p>
        </w:tc>
        <w:tc>
          <w:tcPr>
            <w:tcW w:w="21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　</w:t>
            </w:r>
          </w:p>
        </w:tc>
      </w:tr>
      <w:tr>
        <w:tblPrEx>
          <w:tblLayout w:type="fixed"/>
          <w:tblCellMar>
            <w:top w:w="0" w:type="dxa"/>
            <w:left w:w="108" w:type="dxa"/>
            <w:bottom w:w="0" w:type="dxa"/>
            <w:right w:w="108" w:type="dxa"/>
          </w:tblCellMar>
        </w:tblPrEx>
        <w:trPr>
          <w:trHeight w:val="900" w:hRule="atLeast"/>
        </w:trPr>
        <w:tc>
          <w:tcPr>
            <w:tcW w:w="920" w:type="dxa"/>
            <w:tcBorders>
              <w:top w:val="nil"/>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c>
          <w:tcPr>
            <w:tcW w:w="1505"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c>
          <w:tcPr>
            <w:tcW w:w="38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　</w:t>
            </w:r>
          </w:p>
        </w:tc>
        <w:tc>
          <w:tcPr>
            <w:tcW w:w="2127" w:type="dxa"/>
            <w:tcBorders>
              <w:top w:val="nil"/>
              <w:left w:val="nil"/>
              <w:bottom w:val="single" w:color="auto" w:sz="4" w:space="0"/>
              <w:right w:val="single" w:color="auto" w:sz="4" w:space="0"/>
            </w:tcBorders>
            <w:noWrap/>
            <w:vAlign w:val="center"/>
          </w:tcPr>
          <w:p>
            <w:pPr>
              <w:spacing w:line="360" w:lineRule="auto"/>
              <w:rPr>
                <w:rFonts w:ascii="宋体" w:hAnsi="宋体" w:cs="宋体"/>
                <w:bCs/>
                <w:color w:val="auto"/>
                <w:kern w:val="0"/>
                <w:szCs w:val="21"/>
              </w:rPr>
            </w:pPr>
            <w:r>
              <w:rPr>
                <w:rFonts w:hint="eastAsia" w:ascii="宋体" w:hAnsi="宋体" w:cs="宋体"/>
                <w:bCs/>
                <w:color w:val="auto"/>
                <w:kern w:val="0"/>
                <w:szCs w:val="21"/>
              </w:rPr>
              <w:t>　</w:t>
            </w:r>
          </w:p>
        </w:tc>
      </w:tr>
      <w:tr>
        <w:tblPrEx>
          <w:tblLayout w:type="fixed"/>
          <w:tblCellMar>
            <w:top w:w="0" w:type="dxa"/>
            <w:left w:w="108" w:type="dxa"/>
            <w:bottom w:w="0" w:type="dxa"/>
            <w:right w:w="108" w:type="dxa"/>
          </w:tblCellMar>
        </w:tblPrEx>
        <w:trPr>
          <w:trHeight w:val="900" w:hRule="atLeast"/>
        </w:trPr>
        <w:tc>
          <w:tcPr>
            <w:tcW w:w="24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r>
              <w:rPr>
                <w:rFonts w:hint="eastAsia" w:ascii="宋体" w:hAnsi="宋体" w:cs="宋体"/>
                <w:bCs/>
                <w:color w:val="auto"/>
                <w:kern w:val="0"/>
                <w:szCs w:val="21"/>
              </w:rPr>
              <w:t>合计</w:t>
            </w:r>
          </w:p>
        </w:tc>
        <w:tc>
          <w:tcPr>
            <w:tcW w:w="38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c>
          <w:tcPr>
            <w:tcW w:w="2127" w:type="dxa"/>
            <w:tcBorders>
              <w:top w:val="nil"/>
              <w:left w:val="nil"/>
              <w:bottom w:val="single" w:color="auto" w:sz="4" w:space="0"/>
              <w:right w:val="single" w:color="auto" w:sz="4" w:space="0"/>
            </w:tcBorders>
            <w:noWrap/>
            <w:vAlign w:val="center"/>
          </w:tcPr>
          <w:p>
            <w:pPr>
              <w:spacing w:line="360" w:lineRule="auto"/>
              <w:jc w:val="center"/>
              <w:rPr>
                <w:rFonts w:ascii="宋体" w:hAnsi="宋体" w:cs="宋体"/>
                <w:bCs/>
                <w:color w:val="auto"/>
                <w:kern w:val="0"/>
                <w:szCs w:val="21"/>
              </w:rPr>
            </w:pPr>
          </w:p>
        </w:tc>
      </w:tr>
    </w:tbl>
    <w:p>
      <w:pPr>
        <w:spacing w:line="360" w:lineRule="auto"/>
        <w:jc w:val="center"/>
        <w:rPr>
          <w:rFonts w:ascii="宋体" w:hAnsi="宋体" w:cs="宋体"/>
          <w:color w:val="auto"/>
          <w:szCs w:val="21"/>
        </w:rPr>
      </w:pPr>
    </w:p>
    <w:p>
      <w:pPr>
        <w:spacing w:line="360" w:lineRule="auto"/>
        <w:jc w:val="center"/>
        <w:rPr>
          <w:rFonts w:ascii="宋体" w:hAnsi="宋体" w:cs="宋体"/>
          <w:color w:val="auto"/>
          <w:szCs w:val="21"/>
        </w:rPr>
      </w:pPr>
    </w:p>
    <w:p>
      <w:pPr>
        <w:rPr>
          <w:rFonts w:ascii="宋体" w:hAnsi="宋体" w:cs="宋体"/>
          <w:color w:val="auto"/>
        </w:rPr>
      </w:pPr>
    </w:p>
    <w:p>
      <w:pPr>
        <w:spacing w:line="360" w:lineRule="auto"/>
        <w:ind w:firstLine="2444" w:firstLineChars="1164"/>
        <w:rPr>
          <w:rFonts w:ascii="宋体" w:hAnsi="宋体" w:cs="宋体"/>
          <w:color w:val="auto"/>
          <w:sz w:val="28"/>
          <w:szCs w:val="28"/>
        </w:rPr>
      </w:pPr>
      <w:r>
        <w:rPr>
          <w:rFonts w:ascii="宋体" w:hAnsi="宋体" w:cs="宋体"/>
          <w:color w:val="auto"/>
        </w:rPr>
        <w:t xml:space="preserve">                                         </w:t>
      </w:r>
    </w:p>
    <w:p>
      <w:pPr>
        <w:spacing w:line="360" w:lineRule="auto"/>
        <w:ind w:firstLine="2444" w:firstLineChars="1164"/>
        <w:rPr>
          <w:rFonts w:ascii="宋体" w:hAnsi="宋体" w:cs="宋体"/>
          <w:color w:val="auto"/>
          <w:szCs w:val="21"/>
        </w:rPr>
      </w:pPr>
      <w:r>
        <w:rPr>
          <w:rFonts w:hint="eastAsia" w:ascii="宋体" w:hAnsi="宋体" w:cs="宋体"/>
          <w:color w:val="auto"/>
          <w:szCs w:val="21"/>
        </w:rPr>
        <w:t>投标单位：</w:t>
      </w:r>
      <w:r>
        <w:rPr>
          <w:rFonts w:ascii="宋体" w:hAnsi="宋体" w:cs="宋体"/>
          <w:color w:val="auto"/>
          <w:szCs w:val="21"/>
          <w:u w:val="single"/>
        </w:rPr>
        <w:t xml:space="preserve">    （盖公章）   </w:t>
      </w:r>
    </w:p>
    <w:p>
      <w:pPr>
        <w:spacing w:line="360" w:lineRule="auto"/>
        <w:ind w:firstLine="2444" w:firstLineChars="1164"/>
        <w:rPr>
          <w:rFonts w:ascii="宋体" w:hAnsi="宋体" w:cs="宋体"/>
          <w:color w:val="auto"/>
          <w:szCs w:val="21"/>
        </w:rPr>
      </w:pPr>
      <w:r>
        <w:rPr>
          <w:rFonts w:hint="eastAsia" w:ascii="宋体" w:hAnsi="宋体" w:cs="宋体"/>
          <w:color w:val="auto"/>
          <w:szCs w:val="21"/>
        </w:rPr>
        <w:t>法定代表人：</w:t>
      </w:r>
      <w:r>
        <w:rPr>
          <w:rFonts w:ascii="宋体" w:hAnsi="宋体" w:cs="宋体"/>
          <w:color w:val="auto"/>
          <w:szCs w:val="21"/>
          <w:u w:val="single"/>
        </w:rPr>
        <w:t xml:space="preserve">    （签字或签章）  </w:t>
      </w:r>
    </w:p>
    <w:p>
      <w:pPr>
        <w:spacing w:line="360" w:lineRule="auto"/>
        <w:ind w:firstLine="2444" w:firstLineChars="1164"/>
        <w:rPr>
          <w:rFonts w:ascii="宋体" w:hAnsi="宋体" w:cs="宋体"/>
          <w:color w:val="auto"/>
          <w:szCs w:val="21"/>
        </w:rPr>
      </w:pPr>
      <w:r>
        <w:rPr>
          <w:rFonts w:hint="eastAsia" w:ascii="宋体" w:hAnsi="宋体" w:cs="宋体"/>
          <w:color w:val="auto"/>
          <w:szCs w:val="21"/>
        </w:rPr>
        <w:t>被授权人（代理人）：</w:t>
      </w:r>
      <w:r>
        <w:rPr>
          <w:rFonts w:ascii="宋体" w:hAnsi="宋体" w:cs="宋体"/>
          <w:color w:val="auto"/>
          <w:szCs w:val="21"/>
          <w:u w:val="single"/>
        </w:rPr>
        <w:t xml:space="preserve"> （签字或签章）  </w:t>
      </w:r>
    </w:p>
    <w:p>
      <w:pPr>
        <w:ind w:firstLine="2415" w:firstLineChars="1150"/>
        <w:rPr>
          <w:rFonts w:ascii="宋体" w:hAnsi="宋体" w:cs="宋体"/>
          <w:color w:val="auto"/>
        </w:rPr>
      </w:pPr>
      <w:r>
        <w:rPr>
          <w:rFonts w:hint="eastAsia" w:ascii="宋体" w:hAnsi="宋体" w:cs="宋体"/>
          <w:color w:val="auto"/>
          <w:szCs w:val="21"/>
        </w:rPr>
        <w:t>日期：</w:t>
      </w: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overflowPunct w:val="0"/>
        <w:autoSpaceDE w:val="0"/>
        <w:autoSpaceDN w:val="0"/>
        <w:adjustRightInd w:val="0"/>
        <w:spacing w:line="360" w:lineRule="exact"/>
        <w:textAlignment w:val="baseline"/>
        <w:rPr>
          <w:rFonts w:ascii="宋体" w:hAnsi="宋体" w:cs="宋体"/>
          <w:b/>
          <w:color w:val="auto"/>
          <w:spacing w:val="-5"/>
          <w:kern w:val="0"/>
          <w:sz w:val="30"/>
          <w:szCs w:val="30"/>
        </w:rPr>
      </w:pPr>
    </w:p>
    <w:p>
      <w:pPr>
        <w:jc w:val="center"/>
        <w:rPr>
          <w:rFonts w:ascii="宋体" w:hAnsi="宋体" w:cs="宋体"/>
          <w:b/>
          <w:color w:val="auto"/>
          <w:sz w:val="30"/>
          <w:szCs w:val="30"/>
          <w:u w:val="single"/>
        </w:rPr>
      </w:pPr>
      <w:r>
        <w:rPr>
          <w:rFonts w:hint="eastAsia" w:ascii="宋体" w:hAnsi="宋体" w:cs="宋体"/>
          <w:b/>
          <w:color w:val="auto"/>
          <w:sz w:val="30"/>
          <w:szCs w:val="30"/>
          <w:u w:val="single"/>
        </w:rPr>
        <w:t>工程量清单</w:t>
      </w:r>
    </w:p>
    <w:p>
      <w:pPr>
        <w:rPr>
          <w:rFonts w:ascii="宋体" w:hAnsi="宋体" w:cs="宋体"/>
          <w:color w:val="auto"/>
          <w:sz w:val="24"/>
        </w:rPr>
      </w:pPr>
    </w:p>
    <w:p>
      <w:pPr>
        <w:ind w:left="1050" w:hanging="1050" w:hangingChars="500"/>
        <w:rPr>
          <w:rFonts w:ascii="宋体" w:hAnsi="宋体" w:cs="宋体"/>
          <w:color w:val="auto"/>
          <w:szCs w:val="21"/>
        </w:rPr>
      </w:pPr>
      <w:r>
        <w:rPr>
          <w:rFonts w:hint="eastAsia" w:ascii="宋体" w:hAnsi="宋体" w:cs="宋体"/>
          <w:color w:val="auto"/>
          <w:szCs w:val="21"/>
        </w:rPr>
        <w:t>合同段：东莞市城市轨道交通</w:t>
      </w:r>
      <w:r>
        <w:rPr>
          <w:rFonts w:ascii="宋体" w:hAnsi="宋体" w:cs="宋体"/>
          <w:color w:val="auto"/>
          <w:szCs w:val="21"/>
        </w:rPr>
        <w:t>1号线一期工程【质量专项检测项目】1405标</w:t>
      </w:r>
    </w:p>
    <w:p>
      <w:pPr>
        <w:ind w:left="1050" w:hanging="1050" w:hangingChars="500"/>
        <w:rPr>
          <w:rFonts w:ascii="宋体" w:hAnsi="宋体" w:cs="宋体"/>
          <w:color w:val="auto"/>
          <w:szCs w:val="21"/>
        </w:rPr>
      </w:pPr>
    </w:p>
    <w:tbl>
      <w:tblPr>
        <w:tblStyle w:val="28"/>
        <w:tblW w:w="9369" w:type="dxa"/>
        <w:jc w:val="center"/>
        <w:tblInd w:w="0" w:type="dxa"/>
        <w:tblLayout w:type="fixed"/>
        <w:tblCellMar>
          <w:top w:w="0" w:type="dxa"/>
          <w:left w:w="108" w:type="dxa"/>
          <w:bottom w:w="0" w:type="dxa"/>
          <w:right w:w="108" w:type="dxa"/>
        </w:tblCellMar>
      </w:tblPr>
      <w:tblGrid>
        <w:gridCol w:w="809"/>
        <w:gridCol w:w="2986"/>
        <w:gridCol w:w="751"/>
        <w:gridCol w:w="1027"/>
        <w:gridCol w:w="1080"/>
        <w:gridCol w:w="1216"/>
        <w:gridCol w:w="1500"/>
      </w:tblGrid>
      <w:tr>
        <w:tblPrEx>
          <w:tblLayout w:type="fixed"/>
          <w:tblCellMar>
            <w:top w:w="0" w:type="dxa"/>
            <w:left w:w="108" w:type="dxa"/>
            <w:bottom w:w="0" w:type="dxa"/>
            <w:right w:w="108" w:type="dxa"/>
          </w:tblCellMar>
        </w:tblPrEx>
        <w:trPr>
          <w:tblHeader/>
          <w:jc w:val="center"/>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序号</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检测项目</w:t>
            </w:r>
          </w:p>
        </w:tc>
        <w:tc>
          <w:tcPr>
            <w:tcW w:w="75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单位</w:t>
            </w: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检测数量（暂估）</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s="宋体"/>
                <w:color w:val="auto"/>
                <w:sz w:val="20"/>
                <w:szCs w:val="20"/>
              </w:rPr>
              <w:t>投标报价</w:t>
            </w:r>
          </w:p>
          <w:p>
            <w:pPr>
              <w:jc w:val="center"/>
              <w:rPr>
                <w:rFonts w:ascii="宋体" w:hAnsi="宋体" w:cs="宋体"/>
                <w:color w:val="auto"/>
                <w:sz w:val="20"/>
                <w:szCs w:val="20"/>
              </w:rPr>
            </w:pPr>
            <w:r>
              <w:rPr>
                <w:rFonts w:hint="eastAsia" w:ascii="宋体" w:hAnsi="宋体" w:cs="宋体"/>
                <w:color w:val="auto"/>
                <w:sz w:val="20"/>
                <w:szCs w:val="20"/>
              </w:rPr>
              <w:t>单价（元）</w:t>
            </w:r>
          </w:p>
        </w:tc>
        <w:tc>
          <w:tcPr>
            <w:tcW w:w="1216" w:type="dxa"/>
            <w:tcBorders>
              <w:top w:val="single" w:color="auto" w:sz="4" w:space="0"/>
              <w:left w:val="nil"/>
              <w:bottom w:val="single" w:color="auto" w:sz="4" w:space="0"/>
              <w:right w:val="single" w:color="auto" w:sz="4" w:space="0"/>
            </w:tcBorders>
            <w:vAlign w:val="center"/>
          </w:tcPr>
          <w:p>
            <w:pPr>
              <w:jc w:val="center"/>
              <w:rPr>
                <w:rFonts w:ascii="宋体" w:hAnsi="宋体"/>
                <w:color w:val="auto"/>
                <w:sz w:val="20"/>
                <w:szCs w:val="20"/>
              </w:rPr>
            </w:pPr>
            <w:r>
              <w:rPr>
                <w:rFonts w:hint="eastAsia" w:ascii="宋体" w:hAnsi="宋体"/>
                <w:color w:val="auto"/>
                <w:sz w:val="20"/>
                <w:szCs w:val="20"/>
              </w:rPr>
              <w:t>投标报价</w:t>
            </w:r>
          </w:p>
          <w:p>
            <w:pPr>
              <w:jc w:val="center"/>
              <w:rPr>
                <w:rFonts w:ascii="宋体" w:hAnsi="宋体" w:cs="宋体"/>
                <w:color w:val="auto"/>
                <w:sz w:val="20"/>
                <w:szCs w:val="20"/>
              </w:rPr>
            </w:pPr>
            <w:r>
              <w:rPr>
                <w:rFonts w:hint="eastAsia" w:ascii="宋体" w:hAnsi="宋体"/>
                <w:color w:val="auto"/>
                <w:sz w:val="20"/>
                <w:szCs w:val="20"/>
              </w:rPr>
              <w:t>合价（元）</w:t>
            </w:r>
          </w:p>
        </w:tc>
        <w:tc>
          <w:tcPr>
            <w:tcW w:w="150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备注</w:t>
            </w:r>
          </w:p>
        </w:tc>
      </w:tr>
      <w:tr>
        <w:tblPrEx>
          <w:tblLayout w:type="fixed"/>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一</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地基基础工程检测</w:t>
            </w:r>
          </w:p>
        </w:tc>
        <w:tc>
          <w:tcPr>
            <w:tcW w:w="75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21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500"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天然岩石地基（钻芯）（孔径：</w:t>
            </w:r>
            <w:r>
              <w:rPr>
                <w:rFonts w:ascii="宋体" w:hAnsi="宋体"/>
                <w:color w:val="auto"/>
                <w:sz w:val="20"/>
                <w:szCs w:val="20"/>
              </w:rPr>
              <w:t>101mm)</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330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(Q≤500KN）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178</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Q≤1000KN）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(Q≤500KN）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(Q≤1000KN）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轻型动力触探</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389</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ascii="宋体" w:hAnsi="宋体"/>
                <w:color w:val="auto"/>
                <w:sz w:val="20"/>
                <w:szCs w:val="20"/>
              </w:rPr>
              <w:t>K30平板荷载</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vAlign w:val="center"/>
          </w:tcPr>
          <w:p>
            <w:pPr>
              <w:jc w:val="center"/>
              <w:rPr>
                <w:rFonts w:ascii="宋体" w:hAnsi="宋体"/>
                <w:color w:val="auto"/>
                <w:sz w:val="20"/>
                <w:szCs w:val="20"/>
              </w:rPr>
            </w:pPr>
            <w:r>
              <w:rPr>
                <w:rFonts w:ascii="宋体" w:hAnsi="宋体"/>
                <w:color w:val="auto"/>
                <w:sz w:val="20"/>
                <w:szCs w:val="20"/>
              </w:rPr>
              <w:t>110</w:t>
            </w:r>
          </w:p>
        </w:tc>
        <w:tc>
          <w:tcPr>
            <w:tcW w:w="1080" w:type="dxa"/>
            <w:tcBorders>
              <w:top w:val="nil"/>
              <w:left w:val="nil"/>
              <w:bottom w:val="single" w:color="auto" w:sz="4" w:space="0"/>
              <w:right w:val="single" w:color="auto" w:sz="4" w:space="0"/>
            </w:tcBorders>
            <w:vAlign w:val="center"/>
          </w:tcPr>
          <w:p>
            <w:pPr>
              <w:jc w:val="center"/>
              <w:rPr>
                <w:rFonts w:ascii="宋体" w:hAnsi="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水泥搅拌桩抽芯</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2985</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旋喷桩抽芯</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2229</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锚杆（索）抗拔</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土钉墙厚度钻芯</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22</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地下连续墙完整性检测（超声波）</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40579</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钻孔桩含抗拔声波透射法检测</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186395</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灌注桩完整性检测（低应变）</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607</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管桩完整性检测（低应变）</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1857</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高应变检测（≤</w:t>
            </w:r>
            <w:r>
              <w:rPr>
                <w:rFonts w:ascii="宋体" w:hAnsi="宋体"/>
                <w:color w:val="auto"/>
                <w:sz w:val="20"/>
                <w:szCs w:val="20"/>
              </w:rPr>
              <w:t>1000t）</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1000KN＜F≤3000KN）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5000KN＜F≤10000KN）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10000KN＜F≤15000KN）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5000KN＜F≤10000KN）</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8</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单桩或地下连续墙钻芯检测混凝土强度（孔径：</w:t>
            </w:r>
            <w:r>
              <w:rPr>
                <w:rFonts w:ascii="宋体" w:hAnsi="宋体"/>
                <w:color w:val="auto"/>
                <w:sz w:val="20"/>
                <w:szCs w:val="20"/>
              </w:rPr>
              <w:t>101mm)</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169</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槽壁垂直度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孔</w:t>
            </w:r>
            <w:r>
              <w:rPr>
                <w:rFonts w:ascii="宋体" w:hAnsi="宋体"/>
                <w:color w:val="auto"/>
                <w:sz w:val="20"/>
                <w:szCs w:val="20"/>
              </w:rPr>
              <w:t>/槽</w:t>
            </w:r>
          </w:p>
        </w:tc>
        <w:tc>
          <w:tcPr>
            <w:tcW w:w="1027"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44</w:t>
            </w:r>
          </w:p>
        </w:tc>
        <w:tc>
          <w:tcPr>
            <w:tcW w:w="1080"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土工试验（永久道路恢复）</w:t>
            </w:r>
          </w:p>
        </w:tc>
        <w:tc>
          <w:tcPr>
            <w:tcW w:w="75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027"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080"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压实度（灌砂法）</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2186</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弯沉（自动弯沉仪）</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2732</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沥青厚度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854</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混凝土厚度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55</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混凝土强度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55</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平整度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255</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抗滑性能（摩擦系数）</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118</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1.30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抗滑性能（构造深度）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939</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二</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主体结构</w:t>
            </w:r>
          </w:p>
        </w:tc>
        <w:tc>
          <w:tcPr>
            <w:tcW w:w="75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16"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混凝土构件钢筋配置</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488</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砼保护层厚度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493</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楼板厚度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332</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混凝土强度回弹法检测（板、梁、墙）</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7227</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吊钩抗拔检测</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108</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植筋抗拔检测</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57</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膨胀螺栓抗拔力检测</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531</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基坑回填压实度</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2929</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基坑回填弯沉（自动弯沉仪）</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306</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饰面砖粘结强度检测</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组</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33</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混凝土强度回弹法检测（桥墩、梁片、管片、二衬）</w:t>
            </w:r>
          </w:p>
        </w:tc>
        <w:tc>
          <w:tcPr>
            <w:tcW w:w="75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410</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1216"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b/>
                <w:color w:val="auto"/>
                <w:sz w:val="20"/>
                <w:szCs w:val="20"/>
              </w:rPr>
              <w:t>合计</w:t>
            </w:r>
          </w:p>
        </w:tc>
        <w:tc>
          <w:tcPr>
            <w:tcW w:w="2986" w:type="dxa"/>
            <w:tcBorders>
              <w:top w:val="nil"/>
              <w:left w:val="nil"/>
              <w:bottom w:val="single" w:color="auto" w:sz="4" w:space="0"/>
              <w:right w:val="single" w:color="auto" w:sz="4" w:space="0"/>
            </w:tcBorders>
            <w:vAlign w:val="center"/>
          </w:tcPr>
          <w:p>
            <w:pPr>
              <w:rPr>
                <w:rFonts w:ascii="宋体" w:hAnsi="宋体" w:cs="宋体"/>
                <w:b/>
                <w:color w:val="auto"/>
                <w:sz w:val="20"/>
                <w:szCs w:val="20"/>
              </w:rPr>
            </w:pPr>
            <w:r>
              <w:rPr>
                <w:rFonts w:hint="eastAsia" w:ascii="宋体" w:hAnsi="宋体"/>
                <w:b/>
                <w:color w:val="auto"/>
                <w:sz w:val="20"/>
                <w:szCs w:val="20"/>
              </w:rPr>
              <w:t>　</w:t>
            </w:r>
          </w:p>
        </w:tc>
        <w:tc>
          <w:tcPr>
            <w:tcW w:w="751" w:type="dxa"/>
            <w:tcBorders>
              <w:top w:val="nil"/>
              <w:left w:val="nil"/>
              <w:bottom w:val="single" w:color="auto" w:sz="4" w:space="0"/>
              <w:right w:val="single" w:color="auto" w:sz="4" w:space="0"/>
            </w:tcBorders>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1027" w:type="dxa"/>
            <w:tcBorders>
              <w:top w:val="nil"/>
              <w:left w:val="nil"/>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b/>
                <w:color w:val="auto"/>
                <w:sz w:val="20"/>
                <w:szCs w:val="20"/>
              </w:rPr>
              <w:t>　</w:t>
            </w:r>
          </w:p>
        </w:tc>
        <w:tc>
          <w:tcPr>
            <w:tcW w:w="1216" w:type="dxa"/>
            <w:tcBorders>
              <w:top w:val="nil"/>
              <w:left w:val="nil"/>
              <w:bottom w:val="single" w:color="auto" w:sz="4" w:space="0"/>
              <w:right w:val="single" w:color="auto" w:sz="4" w:space="0"/>
            </w:tcBorders>
            <w:noWrap/>
            <w:vAlign w:val="center"/>
          </w:tcPr>
          <w:p>
            <w:pPr>
              <w:jc w:val="center"/>
              <w:rPr>
                <w:rFonts w:ascii="宋体" w:hAnsi="宋体" w:cs="宋体"/>
                <w:b/>
                <w:color w:val="auto"/>
                <w:sz w:val="20"/>
                <w:szCs w:val="20"/>
              </w:rPr>
            </w:pPr>
          </w:p>
        </w:tc>
        <w:tc>
          <w:tcPr>
            <w:tcW w:w="1500" w:type="dxa"/>
            <w:tcBorders>
              <w:top w:val="nil"/>
              <w:left w:val="nil"/>
              <w:bottom w:val="single" w:color="auto" w:sz="4" w:space="0"/>
              <w:right w:val="single" w:color="auto" w:sz="4" w:space="0"/>
            </w:tcBorders>
            <w:vAlign w:val="center"/>
          </w:tcPr>
          <w:p>
            <w:pPr>
              <w:rPr>
                <w:rFonts w:ascii="宋体" w:hAnsi="宋体" w:cs="宋体"/>
                <w:b/>
                <w:color w:val="auto"/>
                <w:sz w:val="20"/>
                <w:szCs w:val="20"/>
              </w:rPr>
            </w:pPr>
            <w:r>
              <w:rPr>
                <w:rFonts w:hint="eastAsia" w:ascii="宋体" w:hAnsi="宋体"/>
                <w:b/>
                <w:color w:val="auto"/>
                <w:sz w:val="20"/>
                <w:szCs w:val="20"/>
              </w:rPr>
              <w:t>　</w:t>
            </w:r>
          </w:p>
        </w:tc>
      </w:tr>
    </w:tbl>
    <w:p>
      <w:pPr>
        <w:ind w:left="1050" w:hanging="1050" w:hangingChars="500"/>
        <w:rPr>
          <w:rFonts w:ascii="宋体" w:hAnsi="宋体" w:cs="宋体"/>
          <w:color w:val="auto"/>
          <w:szCs w:val="21"/>
        </w:rPr>
      </w:pPr>
    </w:p>
    <w:p>
      <w:pPr>
        <w:ind w:firstLine="424"/>
        <w:rPr>
          <w:rFonts w:ascii="宋体" w:hAnsi="宋体" w:cs="宋体"/>
          <w:b/>
          <w:color w:val="auto"/>
          <w:spacing w:val="-5"/>
          <w:kern w:val="0"/>
          <w:szCs w:val="21"/>
        </w:rPr>
      </w:pPr>
    </w:p>
    <w:p>
      <w:pPr>
        <w:ind w:firstLine="424"/>
        <w:rPr>
          <w:rFonts w:ascii="宋体" w:hAnsi="宋体" w:cs="宋体"/>
          <w:b/>
          <w:color w:val="auto"/>
          <w:spacing w:val="-5"/>
          <w:kern w:val="0"/>
          <w:szCs w:val="21"/>
        </w:rPr>
      </w:pPr>
    </w:p>
    <w:p>
      <w:pPr>
        <w:ind w:firstLine="424"/>
        <w:rPr>
          <w:rFonts w:ascii="宋体" w:hAnsi="宋体" w:cs="宋体"/>
          <w:b/>
          <w:color w:val="auto"/>
          <w:spacing w:val="-5"/>
          <w:kern w:val="0"/>
          <w:szCs w:val="21"/>
        </w:rPr>
      </w:pPr>
    </w:p>
    <w:p>
      <w:pPr>
        <w:ind w:firstLine="424"/>
        <w:rPr>
          <w:rFonts w:ascii="宋体" w:hAnsi="宋体" w:cs="宋体"/>
          <w:b/>
          <w:color w:val="auto"/>
          <w:spacing w:val="-5"/>
          <w:kern w:val="0"/>
          <w:szCs w:val="21"/>
        </w:rPr>
      </w:pPr>
    </w:p>
    <w:p>
      <w:pPr>
        <w:ind w:firstLine="424"/>
        <w:rPr>
          <w:rFonts w:ascii="宋体" w:hAnsi="宋体" w:cs="宋体"/>
          <w:b/>
          <w:color w:val="auto"/>
          <w:spacing w:val="-5"/>
          <w:kern w:val="0"/>
          <w:szCs w:val="21"/>
        </w:rPr>
      </w:pPr>
    </w:p>
    <w:p>
      <w:pPr>
        <w:spacing w:line="360" w:lineRule="auto"/>
        <w:jc w:val="left"/>
        <w:rPr>
          <w:rFonts w:ascii="宋体" w:hAnsi="宋体" w:cs="宋体"/>
          <w:b/>
          <w:color w:val="auto"/>
          <w:spacing w:val="-5"/>
          <w:kern w:val="0"/>
          <w:szCs w:val="21"/>
        </w:rPr>
      </w:pPr>
      <w:r>
        <w:rPr>
          <w:rFonts w:hint="eastAsia" w:ascii="宋体" w:hAnsi="宋体" w:cs="宋体"/>
          <w:b/>
          <w:color w:val="auto"/>
          <w:spacing w:val="-5"/>
          <w:kern w:val="0"/>
          <w:szCs w:val="21"/>
        </w:rPr>
        <w:t>注：以下为招标人计算招标控制价的的工程量清单（供投标人报价参考）。</w:t>
      </w:r>
    </w:p>
    <w:tbl>
      <w:tblPr>
        <w:tblStyle w:val="28"/>
        <w:tblW w:w="9136" w:type="dxa"/>
        <w:jc w:val="center"/>
        <w:tblInd w:w="0" w:type="dxa"/>
        <w:tblLayout w:type="fixed"/>
        <w:tblCellMar>
          <w:top w:w="0" w:type="dxa"/>
          <w:left w:w="108" w:type="dxa"/>
          <w:bottom w:w="0" w:type="dxa"/>
          <w:right w:w="108" w:type="dxa"/>
        </w:tblCellMar>
      </w:tblPr>
      <w:tblGrid>
        <w:gridCol w:w="809"/>
        <w:gridCol w:w="2986"/>
        <w:gridCol w:w="821"/>
        <w:gridCol w:w="1259"/>
        <w:gridCol w:w="778"/>
        <w:gridCol w:w="2483"/>
      </w:tblGrid>
      <w:tr>
        <w:tblPrEx>
          <w:tblLayout w:type="fixed"/>
          <w:tblCellMar>
            <w:top w:w="0" w:type="dxa"/>
            <w:left w:w="108" w:type="dxa"/>
            <w:bottom w:w="0" w:type="dxa"/>
            <w:right w:w="108" w:type="dxa"/>
          </w:tblCellMar>
        </w:tblPrEx>
        <w:trPr>
          <w:tblHeader/>
          <w:jc w:val="center"/>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序号</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检测项目</w:t>
            </w:r>
          </w:p>
        </w:tc>
        <w:tc>
          <w:tcPr>
            <w:tcW w:w="82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单位</w:t>
            </w:r>
          </w:p>
        </w:tc>
        <w:tc>
          <w:tcPr>
            <w:tcW w:w="125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检测数量（暂估）</w:t>
            </w:r>
          </w:p>
        </w:tc>
        <w:tc>
          <w:tcPr>
            <w:tcW w:w="77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单价</w:t>
            </w:r>
          </w:p>
        </w:tc>
        <w:tc>
          <w:tcPr>
            <w:tcW w:w="248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备注</w:t>
            </w:r>
          </w:p>
        </w:tc>
      </w:tr>
      <w:tr>
        <w:tblPrEx>
          <w:tblLayout w:type="fixed"/>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一</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地基基础工程检测</w:t>
            </w:r>
          </w:p>
        </w:tc>
        <w:tc>
          <w:tcPr>
            <w:tcW w:w="82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25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w:t>
            </w:r>
          </w:p>
        </w:tc>
        <w:tc>
          <w:tcPr>
            <w:tcW w:w="77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483"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地基基础工程检测</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天然岩石地基（钻芯）（孔径：</w:t>
            </w:r>
            <w:r>
              <w:rPr>
                <w:rFonts w:ascii="宋体" w:hAnsi="宋体"/>
                <w:color w:val="auto"/>
                <w:sz w:val="20"/>
                <w:szCs w:val="20"/>
              </w:rPr>
              <w:t>101mm)</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330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320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2004）428“附件48-2”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(Q≤500KN）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178</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6246.4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天然地基平板荷载（</w:t>
            </w:r>
            <w:r>
              <w:rPr>
                <w:rFonts w:ascii="宋体" w:hAnsi="宋体"/>
                <w:color w:val="auto"/>
                <w:sz w:val="20"/>
                <w:szCs w:val="20"/>
              </w:rPr>
              <w:t>Q≤1000KN）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9760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(Q≤500KN）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6246.4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复合地基单桩荷载</w:t>
            </w:r>
            <w:r>
              <w:rPr>
                <w:rFonts w:ascii="宋体" w:hAnsi="宋体"/>
                <w:color w:val="auto"/>
                <w:sz w:val="20"/>
                <w:szCs w:val="20"/>
              </w:rPr>
              <w:t>(Q≤1000KN）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9760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2002“表4-2-1”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轻型动力触探</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389</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72</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2002“表3-3-4”二类</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ascii="宋体" w:hAnsi="宋体"/>
                <w:color w:val="auto"/>
                <w:sz w:val="20"/>
                <w:szCs w:val="20"/>
              </w:rPr>
              <w:t>K30平板荷载</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vAlign w:val="center"/>
          </w:tcPr>
          <w:p>
            <w:pPr>
              <w:jc w:val="center"/>
              <w:rPr>
                <w:rFonts w:ascii="宋体" w:hAnsi="宋体"/>
                <w:color w:val="auto"/>
                <w:sz w:val="20"/>
                <w:szCs w:val="20"/>
              </w:rPr>
            </w:pPr>
            <w:r>
              <w:rPr>
                <w:rFonts w:ascii="宋体" w:hAnsi="宋体"/>
                <w:color w:val="auto"/>
                <w:sz w:val="20"/>
                <w:szCs w:val="20"/>
              </w:rPr>
              <w:t>110</w:t>
            </w:r>
          </w:p>
        </w:tc>
        <w:tc>
          <w:tcPr>
            <w:tcW w:w="778" w:type="dxa"/>
            <w:tcBorders>
              <w:top w:val="nil"/>
              <w:left w:val="nil"/>
              <w:bottom w:val="single" w:color="auto" w:sz="4" w:space="0"/>
              <w:right w:val="single" w:color="auto" w:sz="4" w:space="0"/>
            </w:tcBorders>
            <w:vAlign w:val="center"/>
          </w:tcPr>
          <w:p>
            <w:pPr>
              <w:jc w:val="center"/>
              <w:rPr>
                <w:rFonts w:ascii="宋体" w:hAnsi="宋体"/>
                <w:color w:val="auto"/>
                <w:sz w:val="20"/>
                <w:szCs w:val="20"/>
              </w:rPr>
            </w:pPr>
            <w:r>
              <w:rPr>
                <w:rFonts w:ascii="宋体" w:hAnsi="宋体"/>
                <w:color w:val="auto"/>
                <w:sz w:val="20"/>
                <w:szCs w:val="20"/>
              </w:rPr>
              <w:t>2872</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工程勘察收费标准</w:t>
            </w:r>
            <w:r>
              <w:rPr>
                <w:rFonts w:ascii="宋体" w:hAnsi="宋体"/>
                <w:color w:val="auto"/>
                <w:sz w:val="20"/>
                <w:szCs w:val="20"/>
              </w:rPr>
              <w:t>2002“表3-3-4”</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水泥搅拌桩抽芯</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2985</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224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2004）428“附件50-1”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旋喷桩抽芯</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米</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2229</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224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2004）428“附件50-1”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锚杆（索）抗拔</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3200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2004）428“附件54-1”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土钉墙厚度钻芯</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22</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2004）428“附件43-1”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地下连续墙完整性检测（超声波）</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40579</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2004）428“附件66-1”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钻孔桩含抗拔声波透射法检测</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管·米</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186395</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2004）428“附件66-1”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灌注桩完整性检测（低应变）</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607</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管桩完整性检测（低应变）</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1857</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240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高应变检测（≤</w:t>
            </w:r>
            <w:r>
              <w:rPr>
                <w:rFonts w:ascii="宋体" w:hAnsi="宋体"/>
                <w:color w:val="auto"/>
                <w:sz w:val="20"/>
                <w:szCs w:val="20"/>
              </w:rPr>
              <w:t>1000t）</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10400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2012）1490号“附件2-3.1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1000KN＜F≤3000KN）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12840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单桩竖向抗压静载检测（</w:t>
            </w:r>
            <w:r>
              <w:rPr>
                <w:rFonts w:ascii="宋体" w:hAnsi="宋体"/>
                <w:color w:val="auto"/>
                <w:sz w:val="20"/>
                <w:szCs w:val="20"/>
              </w:rPr>
              <w:t>5000KN＜F≤10000KN）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32360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1.19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10000KN＜F≤15000KN）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47000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抗拔桩桩锚法检测（</w:t>
            </w:r>
            <w:r>
              <w:rPr>
                <w:rFonts w:ascii="宋体" w:hAnsi="宋体"/>
                <w:color w:val="auto"/>
                <w:sz w:val="20"/>
                <w:szCs w:val="20"/>
              </w:rPr>
              <w:t>5000KN＜F≤10000KN）</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8</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32360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2015）8“附件1.1.1”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单桩或地下连续墙钻芯检测混凝土强度（孔径：</w:t>
            </w:r>
            <w:r>
              <w:rPr>
                <w:rFonts w:ascii="宋体" w:hAnsi="宋体"/>
                <w:color w:val="auto"/>
                <w:sz w:val="20"/>
                <w:szCs w:val="20"/>
              </w:rPr>
              <w:t>101mm)</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孔·米</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169</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320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2004）428“附件48-2”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1.22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槽壁垂直度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孔</w:t>
            </w:r>
            <w:r>
              <w:rPr>
                <w:rFonts w:ascii="宋体" w:hAnsi="宋体"/>
                <w:color w:val="auto"/>
                <w:sz w:val="20"/>
                <w:szCs w:val="20"/>
              </w:rPr>
              <w:t>/槽</w:t>
            </w:r>
          </w:p>
        </w:tc>
        <w:tc>
          <w:tcPr>
            <w:tcW w:w="1259"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44</w:t>
            </w:r>
          </w:p>
        </w:tc>
        <w:tc>
          <w:tcPr>
            <w:tcW w:w="778"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5200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2015）8“附件1.22”</w:t>
            </w:r>
          </w:p>
        </w:tc>
      </w:tr>
      <w:tr>
        <w:tblPrEx>
          <w:tblLayout w:type="fixed"/>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土工试验（永久道路恢复）</w:t>
            </w:r>
          </w:p>
        </w:tc>
        <w:tc>
          <w:tcPr>
            <w:tcW w:w="82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p>
        </w:tc>
        <w:tc>
          <w:tcPr>
            <w:tcW w:w="1259"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778"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sz w:val="20"/>
                <w:szCs w:val="20"/>
              </w:rPr>
            </w:pPr>
          </w:p>
        </w:tc>
        <w:tc>
          <w:tcPr>
            <w:tcW w:w="2483"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压实度（灌砂法）</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2186</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64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2012）1490“附件一路基1-2”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弯沉（自动弯沉仪）</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2732</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8</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2012）1490“附件一路基1-3”</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沥青厚度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854</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320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混凝土厚度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55</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混凝土强度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55</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2012）1490“附件一路面3-6”</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平整度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255</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1.29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抗滑性能（摩擦系数）</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118</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36</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2012）1490“附件一路面3-5”</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1.30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抗滑性能（构造深度）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939</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24</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2012）1490“附件一路面3-5”</w:t>
            </w:r>
          </w:p>
        </w:tc>
      </w:tr>
      <w:tr>
        <w:tblPrEx>
          <w:tblLayout w:type="fixed"/>
          <w:tblCellMar>
            <w:top w:w="0" w:type="dxa"/>
            <w:left w:w="108" w:type="dxa"/>
            <w:bottom w:w="0" w:type="dxa"/>
            <w:right w:w="108" w:type="dxa"/>
          </w:tblCellMar>
        </w:tblPrEx>
        <w:trPr>
          <w:jc w:val="center"/>
        </w:trPr>
        <w:tc>
          <w:tcPr>
            <w:tcW w:w="8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二</w:t>
            </w:r>
          </w:p>
        </w:tc>
        <w:tc>
          <w:tcPr>
            <w:tcW w:w="2986"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主体结构</w:t>
            </w:r>
          </w:p>
        </w:tc>
        <w:tc>
          <w:tcPr>
            <w:tcW w:w="82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125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ascii="宋体" w:hAnsi="宋体"/>
                <w:color w:val="auto"/>
                <w:sz w:val="20"/>
                <w:szCs w:val="20"/>
              </w:rPr>
              <w:t>0</w:t>
            </w:r>
          </w:p>
        </w:tc>
        <w:tc>
          <w:tcPr>
            <w:tcW w:w="77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　</w:t>
            </w:r>
          </w:p>
        </w:tc>
        <w:tc>
          <w:tcPr>
            <w:tcW w:w="2483" w:type="dxa"/>
            <w:tcBorders>
              <w:top w:val="single" w:color="auto" w:sz="4" w:space="0"/>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　</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混凝土构件钢筋配置</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488</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160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2004）428“附件56-5”</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2.2</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砼保护层厚度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构件</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493</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240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2004）428“附件56-4”</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2.3</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楼板厚度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332</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2004）428“附件56-2”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2.4</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混凝土强度回弹法检测（板、梁、墙）</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7227</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48</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2015）8“附件1-2.4.1”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2.5</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吊钩抗拔检测</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个</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108</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4000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2015）8“附件1-2.10”</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2.6</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植筋抗拔检测</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57</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960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2015）8“附件1-2.9”</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2.7</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膨胀螺栓抗拔力检测</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531</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400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2015）8“附件1-2.9”</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2.8</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基坑回填压实度</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2929</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80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2012）1490“附件一基层2-2”</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2.9</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基坑回填弯沉（自动弯沉仪）</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点</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306</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8</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2012）1490“附件一基层2-3”</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2.10</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饰面砖粘结强度检测</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组</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33</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480</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粤价函（</w:t>
            </w:r>
            <w:r>
              <w:rPr>
                <w:rFonts w:ascii="宋体" w:hAnsi="宋体"/>
                <w:color w:val="auto"/>
                <w:sz w:val="20"/>
                <w:szCs w:val="20"/>
              </w:rPr>
              <w:t>2004）428“附件46-1”</w:t>
            </w:r>
          </w:p>
        </w:tc>
      </w:tr>
      <w:tr>
        <w:tblPrEx>
          <w:tblLayout w:type="fixed"/>
          <w:tblCellMar>
            <w:top w:w="0" w:type="dxa"/>
            <w:left w:w="108" w:type="dxa"/>
            <w:bottom w:w="0" w:type="dxa"/>
            <w:right w:w="108" w:type="dxa"/>
          </w:tblCellMar>
        </w:tblPrEx>
        <w:trPr>
          <w:jc w:val="center"/>
        </w:trPr>
        <w:tc>
          <w:tcPr>
            <w:tcW w:w="809" w:type="dxa"/>
            <w:tcBorders>
              <w:top w:val="nil"/>
              <w:left w:val="single" w:color="auto" w:sz="4" w:space="0"/>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2.11</w:t>
            </w:r>
          </w:p>
        </w:tc>
        <w:tc>
          <w:tcPr>
            <w:tcW w:w="2986"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混凝土强度回弹法检测（桥墩、梁片、管片、二衬）</w:t>
            </w:r>
          </w:p>
        </w:tc>
        <w:tc>
          <w:tcPr>
            <w:tcW w:w="821" w:type="dxa"/>
            <w:tcBorders>
              <w:top w:val="nil"/>
              <w:left w:val="nil"/>
              <w:bottom w:val="single" w:color="auto" w:sz="4" w:space="0"/>
              <w:right w:val="single" w:color="auto" w:sz="4" w:space="0"/>
            </w:tcBorders>
            <w:vAlign w:val="center"/>
          </w:tcPr>
          <w:p>
            <w:pPr>
              <w:jc w:val="center"/>
              <w:rPr>
                <w:rFonts w:ascii="宋体" w:hAnsi="宋体" w:cs="宋体"/>
                <w:color w:val="auto"/>
                <w:sz w:val="20"/>
                <w:szCs w:val="20"/>
              </w:rPr>
            </w:pPr>
            <w:r>
              <w:rPr>
                <w:rFonts w:hint="eastAsia" w:ascii="宋体" w:hAnsi="宋体"/>
                <w:color w:val="auto"/>
                <w:sz w:val="20"/>
                <w:szCs w:val="20"/>
              </w:rPr>
              <w:t>测区</w:t>
            </w:r>
          </w:p>
        </w:tc>
        <w:tc>
          <w:tcPr>
            <w:tcW w:w="1259"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410</w:t>
            </w:r>
          </w:p>
        </w:tc>
        <w:tc>
          <w:tcPr>
            <w:tcW w:w="778" w:type="dxa"/>
            <w:tcBorders>
              <w:top w:val="nil"/>
              <w:left w:val="nil"/>
              <w:bottom w:val="single" w:color="auto" w:sz="4" w:space="0"/>
              <w:right w:val="single" w:color="auto" w:sz="4" w:space="0"/>
            </w:tcBorders>
            <w:noWrap/>
            <w:vAlign w:val="center"/>
          </w:tcPr>
          <w:p>
            <w:pPr>
              <w:jc w:val="center"/>
              <w:rPr>
                <w:rFonts w:ascii="宋体" w:hAnsi="宋体" w:cs="宋体"/>
                <w:color w:val="auto"/>
                <w:sz w:val="20"/>
                <w:szCs w:val="20"/>
              </w:rPr>
            </w:pPr>
            <w:r>
              <w:rPr>
                <w:rFonts w:ascii="宋体" w:hAnsi="宋体"/>
                <w:color w:val="auto"/>
                <w:sz w:val="20"/>
                <w:szCs w:val="20"/>
              </w:rPr>
              <w:t>48</w:t>
            </w:r>
          </w:p>
        </w:tc>
        <w:tc>
          <w:tcPr>
            <w:tcW w:w="2483" w:type="dxa"/>
            <w:tcBorders>
              <w:top w:val="nil"/>
              <w:left w:val="nil"/>
              <w:bottom w:val="single" w:color="auto" w:sz="4" w:space="0"/>
              <w:right w:val="single" w:color="auto" w:sz="4" w:space="0"/>
            </w:tcBorders>
            <w:vAlign w:val="center"/>
          </w:tcPr>
          <w:p>
            <w:pPr>
              <w:rPr>
                <w:rFonts w:ascii="宋体" w:hAnsi="宋体" w:cs="宋体"/>
                <w:color w:val="auto"/>
                <w:sz w:val="20"/>
                <w:szCs w:val="20"/>
              </w:rPr>
            </w:pPr>
            <w:r>
              <w:rPr>
                <w:rFonts w:hint="eastAsia" w:ascii="宋体" w:hAnsi="宋体"/>
                <w:color w:val="auto"/>
                <w:sz w:val="20"/>
                <w:szCs w:val="20"/>
              </w:rPr>
              <w:t>粤建检协（</w:t>
            </w:r>
            <w:r>
              <w:rPr>
                <w:rFonts w:ascii="宋体" w:hAnsi="宋体"/>
                <w:color w:val="auto"/>
                <w:sz w:val="20"/>
                <w:szCs w:val="20"/>
              </w:rPr>
              <w:t>2015）8“附件1-2.4.1”</w:t>
            </w:r>
          </w:p>
        </w:tc>
      </w:tr>
    </w:tbl>
    <w:p>
      <w:pPr>
        <w:spacing w:line="360" w:lineRule="auto"/>
        <w:jc w:val="left"/>
        <w:rPr>
          <w:rFonts w:ascii="宋体" w:hAnsi="宋体" w:cs="宋体"/>
          <w:b/>
          <w:color w:val="auto"/>
          <w:spacing w:val="-5"/>
          <w:kern w:val="0"/>
          <w:szCs w:val="21"/>
        </w:rPr>
      </w:pPr>
    </w:p>
    <w:p>
      <w:pPr>
        <w:ind w:firstLine="424"/>
        <w:rPr>
          <w:rFonts w:ascii="宋体" w:hAnsi="宋体" w:cs="宋体"/>
          <w:color w:val="auto"/>
        </w:rPr>
      </w:pPr>
      <w:r>
        <w:rPr>
          <w:rFonts w:hint="eastAsia" w:ascii="宋体" w:hAnsi="宋体" w:cs="宋体"/>
          <w:b/>
          <w:color w:val="auto"/>
          <w:spacing w:val="-5"/>
          <w:kern w:val="0"/>
          <w:szCs w:val="21"/>
        </w:rPr>
        <w:t>注：上述工程量为估算检测项目包含（暂定）的内容（由于</w:t>
      </w:r>
      <w:r>
        <w:rPr>
          <w:rFonts w:ascii="宋体" w:hAnsi="宋体" w:cs="宋体"/>
          <w:b/>
          <w:color w:val="auto"/>
          <w:spacing w:val="-5"/>
          <w:kern w:val="0"/>
          <w:szCs w:val="21"/>
        </w:rPr>
        <w:t>1号线工程线路敷设方式改变、站位调整等原因，待最新的初步设计批复后将依据批复后的初步设计对本次招标的工程量清单重新进行统计，该次工程量清单的变化按照相关合同管理办法一次性办理合同变更，更新合同价和合同清单，检测项目单价按中标单价计算，如本标段无相同或相近检测项目的，按1号线相同或相近检测项目中标单价的平均价计算，如出现1号线工程无相同或相近检测项目的，比照合同价款中的调价原则办理。结算工程量以实际发生的派单工程量为准，对比更新后的合同清单仅发生数量变化可不办理变更</w:t>
      </w:r>
      <w:r>
        <w:rPr>
          <w:rFonts w:hint="eastAsia" w:ascii="宋体" w:hAnsi="宋体" w:cs="宋体"/>
          <w:b/>
          <w:color w:val="auto"/>
          <w:spacing w:val="-5"/>
          <w:kern w:val="0"/>
          <w:szCs w:val="21"/>
        </w:rPr>
        <w:t>），如因法律法规变化或现场检测需要，增加的其它检测项目按变更流程办理。考虑到部分设计资料不齐全，检测数量为暂估工程量，结算工程量据实计算，最终需根据东莞市住建局派单确定。检测费用采用综合单价包干，检测过程中增加工程量清单中同类检测项目其综合单价按照投标人投标清单中该项目综合单价占收费标准的比例计算；如没有相同项目，按照我市检测收费标准下浮</w:t>
      </w:r>
      <w:r>
        <w:rPr>
          <w:rFonts w:ascii="宋体" w:hAnsi="宋体" w:cs="宋体"/>
          <w:b/>
          <w:color w:val="auto"/>
          <w:spacing w:val="-5"/>
          <w:kern w:val="0"/>
          <w:szCs w:val="21"/>
        </w:rPr>
        <w:t>20%及中标人的投标下浮率，并经政府相关部门审定后确定综合单价。</w:t>
      </w:r>
    </w:p>
    <w:p>
      <w:pPr>
        <w:keepNext/>
        <w:keepLines/>
        <w:spacing w:line="578" w:lineRule="auto"/>
        <w:jc w:val="center"/>
        <w:outlineLvl w:val="0"/>
        <w:rPr>
          <w:rFonts w:ascii="宋体" w:hAnsi="宋体" w:cs="宋体"/>
          <w:b/>
          <w:bCs/>
          <w:color w:val="auto"/>
          <w:kern w:val="44"/>
          <w:sz w:val="44"/>
          <w:szCs w:val="44"/>
        </w:rPr>
      </w:pPr>
      <w:r>
        <w:rPr>
          <w:rFonts w:ascii="宋体" w:hAnsi="宋体" w:cs="宋体"/>
          <w:b/>
          <w:bCs/>
          <w:color w:val="auto"/>
          <w:kern w:val="44"/>
          <w:sz w:val="44"/>
          <w:szCs w:val="44"/>
        </w:rPr>
        <w:br w:type="page"/>
      </w:r>
      <w:bookmarkStart w:id="84" w:name="_Toc22177"/>
      <w:r>
        <w:rPr>
          <w:rFonts w:hint="eastAsia" w:ascii="宋体" w:hAnsi="宋体" w:cs="宋体"/>
          <w:b/>
          <w:bCs/>
          <w:color w:val="auto"/>
          <w:kern w:val="44"/>
          <w:sz w:val="44"/>
          <w:szCs w:val="44"/>
        </w:rPr>
        <w:t>第Ⅴ卷</w:t>
      </w:r>
      <w:r>
        <w:rPr>
          <w:rFonts w:ascii="宋体" w:hAnsi="宋体" w:cs="宋体"/>
          <w:b/>
          <w:bCs/>
          <w:color w:val="auto"/>
          <w:kern w:val="44"/>
          <w:sz w:val="44"/>
          <w:szCs w:val="44"/>
        </w:rPr>
        <w:t xml:space="preserve">  </w:t>
      </w:r>
      <w:r>
        <w:rPr>
          <w:rFonts w:hint="eastAsia" w:ascii="宋体" w:hAnsi="宋体" w:cs="宋体"/>
          <w:b/>
          <w:bCs/>
          <w:color w:val="auto"/>
          <w:kern w:val="44"/>
          <w:sz w:val="44"/>
          <w:szCs w:val="44"/>
        </w:rPr>
        <w:t>评标办法</w:t>
      </w:r>
      <w:bookmarkEnd w:id="84"/>
    </w:p>
    <w:p>
      <w:pPr>
        <w:keepNext/>
        <w:keepLines/>
        <w:spacing w:line="579" w:lineRule="auto"/>
        <w:jc w:val="center"/>
        <w:rPr>
          <w:rFonts w:ascii="宋体" w:hAnsi="宋体" w:cs="宋体"/>
          <w:b/>
          <w:bCs/>
          <w:color w:val="auto"/>
          <w:kern w:val="44"/>
          <w:sz w:val="28"/>
          <w:szCs w:val="28"/>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rPr>
          <w:rFonts w:ascii="宋体" w:hAnsi="宋体" w:cs="宋体"/>
          <w:color w:val="auto"/>
        </w:rPr>
      </w:pPr>
    </w:p>
    <w:p>
      <w:pPr>
        <w:spacing w:line="360" w:lineRule="auto"/>
        <w:jc w:val="center"/>
        <w:rPr>
          <w:rFonts w:ascii="宋体" w:hAnsi="宋体" w:cs="宋体"/>
          <w:b/>
          <w:color w:val="auto"/>
          <w:sz w:val="48"/>
          <w:szCs w:val="48"/>
          <w:u w:val="single"/>
        </w:rPr>
      </w:pPr>
      <w:r>
        <w:rPr>
          <w:rFonts w:ascii="宋体" w:hAnsi="宋体" w:cs="宋体"/>
          <w:b/>
          <w:color w:val="auto"/>
          <w:sz w:val="48"/>
          <w:szCs w:val="48"/>
          <w:u w:val="single"/>
        </w:rPr>
        <w:br w:type="page"/>
      </w:r>
    </w:p>
    <w:p>
      <w:pPr>
        <w:spacing w:line="360" w:lineRule="auto"/>
        <w:jc w:val="center"/>
        <w:rPr>
          <w:rFonts w:ascii="宋体" w:hAnsi="宋体" w:cs="宋体"/>
          <w:b/>
          <w:color w:val="auto"/>
          <w:sz w:val="48"/>
          <w:szCs w:val="48"/>
          <w:u w:val="single"/>
        </w:rPr>
      </w:pPr>
    </w:p>
    <w:p>
      <w:pPr>
        <w:jc w:val="center"/>
        <w:rPr>
          <w:rFonts w:ascii="宋体" w:hAnsi="宋体" w:cs="宋体"/>
          <w:b/>
          <w:color w:val="auto"/>
          <w:sz w:val="44"/>
          <w:szCs w:val="44"/>
        </w:rPr>
      </w:pPr>
    </w:p>
    <w:p>
      <w:pPr>
        <w:jc w:val="center"/>
        <w:rPr>
          <w:rFonts w:ascii="宋体" w:hAnsi="宋体" w:cs="宋体"/>
          <w:b/>
          <w:color w:val="auto"/>
          <w:sz w:val="40"/>
          <w:u w:val="single"/>
        </w:rPr>
      </w:pPr>
      <w:r>
        <w:rPr>
          <w:rFonts w:hint="eastAsia" w:ascii="宋体" w:hAnsi="宋体" w:cs="宋体"/>
          <w:b/>
          <w:color w:val="auto"/>
          <w:sz w:val="40"/>
          <w:u w:val="single"/>
        </w:rPr>
        <w:t>东莞市城市轨道交通</w:t>
      </w:r>
      <w:r>
        <w:rPr>
          <w:rFonts w:ascii="宋体" w:hAnsi="宋体" w:cs="宋体"/>
          <w:b/>
          <w:color w:val="auto"/>
          <w:sz w:val="40"/>
          <w:u w:val="single"/>
        </w:rPr>
        <w:t>1号线一期工程</w:t>
      </w:r>
    </w:p>
    <w:p>
      <w:pPr>
        <w:jc w:val="center"/>
        <w:rPr>
          <w:rFonts w:ascii="宋体" w:hAnsi="宋体" w:cs="宋体"/>
          <w:color w:val="auto"/>
        </w:rPr>
      </w:pPr>
      <w:r>
        <w:rPr>
          <w:rFonts w:hint="eastAsia" w:ascii="宋体" w:hAnsi="宋体" w:cs="宋体"/>
          <w:b/>
          <w:color w:val="auto"/>
          <w:sz w:val="40"/>
          <w:u w:val="single"/>
        </w:rPr>
        <w:t>【质量专项检测项目】</w:t>
      </w:r>
      <w:r>
        <w:rPr>
          <w:rFonts w:ascii="宋体" w:hAnsi="宋体" w:cs="宋体"/>
          <w:b/>
          <w:color w:val="auto"/>
          <w:sz w:val="40"/>
          <w:u w:val="single"/>
        </w:rPr>
        <w:t>1405标</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84"/>
          <w:szCs w:val="84"/>
        </w:rPr>
      </w:pPr>
    </w:p>
    <w:p>
      <w:pPr>
        <w:spacing w:line="360" w:lineRule="auto"/>
        <w:jc w:val="center"/>
        <w:rPr>
          <w:rFonts w:ascii="宋体" w:hAnsi="宋体" w:cs="宋体"/>
          <w:color w:val="auto"/>
          <w:sz w:val="84"/>
          <w:szCs w:val="84"/>
        </w:rPr>
      </w:pPr>
    </w:p>
    <w:p>
      <w:pPr>
        <w:spacing w:line="360" w:lineRule="auto"/>
        <w:jc w:val="center"/>
        <w:rPr>
          <w:rFonts w:ascii="宋体" w:hAnsi="宋体" w:cs="宋体"/>
          <w:color w:val="auto"/>
          <w:sz w:val="72"/>
          <w:szCs w:val="72"/>
        </w:rPr>
      </w:pPr>
      <w:r>
        <w:rPr>
          <w:rFonts w:hint="eastAsia" w:ascii="宋体" w:hAnsi="宋体" w:cs="宋体"/>
          <w:color w:val="auto"/>
          <w:sz w:val="72"/>
          <w:szCs w:val="72"/>
        </w:rPr>
        <w:t>评标办法</w:t>
      </w: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rPr>
          <w:rFonts w:ascii="宋体" w:hAnsi="宋体" w:cs="宋体"/>
          <w:color w:val="auto"/>
          <w:sz w:val="32"/>
          <w:szCs w:val="24"/>
        </w:rPr>
      </w:pPr>
    </w:p>
    <w:p>
      <w:pPr>
        <w:spacing w:line="360" w:lineRule="auto"/>
        <w:jc w:val="center"/>
        <w:rPr>
          <w:rFonts w:ascii="宋体" w:hAnsi="宋体" w:cs="宋体"/>
          <w:color w:val="auto"/>
          <w:sz w:val="32"/>
          <w:szCs w:val="24"/>
        </w:rPr>
      </w:pPr>
    </w:p>
    <w:p>
      <w:pPr>
        <w:spacing w:line="360" w:lineRule="auto"/>
        <w:jc w:val="center"/>
        <w:rPr>
          <w:rFonts w:ascii="宋体" w:hAnsi="宋体" w:cs="宋体"/>
          <w:color w:val="auto"/>
          <w:sz w:val="30"/>
          <w:szCs w:val="30"/>
        </w:rPr>
      </w:pPr>
    </w:p>
    <w:p>
      <w:pPr>
        <w:rPr>
          <w:rFonts w:ascii="宋体" w:hAnsi="宋体" w:cs="宋体"/>
          <w:color w:val="auto"/>
        </w:rPr>
      </w:pPr>
      <w:r>
        <w:rPr>
          <w:rFonts w:hint="eastAsia" w:ascii="宋体" w:hAnsi="宋体" w:cs="宋体"/>
          <w:color w:val="auto"/>
        </w:rPr>
        <w:br w:type="page"/>
      </w:r>
    </w:p>
    <w:p>
      <w:pPr>
        <w:pStyle w:val="4"/>
        <w:rPr>
          <w:rFonts w:ascii="宋体" w:hAnsi="宋体" w:eastAsia="宋体" w:cs="宋体"/>
          <w:color w:val="auto"/>
          <w:sz w:val="21"/>
          <w:szCs w:val="21"/>
        </w:rPr>
      </w:pPr>
      <w:bookmarkStart w:id="85" w:name="_Toc6324"/>
      <w:bookmarkStart w:id="86" w:name="_Toc388015846"/>
      <w:r>
        <w:rPr>
          <w:rFonts w:hint="eastAsia" w:ascii="宋体" w:hAnsi="宋体" w:eastAsia="宋体" w:cs="宋体"/>
          <w:color w:val="auto"/>
          <w:sz w:val="21"/>
          <w:szCs w:val="21"/>
        </w:rPr>
        <w:t>（一）总则</w:t>
      </w:r>
      <w:bookmarkEnd w:id="85"/>
      <w:bookmarkEnd w:id="86"/>
    </w:p>
    <w:p>
      <w:pPr>
        <w:spacing w:line="360" w:lineRule="auto"/>
        <w:rPr>
          <w:rFonts w:ascii="宋体" w:hAnsi="宋体" w:cs="宋体"/>
          <w:bCs/>
          <w:color w:val="auto"/>
          <w:szCs w:val="21"/>
        </w:rPr>
      </w:pPr>
      <w:r>
        <w:rPr>
          <w:rFonts w:ascii="宋体" w:hAnsi="宋体" w:cs="宋体"/>
          <w:bCs/>
          <w:color w:val="auto"/>
          <w:szCs w:val="21"/>
        </w:rPr>
        <w:t>1.开标、评标及定标所依据的规则</w:t>
      </w:r>
    </w:p>
    <w:p>
      <w:pPr>
        <w:snapToGrid w:val="0"/>
        <w:spacing w:line="360" w:lineRule="auto"/>
        <w:rPr>
          <w:rFonts w:ascii="宋体" w:hAnsi="宋体" w:cs="宋体"/>
          <w:color w:val="auto"/>
          <w:szCs w:val="21"/>
        </w:rPr>
      </w:pPr>
      <w:r>
        <w:rPr>
          <w:rFonts w:ascii="宋体" w:hAnsi="宋体" w:cs="宋体"/>
          <w:color w:val="auto"/>
          <w:szCs w:val="21"/>
        </w:rPr>
        <w:t>1.1《中华人民共和国招标投标法》</w:t>
      </w:r>
      <w:r>
        <w:rPr>
          <w:rFonts w:hint="eastAsia" w:ascii="宋体" w:hAnsi="宋体"/>
          <w:color w:val="auto"/>
          <w:szCs w:val="21"/>
        </w:rPr>
        <w:t>（</w:t>
      </w:r>
      <w:r>
        <w:rPr>
          <w:rFonts w:ascii="宋体" w:hAnsi="宋体"/>
          <w:color w:val="auto"/>
          <w:szCs w:val="21"/>
        </w:rPr>
        <w:t>中华人民共和国主席令第21号</w:t>
      </w:r>
      <w:r>
        <w:rPr>
          <w:rFonts w:hint="eastAsia" w:ascii="宋体" w:hAnsi="宋体"/>
          <w:color w:val="auto"/>
          <w:szCs w:val="21"/>
        </w:rPr>
        <w:t>）</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1.2《中华人民共和国招标投标法实施条例》</w:t>
      </w:r>
      <w:r>
        <w:rPr>
          <w:rFonts w:hint="eastAsia" w:ascii="宋体" w:hAnsi="宋体"/>
          <w:color w:val="auto"/>
          <w:szCs w:val="21"/>
        </w:rPr>
        <w:t>（</w:t>
      </w:r>
      <w:r>
        <w:rPr>
          <w:rFonts w:ascii="宋体" w:hAnsi="宋体"/>
          <w:color w:val="auto"/>
          <w:szCs w:val="21"/>
        </w:rPr>
        <w:t>中华人民共和国</w:t>
      </w:r>
      <w:r>
        <w:rPr>
          <w:rFonts w:hint="eastAsia" w:ascii="宋体" w:hAnsi="宋体"/>
          <w:color w:val="auto"/>
          <w:szCs w:val="21"/>
        </w:rPr>
        <w:t>国务院</w:t>
      </w:r>
      <w:r>
        <w:rPr>
          <w:rFonts w:ascii="宋体" w:hAnsi="宋体"/>
          <w:color w:val="auto"/>
          <w:szCs w:val="21"/>
        </w:rPr>
        <w:t>令第613号</w:t>
      </w:r>
      <w:r>
        <w:rPr>
          <w:rFonts w:hint="eastAsia" w:ascii="宋体" w:hAnsi="宋体"/>
          <w:color w:val="auto"/>
          <w:szCs w:val="21"/>
        </w:rPr>
        <w:t>）</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1.3《评标委员会和评标方法暂行规定》</w:t>
      </w:r>
      <w:r>
        <w:rPr>
          <w:rFonts w:hint="eastAsia" w:ascii="宋体" w:hAnsi="宋体" w:cs="宋体"/>
          <w:color w:val="auto"/>
          <w:szCs w:val="21"/>
        </w:rPr>
        <w:t>（</w:t>
      </w:r>
      <w:r>
        <w:rPr>
          <w:rFonts w:hint="eastAsia" w:ascii="宋体" w:hAnsi="宋体"/>
          <w:color w:val="auto"/>
          <w:szCs w:val="21"/>
        </w:rPr>
        <w:t>国家发展计划委员会等七部委令第</w:t>
      </w:r>
      <w:r>
        <w:rPr>
          <w:rFonts w:ascii="宋体" w:hAnsi="宋体"/>
          <w:color w:val="auto"/>
          <w:szCs w:val="21"/>
        </w:rPr>
        <w:t>12号，2013修订版）</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1.4《广东省实施〈中华人民共和国招标投标法〉办法》</w:t>
      </w:r>
      <w:r>
        <w:rPr>
          <w:rFonts w:hint="eastAsia"/>
          <w:color w:val="auto"/>
          <w:szCs w:val="21"/>
        </w:rPr>
        <w:t>（2003年4月2日广东省第十届人民代表大会常务委员会第二次会议通过，2018年11月29日广东省第十三届人民代表大会常务委员会第七次会议修订）</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1.5《广东省加强建设工程招标投标监督管理的若干规定》</w:t>
      </w:r>
      <w:r>
        <w:rPr>
          <w:rFonts w:hint="eastAsia" w:ascii="宋体" w:hAnsi="宋体" w:cs="宋体"/>
          <w:color w:val="auto"/>
          <w:szCs w:val="21"/>
        </w:rPr>
        <w:t>（</w:t>
      </w:r>
      <w:r>
        <w:rPr>
          <w:rFonts w:ascii="normal Arial" w:hAnsi="normal Arial" w:eastAsia="normal Arial" w:cs="normal Arial"/>
          <w:color w:val="auto"/>
          <w:sz w:val="19"/>
          <w:szCs w:val="19"/>
          <w:shd w:val="clear" w:color="auto" w:fill="FFFFFF"/>
        </w:rPr>
        <w:t>粤发[2004]4号</w:t>
      </w:r>
      <w:r>
        <w:rPr>
          <w:rFonts w:hint="eastAsia" w:ascii="normal Arial" w:hAnsi="normal Arial" w:cs="normal Arial"/>
          <w:color w:val="auto"/>
          <w:sz w:val="19"/>
          <w:szCs w:val="19"/>
          <w:shd w:val="clear" w:color="auto" w:fill="FFFFFF"/>
        </w:rPr>
        <w:t>，</w:t>
      </w:r>
      <w:r>
        <w:rPr>
          <w:rFonts w:ascii="normal Arial" w:hAnsi="normal Arial" w:eastAsia="normal Arial" w:cs="normal Arial"/>
          <w:color w:val="auto"/>
          <w:sz w:val="19"/>
          <w:szCs w:val="19"/>
          <w:shd w:val="clear" w:color="auto" w:fill="FFFFFF"/>
        </w:rPr>
        <w:t>2004年2月26日</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1.6《房屋建筑和市政基础设施工程施工招标投标管理办法》（建设部令第89号</w:t>
      </w:r>
      <w:r>
        <w:rPr>
          <w:rFonts w:hint="eastAsia" w:ascii="宋体" w:hAnsi="宋体" w:cs="宋体"/>
          <w:color w:val="auto"/>
          <w:szCs w:val="21"/>
        </w:rPr>
        <w:t>，修订后</w:t>
      </w:r>
      <w:r>
        <w:rPr>
          <w:rFonts w:ascii="宋体" w:hAnsi="宋体" w:cs="宋体"/>
          <w:color w:val="auto"/>
          <w:szCs w:val="21"/>
        </w:rPr>
        <w:t>2018年9月28日重新发布</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1.7本项目招标文件。</w:t>
      </w:r>
    </w:p>
    <w:p>
      <w:pPr>
        <w:snapToGrid w:val="0"/>
        <w:spacing w:line="360" w:lineRule="auto"/>
        <w:rPr>
          <w:rFonts w:ascii="宋体" w:hAnsi="宋体" w:cs="宋体"/>
          <w:color w:val="auto"/>
          <w:szCs w:val="21"/>
        </w:rPr>
      </w:pPr>
      <w:r>
        <w:rPr>
          <w:rFonts w:ascii="宋体" w:hAnsi="宋体" w:cs="宋体"/>
          <w:color w:val="auto"/>
          <w:szCs w:val="21"/>
        </w:rPr>
        <w:t>1.8国家、省、市各级行政主管部门颁发的其他有关招投标相关法律法规。</w:t>
      </w:r>
    </w:p>
    <w:p>
      <w:pPr>
        <w:spacing w:line="360" w:lineRule="auto"/>
        <w:rPr>
          <w:rFonts w:ascii="宋体" w:hAnsi="宋体" w:cs="宋体"/>
          <w:bCs/>
          <w:color w:val="auto"/>
          <w:szCs w:val="21"/>
        </w:rPr>
      </w:pPr>
      <w:r>
        <w:rPr>
          <w:rFonts w:ascii="宋体" w:hAnsi="宋体" w:cs="宋体"/>
          <w:bCs/>
          <w:color w:val="auto"/>
          <w:szCs w:val="21"/>
        </w:rPr>
        <w:t>2.开标</w:t>
      </w:r>
    </w:p>
    <w:p>
      <w:pPr>
        <w:spacing w:line="360" w:lineRule="auto"/>
        <w:rPr>
          <w:rFonts w:ascii="宋体" w:hAnsi="宋体" w:cs="宋体"/>
          <w:color w:val="auto"/>
          <w:szCs w:val="21"/>
        </w:rPr>
      </w:pPr>
      <w:r>
        <w:rPr>
          <w:rFonts w:ascii="宋体" w:hAnsi="宋体" w:cs="宋体"/>
          <w:color w:val="auto"/>
          <w:szCs w:val="21"/>
        </w:rPr>
        <w:t>2.1招标人按投标须知前附表</w:t>
      </w:r>
      <w:r>
        <w:rPr>
          <w:rFonts w:hint="eastAsia" w:ascii="宋体" w:hAnsi="宋体" w:cs="宋体"/>
          <w:color w:val="auto"/>
          <w:szCs w:val="21"/>
        </w:rPr>
        <w:t>第</w:t>
      </w:r>
      <w:r>
        <w:rPr>
          <w:rFonts w:ascii="宋体" w:hAnsi="宋体" w:cs="宋体"/>
          <w:color w:val="auto"/>
          <w:szCs w:val="21"/>
          <w:u w:val="single"/>
        </w:rPr>
        <w:t xml:space="preserve"> 7、8  </w:t>
      </w:r>
      <w:r>
        <w:rPr>
          <w:rFonts w:hint="eastAsia" w:ascii="宋体" w:hAnsi="宋体" w:cs="宋体"/>
          <w:color w:val="auto"/>
          <w:szCs w:val="21"/>
        </w:rPr>
        <w:t>项所规定的时间和地点公开开标，并邀请所有投标人参加。截标后，开标时间因故推迟的，相关评标信息仍以原定的开标时间为准。投标人可以自主决定是否参加开标会。</w:t>
      </w:r>
    </w:p>
    <w:p>
      <w:pPr>
        <w:spacing w:line="360" w:lineRule="auto"/>
        <w:rPr>
          <w:rFonts w:ascii="宋体" w:hAnsi="宋体" w:cs="宋体"/>
          <w:color w:val="auto"/>
          <w:szCs w:val="21"/>
        </w:rPr>
      </w:pPr>
      <w:r>
        <w:rPr>
          <w:rFonts w:ascii="宋体" w:hAnsi="宋体" w:cs="宋体"/>
          <w:color w:val="auto"/>
          <w:szCs w:val="21"/>
        </w:rPr>
        <w:t xml:space="preserve">2.2 按规定提交通过的撤回通知的投标文件不予开封，并退回给投标人； </w:t>
      </w:r>
    </w:p>
    <w:p>
      <w:pPr>
        <w:spacing w:line="360" w:lineRule="auto"/>
        <w:rPr>
          <w:rFonts w:ascii="宋体" w:hAnsi="宋体" w:cs="宋体"/>
          <w:color w:val="auto"/>
          <w:szCs w:val="21"/>
        </w:rPr>
      </w:pPr>
      <w:r>
        <w:rPr>
          <w:rFonts w:ascii="宋体" w:hAnsi="宋体" w:cs="宋体"/>
          <w:color w:val="auto"/>
          <w:szCs w:val="21"/>
        </w:rPr>
        <w:t xml:space="preserve">2.3 </w:t>
      </w:r>
      <w:r>
        <w:rPr>
          <w:rFonts w:hint="eastAsia" w:ascii="宋体" w:hAnsi="宋体" w:cs="宋体"/>
          <w:color w:val="auto"/>
          <w:szCs w:val="21"/>
        </w:rPr>
        <w:t>招标人在招标文件要求提交投标文件的截止时间前收到的投标文件，开标时都当众予以拆封、宣读。</w:t>
      </w:r>
    </w:p>
    <w:p>
      <w:pPr>
        <w:spacing w:line="360" w:lineRule="auto"/>
        <w:rPr>
          <w:rFonts w:ascii="宋体" w:hAnsi="宋体" w:cs="宋体"/>
          <w:bCs/>
          <w:color w:val="auto"/>
          <w:szCs w:val="21"/>
        </w:rPr>
      </w:pPr>
      <w:r>
        <w:rPr>
          <w:rFonts w:ascii="宋体" w:hAnsi="宋体" w:cs="宋体"/>
          <w:bCs/>
          <w:color w:val="auto"/>
          <w:szCs w:val="21"/>
        </w:rPr>
        <w:t>3.评标</w:t>
      </w:r>
    </w:p>
    <w:p>
      <w:pPr>
        <w:spacing w:line="360" w:lineRule="auto"/>
        <w:rPr>
          <w:rFonts w:ascii="宋体" w:hAnsi="宋体" w:cs="宋体"/>
          <w:color w:val="auto"/>
          <w:szCs w:val="21"/>
        </w:rPr>
      </w:pPr>
      <w:r>
        <w:rPr>
          <w:rFonts w:ascii="宋体" w:hAnsi="宋体" w:cs="宋体"/>
          <w:color w:val="auto"/>
          <w:szCs w:val="21"/>
        </w:rPr>
        <w:t>3.1招标人依法组建评标委员会。</w:t>
      </w:r>
    </w:p>
    <w:p>
      <w:pPr>
        <w:tabs>
          <w:tab w:val="left" w:pos="1620"/>
        </w:tabs>
        <w:snapToGrid w:val="0"/>
        <w:spacing w:line="360" w:lineRule="auto"/>
        <w:rPr>
          <w:rFonts w:ascii="宋体" w:hAnsi="宋体" w:cs="宋体"/>
          <w:bCs/>
          <w:color w:val="auto"/>
          <w:szCs w:val="21"/>
        </w:rPr>
      </w:pPr>
      <w:r>
        <w:rPr>
          <w:rFonts w:ascii="宋体" w:hAnsi="宋体" w:cs="宋体"/>
          <w:bCs/>
          <w:color w:val="auto"/>
          <w:szCs w:val="21"/>
        </w:rPr>
        <w:t>3.2评标委员会的职责及守则：</w:t>
      </w:r>
    </w:p>
    <w:p>
      <w:pPr>
        <w:tabs>
          <w:tab w:val="left" w:pos="1620"/>
        </w:tabs>
        <w:snapToGrid w:val="0"/>
        <w:spacing w:line="360" w:lineRule="auto"/>
        <w:rPr>
          <w:rFonts w:ascii="宋体" w:hAnsi="宋体" w:cs="宋体"/>
          <w:color w:val="auto"/>
          <w:szCs w:val="21"/>
        </w:rPr>
      </w:pPr>
      <w:r>
        <w:rPr>
          <w:rFonts w:ascii="宋体" w:hAnsi="宋体" w:cs="宋体"/>
          <w:color w:val="auto"/>
          <w:szCs w:val="21"/>
        </w:rPr>
        <w:t>3.2.1根据评标细则，对标书进行认真评审，完成评审报告；</w:t>
      </w:r>
    </w:p>
    <w:p>
      <w:pPr>
        <w:tabs>
          <w:tab w:val="left" w:pos="1620"/>
        </w:tabs>
        <w:snapToGrid w:val="0"/>
        <w:spacing w:line="360" w:lineRule="auto"/>
        <w:rPr>
          <w:rFonts w:ascii="宋体" w:hAnsi="宋体" w:cs="宋体"/>
          <w:color w:val="auto"/>
          <w:szCs w:val="21"/>
        </w:rPr>
      </w:pPr>
      <w:r>
        <w:rPr>
          <w:rFonts w:ascii="宋体" w:hAnsi="宋体" w:cs="宋体"/>
          <w:color w:val="auto"/>
          <w:szCs w:val="21"/>
        </w:rPr>
        <w:t>3.2.2向招标人报告评审意见，推荐通过的中标候选人。</w:t>
      </w:r>
    </w:p>
    <w:p>
      <w:pPr>
        <w:snapToGrid w:val="0"/>
        <w:spacing w:line="360" w:lineRule="auto"/>
        <w:rPr>
          <w:rFonts w:ascii="宋体" w:hAnsi="宋体" w:cs="宋体"/>
          <w:color w:val="auto"/>
          <w:szCs w:val="21"/>
        </w:rPr>
      </w:pPr>
      <w:r>
        <w:rPr>
          <w:rFonts w:ascii="宋体" w:hAnsi="宋体" w:cs="宋体"/>
          <w:bCs/>
          <w:color w:val="auto"/>
          <w:szCs w:val="21"/>
        </w:rPr>
        <w:t xml:space="preserve">3.2.3 </w:t>
      </w:r>
      <w:r>
        <w:rPr>
          <w:rFonts w:hint="eastAsia" w:ascii="宋体" w:hAnsi="宋体" w:cs="宋体"/>
          <w:color w:val="auto"/>
          <w:szCs w:val="21"/>
        </w:rPr>
        <w:t>所有参加评标人员必须遵守国家、地方政府制定的有关工程招标投标的法则、规定，遵守有关工程招标投标的保密制度；如有违反者，给予行政处分；情节严重，构成犯罪的，由司法机关依法追究其刑事责任。</w:t>
      </w:r>
    </w:p>
    <w:p>
      <w:pPr>
        <w:snapToGrid w:val="0"/>
        <w:spacing w:line="360" w:lineRule="auto"/>
        <w:rPr>
          <w:rFonts w:ascii="宋体" w:hAnsi="宋体" w:cs="宋体"/>
          <w:bCs/>
          <w:color w:val="auto"/>
          <w:szCs w:val="21"/>
        </w:rPr>
      </w:pPr>
      <w:r>
        <w:rPr>
          <w:rFonts w:ascii="宋体" w:hAnsi="宋体" w:cs="宋体"/>
          <w:bCs/>
          <w:color w:val="auto"/>
          <w:szCs w:val="21"/>
        </w:rPr>
        <w:t>3.2.4全体参与评标人员：</w:t>
      </w:r>
    </w:p>
    <w:p>
      <w:pPr>
        <w:snapToGrid w:val="0"/>
        <w:spacing w:line="360" w:lineRule="auto"/>
        <w:rPr>
          <w:rFonts w:ascii="宋体" w:hAnsi="宋体" w:cs="宋体"/>
          <w:bCs/>
          <w:color w:val="auto"/>
          <w:szCs w:val="21"/>
        </w:rPr>
      </w:pPr>
      <w:r>
        <w:rPr>
          <w:rFonts w:ascii="宋体" w:hAnsi="宋体" w:cs="宋体"/>
          <w:bCs/>
          <w:color w:val="auto"/>
          <w:szCs w:val="21"/>
        </w:rPr>
        <w:t xml:space="preserve">3.2.4.1 </w:t>
      </w:r>
      <w:r>
        <w:rPr>
          <w:rFonts w:hint="eastAsia" w:ascii="宋体" w:hAnsi="宋体" w:cs="宋体"/>
          <w:bCs/>
          <w:color w:val="auto"/>
          <w:szCs w:val="21"/>
        </w:rPr>
        <w:t>必须遵守评标纪律、不得泄密；</w:t>
      </w:r>
    </w:p>
    <w:p>
      <w:pPr>
        <w:snapToGrid w:val="0"/>
        <w:spacing w:line="360" w:lineRule="auto"/>
        <w:rPr>
          <w:rFonts w:ascii="宋体" w:hAnsi="宋体" w:cs="宋体"/>
          <w:bCs/>
          <w:color w:val="auto"/>
          <w:szCs w:val="21"/>
        </w:rPr>
      </w:pPr>
      <w:r>
        <w:rPr>
          <w:rFonts w:ascii="宋体" w:hAnsi="宋体" w:cs="宋体"/>
          <w:bCs/>
          <w:color w:val="auto"/>
          <w:szCs w:val="21"/>
        </w:rPr>
        <w:t xml:space="preserve">3.2.4.2 </w:t>
      </w:r>
      <w:r>
        <w:rPr>
          <w:rFonts w:hint="eastAsia" w:ascii="宋体" w:hAnsi="宋体" w:cs="宋体"/>
          <w:bCs/>
          <w:color w:val="auto"/>
          <w:szCs w:val="21"/>
        </w:rPr>
        <w:t>必须公正、不得循私；</w:t>
      </w:r>
    </w:p>
    <w:p>
      <w:pPr>
        <w:snapToGrid w:val="0"/>
        <w:spacing w:line="360" w:lineRule="auto"/>
        <w:rPr>
          <w:rFonts w:ascii="宋体" w:hAnsi="宋体" w:cs="宋体"/>
          <w:bCs/>
          <w:color w:val="auto"/>
          <w:szCs w:val="21"/>
        </w:rPr>
      </w:pPr>
      <w:r>
        <w:rPr>
          <w:rFonts w:ascii="宋体" w:hAnsi="宋体" w:cs="宋体"/>
          <w:bCs/>
          <w:color w:val="auto"/>
          <w:szCs w:val="21"/>
        </w:rPr>
        <w:t xml:space="preserve">3.2.4.3 </w:t>
      </w:r>
      <w:r>
        <w:rPr>
          <w:rFonts w:hint="eastAsia" w:ascii="宋体" w:hAnsi="宋体" w:cs="宋体"/>
          <w:bCs/>
          <w:color w:val="auto"/>
          <w:szCs w:val="21"/>
        </w:rPr>
        <w:t>必须科学、不得草率；</w:t>
      </w:r>
    </w:p>
    <w:p>
      <w:pPr>
        <w:snapToGrid w:val="0"/>
        <w:spacing w:line="360" w:lineRule="auto"/>
        <w:rPr>
          <w:rFonts w:ascii="宋体" w:hAnsi="宋体" w:cs="宋体"/>
          <w:bCs/>
          <w:color w:val="auto"/>
          <w:szCs w:val="21"/>
        </w:rPr>
      </w:pPr>
      <w:r>
        <w:rPr>
          <w:rFonts w:ascii="宋体" w:hAnsi="宋体" w:cs="宋体"/>
          <w:bCs/>
          <w:color w:val="auto"/>
          <w:szCs w:val="21"/>
        </w:rPr>
        <w:t xml:space="preserve">3.2.4.4 </w:t>
      </w:r>
      <w:r>
        <w:rPr>
          <w:rFonts w:hint="eastAsia" w:ascii="宋体" w:hAnsi="宋体" w:cs="宋体"/>
          <w:bCs/>
          <w:color w:val="auto"/>
          <w:szCs w:val="21"/>
        </w:rPr>
        <w:t>必须客观、不得带有成见；</w:t>
      </w:r>
    </w:p>
    <w:p>
      <w:pPr>
        <w:snapToGrid w:val="0"/>
        <w:spacing w:line="360" w:lineRule="auto"/>
        <w:rPr>
          <w:rFonts w:ascii="宋体" w:hAnsi="宋体" w:cs="宋体"/>
          <w:color w:val="auto"/>
          <w:szCs w:val="21"/>
        </w:rPr>
      </w:pPr>
      <w:r>
        <w:rPr>
          <w:rFonts w:ascii="宋体" w:hAnsi="宋体" w:cs="宋体"/>
          <w:bCs/>
          <w:color w:val="auto"/>
          <w:szCs w:val="21"/>
        </w:rPr>
        <w:t xml:space="preserve">3.2.4.5 </w:t>
      </w:r>
      <w:r>
        <w:rPr>
          <w:rFonts w:hint="eastAsia" w:ascii="宋体" w:hAnsi="宋体" w:cs="宋体"/>
          <w:bCs/>
          <w:color w:val="auto"/>
          <w:szCs w:val="21"/>
        </w:rPr>
        <w:t>必须平等、不得强加于人</w:t>
      </w:r>
      <w:r>
        <w:rPr>
          <w:rFonts w:hint="eastAsia" w:ascii="宋体" w:hAnsi="宋体" w:cs="宋体"/>
          <w:color w:val="auto"/>
          <w:szCs w:val="21"/>
        </w:rPr>
        <w:t>；</w:t>
      </w:r>
    </w:p>
    <w:p>
      <w:pPr>
        <w:snapToGrid w:val="0"/>
        <w:spacing w:line="360" w:lineRule="auto"/>
        <w:rPr>
          <w:rFonts w:ascii="宋体" w:hAnsi="宋体" w:cs="宋体"/>
          <w:color w:val="auto"/>
          <w:szCs w:val="21"/>
        </w:rPr>
      </w:pPr>
      <w:r>
        <w:rPr>
          <w:rFonts w:ascii="宋体" w:hAnsi="宋体" w:cs="宋体"/>
          <w:color w:val="auto"/>
          <w:szCs w:val="21"/>
        </w:rPr>
        <w:t xml:space="preserve">3.2.4.6 </w:t>
      </w:r>
      <w:r>
        <w:rPr>
          <w:rFonts w:hint="eastAsia" w:ascii="宋体" w:hAnsi="宋体" w:cs="宋体"/>
          <w:color w:val="auto"/>
          <w:szCs w:val="21"/>
        </w:rPr>
        <w:t>必须严谨、不得随意马虎。</w:t>
      </w:r>
    </w:p>
    <w:p>
      <w:pPr>
        <w:snapToGrid w:val="0"/>
        <w:spacing w:line="360" w:lineRule="auto"/>
        <w:rPr>
          <w:rFonts w:ascii="宋体" w:hAnsi="宋体" w:cs="宋体"/>
          <w:color w:val="auto"/>
          <w:szCs w:val="21"/>
        </w:rPr>
      </w:pPr>
      <w:r>
        <w:rPr>
          <w:rFonts w:ascii="宋体" w:hAnsi="宋体" w:cs="宋体"/>
          <w:color w:val="auto"/>
          <w:szCs w:val="21"/>
        </w:rPr>
        <w:t xml:space="preserve">3.3 </w:t>
      </w:r>
      <w:r>
        <w:rPr>
          <w:rFonts w:hint="eastAsia" w:ascii="宋体" w:hAnsi="宋体" w:cs="宋体"/>
          <w:color w:val="auto"/>
          <w:szCs w:val="21"/>
        </w:rPr>
        <w:t>评标结束后，</w:t>
      </w:r>
      <w:r>
        <w:rPr>
          <w:rFonts w:hint="eastAsia" w:ascii="宋体" w:hAnsi="宋体" w:cs="宋体"/>
          <w:bCs/>
          <w:color w:val="auto"/>
          <w:szCs w:val="21"/>
        </w:rPr>
        <w:t>评标委员会递交评标报告并依法推荐中标候选人。</w:t>
      </w:r>
      <w:r>
        <w:rPr>
          <w:rFonts w:ascii="宋体" w:hAnsi="宋体" w:cs="宋体"/>
          <w:color w:val="auto"/>
          <w:szCs w:val="21"/>
        </w:rPr>
        <w:t xml:space="preserve"> </w:t>
      </w:r>
    </w:p>
    <w:p>
      <w:pPr>
        <w:spacing w:line="360" w:lineRule="auto"/>
        <w:rPr>
          <w:rFonts w:ascii="宋体" w:hAnsi="宋体" w:cs="宋体"/>
          <w:bCs/>
          <w:color w:val="auto"/>
          <w:szCs w:val="21"/>
        </w:rPr>
      </w:pPr>
      <w:r>
        <w:rPr>
          <w:rFonts w:ascii="宋体" w:hAnsi="宋体" w:cs="宋体"/>
          <w:bCs/>
          <w:color w:val="auto"/>
          <w:szCs w:val="21"/>
        </w:rPr>
        <w:t>4.投标文件的澄清</w:t>
      </w:r>
    </w:p>
    <w:p>
      <w:pPr>
        <w:snapToGrid w:val="0"/>
        <w:spacing w:line="360" w:lineRule="auto"/>
        <w:rPr>
          <w:rFonts w:ascii="宋体" w:hAnsi="宋体" w:cs="宋体"/>
          <w:color w:val="auto"/>
          <w:szCs w:val="21"/>
        </w:rPr>
      </w:pPr>
      <w:r>
        <w:rPr>
          <w:rFonts w:ascii="宋体" w:hAnsi="宋体" w:cs="宋体"/>
          <w:color w:val="auto"/>
          <w:szCs w:val="21"/>
        </w:rPr>
        <w:t>4.1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napToGrid w:val="0"/>
        <w:spacing w:line="360" w:lineRule="auto"/>
        <w:rPr>
          <w:rFonts w:ascii="宋体" w:hAnsi="宋体" w:cs="宋体"/>
          <w:color w:val="auto"/>
          <w:szCs w:val="21"/>
        </w:rPr>
      </w:pPr>
      <w:r>
        <w:rPr>
          <w:rFonts w:ascii="宋体" w:hAnsi="宋体" w:cs="宋体"/>
          <w:color w:val="auto"/>
          <w:szCs w:val="21"/>
        </w:rPr>
        <w:t xml:space="preserve">4.2 </w:t>
      </w:r>
      <w:r>
        <w:rPr>
          <w:rFonts w:hint="eastAsia" w:ascii="宋体" w:hAnsi="宋体" w:cs="宋体"/>
          <w:color w:val="auto"/>
          <w:szCs w:val="21"/>
        </w:rPr>
        <w:t>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napToGrid w:val="0"/>
        <w:spacing w:line="360" w:lineRule="auto"/>
        <w:rPr>
          <w:rFonts w:ascii="宋体" w:hAnsi="宋体" w:cs="宋体"/>
          <w:color w:val="auto"/>
          <w:szCs w:val="21"/>
        </w:rPr>
      </w:pPr>
      <w:r>
        <w:rPr>
          <w:rFonts w:ascii="宋体" w:hAnsi="宋体" w:cs="宋体"/>
          <w:color w:val="auto"/>
          <w:szCs w:val="21"/>
        </w:rPr>
        <w:t xml:space="preserve">4.3 </w:t>
      </w:r>
      <w:r>
        <w:rPr>
          <w:rFonts w:hint="eastAsia" w:ascii="宋体" w:hAnsi="宋体" w:cs="宋体"/>
          <w:color w:val="auto"/>
          <w:szCs w:val="21"/>
        </w:rPr>
        <w:t>评标委员会或评标委员会专业评审组成员均应当阅读投标人的澄清，但应独立参考澄清对投标文件进行评审。</w:t>
      </w:r>
    </w:p>
    <w:p>
      <w:pPr>
        <w:snapToGrid w:val="0"/>
        <w:spacing w:line="360" w:lineRule="auto"/>
        <w:rPr>
          <w:rFonts w:ascii="宋体" w:hAnsi="宋体" w:cs="宋体"/>
          <w:color w:val="auto"/>
          <w:szCs w:val="21"/>
        </w:rPr>
      </w:pPr>
      <w:r>
        <w:rPr>
          <w:rFonts w:ascii="宋体" w:hAnsi="宋体" w:cs="宋体"/>
          <w:color w:val="auto"/>
          <w:szCs w:val="21"/>
        </w:rPr>
        <w:t>4.4如果投标文件实质上不响应招标文件的各项要求，评标委员会将按照符合性审查标准予以拒绝，不接受投标人通过修改或撤销其不符合要求的差异或保留，使之成为具有响应性的投标。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rPr>
          <w:rFonts w:ascii="宋体" w:hAnsi="宋体" w:cs="宋体"/>
          <w:bCs/>
          <w:color w:val="auto"/>
          <w:szCs w:val="21"/>
        </w:rPr>
      </w:pPr>
      <w:r>
        <w:rPr>
          <w:rFonts w:ascii="宋体" w:hAnsi="宋体" w:cs="宋体"/>
          <w:bCs/>
          <w:color w:val="auto"/>
          <w:szCs w:val="21"/>
        </w:rPr>
        <w:t>5.定标</w:t>
      </w:r>
    </w:p>
    <w:p>
      <w:pPr>
        <w:snapToGrid w:val="0"/>
        <w:spacing w:line="360" w:lineRule="auto"/>
        <w:rPr>
          <w:rFonts w:ascii="宋体" w:hAnsi="宋体" w:cs="宋体"/>
          <w:color w:val="auto"/>
          <w:szCs w:val="21"/>
        </w:rPr>
      </w:pPr>
      <w:r>
        <w:rPr>
          <w:rFonts w:ascii="宋体" w:hAnsi="宋体" w:cs="宋体"/>
          <w:color w:val="auto"/>
          <w:szCs w:val="21"/>
        </w:rPr>
        <w:t>5.1招标人在收到评标委员会递交的评标报告3日内按规定在</w:t>
      </w:r>
      <w:r>
        <w:rPr>
          <w:rFonts w:hint="eastAsia" w:ascii="宋体" w:hAnsi="宋体" w:cs="宋体"/>
          <w:color w:val="auto"/>
          <w:szCs w:val="21"/>
        </w:rPr>
        <w:t>广州公共资源交易中心网站等媒体进行公示。</w:t>
      </w:r>
    </w:p>
    <w:p>
      <w:pPr>
        <w:snapToGrid w:val="0"/>
        <w:spacing w:line="360" w:lineRule="auto"/>
        <w:rPr>
          <w:rFonts w:ascii="宋体" w:hAnsi="宋体" w:cs="宋体"/>
          <w:color w:val="auto"/>
          <w:szCs w:val="21"/>
        </w:rPr>
      </w:pPr>
      <w:r>
        <w:rPr>
          <w:rFonts w:ascii="宋体" w:hAnsi="宋体" w:cs="宋体"/>
          <w:color w:val="auto"/>
          <w:szCs w:val="21"/>
        </w:rPr>
        <w:t xml:space="preserve">5.2 </w:t>
      </w:r>
      <w:r>
        <w:rPr>
          <w:rFonts w:hint="eastAsia" w:ascii="宋体" w:hAnsi="宋体" w:cs="宋体"/>
          <w:color w:val="auto"/>
          <w:szCs w:val="21"/>
        </w:rPr>
        <w:t>招标人的招标领导小组根据评标报告，最终审定中标人。</w:t>
      </w:r>
    </w:p>
    <w:p>
      <w:pPr>
        <w:snapToGrid w:val="0"/>
        <w:spacing w:line="360" w:lineRule="auto"/>
        <w:rPr>
          <w:rFonts w:ascii="宋体" w:hAnsi="宋体" w:cs="宋体"/>
          <w:color w:val="auto"/>
          <w:szCs w:val="21"/>
        </w:rPr>
      </w:pPr>
      <w:r>
        <w:rPr>
          <w:rFonts w:ascii="宋体" w:hAnsi="宋体" w:cs="宋体"/>
          <w:color w:val="auto"/>
          <w:szCs w:val="21"/>
        </w:rPr>
        <w:t xml:space="preserve">5.3 </w:t>
      </w:r>
      <w:r>
        <w:rPr>
          <w:rFonts w:hint="eastAsia" w:ascii="宋体" w:hAnsi="宋体" w:cs="宋体"/>
          <w:color w:val="auto"/>
          <w:szCs w:val="21"/>
        </w:rPr>
        <w:t>依法必须进行公开招标的项目，招标人应当确定排名第一的中标候选人为中标人。</w:t>
      </w:r>
    </w:p>
    <w:p>
      <w:pPr>
        <w:snapToGrid w:val="0"/>
        <w:spacing w:line="360" w:lineRule="auto"/>
        <w:rPr>
          <w:rFonts w:ascii="宋体" w:hAnsi="宋体" w:cs="宋体"/>
          <w:color w:val="auto"/>
          <w:szCs w:val="21"/>
        </w:rPr>
      </w:pPr>
      <w:r>
        <w:rPr>
          <w:rFonts w:ascii="宋体" w:hAnsi="宋体" w:cs="宋体"/>
          <w:color w:val="auto"/>
          <w:szCs w:val="21"/>
        </w:rPr>
        <w:t>5.4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rPr>
          <w:rFonts w:ascii="宋体" w:hAnsi="宋体" w:eastAsia="宋体" w:cs="宋体"/>
          <w:color w:val="auto"/>
          <w:sz w:val="21"/>
          <w:szCs w:val="21"/>
        </w:rPr>
      </w:pPr>
      <w:bookmarkStart w:id="87" w:name="_Toc14899"/>
      <w:r>
        <w:rPr>
          <w:rFonts w:hint="eastAsia" w:ascii="宋体" w:hAnsi="宋体" w:eastAsia="宋体" w:cs="宋体"/>
          <w:color w:val="auto"/>
          <w:sz w:val="21"/>
          <w:szCs w:val="21"/>
        </w:rPr>
        <w:t>（二）开标评标办法程序和细则</w:t>
      </w:r>
      <w:bookmarkEnd w:id="87"/>
    </w:p>
    <w:p>
      <w:pPr>
        <w:spacing w:line="360" w:lineRule="auto"/>
        <w:rPr>
          <w:rFonts w:ascii="宋体" w:hAnsi="宋体" w:cs="宋体"/>
          <w:bCs/>
          <w:color w:val="auto"/>
          <w:szCs w:val="21"/>
        </w:rPr>
      </w:pPr>
      <w:r>
        <w:rPr>
          <w:rFonts w:ascii="宋体" w:hAnsi="宋体" w:cs="宋体"/>
          <w:bCs/>
          <w:color w:val="auto"/>
          <w:szCs w:val="21"/>
        </w:rPr>
        <w:t>1.开标和评标程序</w:t>
      </w:r>
    </w:p>
    <w:p>
      <w:pPr>
        <w:spacing w:line="360" w:lineRule="auto"/>
        <w:rPr>
          <w:rFonts w:ascii="宋体" w:hAnsi="宋体" w:cs="宋体"/>
          <w:color w:val="auto"/>
          <w:szCs w:val="21"/>
        </w:rPr>
      </w:pPr>
      <w:r>
        <w:rPr>
          <w:rFonts w:ascii="宋体" w:hAnsi="宋体" w:cs="宋体"/>
          <w:color w:val="auto"/>
          <w:szCs w:val="21"/>
        </w:rPr>
        <w:t>1.1投标人递交技术标、经济标投标文件；</w:t>
      </w:r>
    </w:p>
    <w:p>
      <w:pPr>
        <w:spacing w:line="360" w:lineRule="auto"/>
        <w:rPr>
          <w:rFonts w:ascii="宋体" w:hAnsi="宋体" w:cs="宋体"/>
          <w:color w:val="auto"/>
          <w:szCs w:val="21"/>
        </w:rPr>
      </w:pPr>
      <w:r>
        <w:rPr>
          <w:rFonts w:ascii="宋体" w:hAnsi="宋体" w:cs="宋体"/>
          <w:color w:val="auto"/>
          <w:szCs w:val="21"/>
        </w:rPr>
        <w:t>1.2封存经济标投标文件；技术标投标文件公开开标；</w:t>
      </w:r>
    </w:p>
    <w:p>
      <w:pPr>
        <w:spacing w:line="360" w:lineRule="auto"/>
        <w:rPr>
          <w:rFonts w:ascii="宋体" w:hAnsi="宋体" w:cs="宋体"/>
          <w:color w:val="auto"/>
          <w:szCs w:val="21"/>
        </w:rPr>
      </w:pPr>
      <w:r>
        <w:rPr>
          <w:rFonts w:ascii="宋体" w:hAnsi="宋体" w:cs="宋体"/>
          <w:color w:val="auto"/>
          <w:szCs w:val="21"/>
        </w:rPr>
        <w:t>1.3投标资格审查；</w:t>
      </w:r>
    </w:p>
    <w:p>
      <w:pPr>
        <w:spacing w:line="360" w:lineRule="auto"/>
        <w:rPr>
          <w:rFonts w:ascii="宋体" w:hAnsi="宋体" w:cs="宋体"/>
          <w:color w:val="auto"/>
          <w:szCs w:val="21"/>
        </w:rPr>
      </w:pPr>
      <w:r>
        <w:rPr>
          <w:rFonts w:ascii="宋体" w:hAnsi="宋体" w:cs="宋体"/>
          <w:color w:val="auto"/>
          <w:szCs w:val="21"/>
        </w:rPr>
        <w:t xml:space="preserve">1.4技术标投标文件有效性审查； </w:t>
      </w:r>
    </w:p>
    <w:p>
      <w:pPr>
        <w:spacing w:line="360" w:lineRule="auto"/>
        <w:rPr>
          <w:rFonts w:ascii="宋体" w:hAnsi="宋体" w:cs="宋体"/>
          <w:color w:val="auto"/>
          <w:szCs w:val="21"/>
        </w:rPr>
      </w:pPr>
      <w:r>
        <w:rPr>
          <w:rFonts w:ascii="宋体" w:hAnsi="宋体" w:cs="宋体"/>
          <w:color w:val="auto"/>
          <w:szCs w:val="21"/>
        </w:rPr>
        <w:t xml:space="preserve">1.5进行技术标详细审查评分； </w:t>
      </w:r>
    </w:p>
    <w:p>
      <w:pPr>
        <w:spacing w:line="360" w:lineRule="auto"/>
        <w:rPr>
          <w:rFonts w:ascii="宋体" w:hAnsi="宋体" w:cs="宋体"/>
          <w:color w:val="auto"/>
          <w:szCs w:val="21"/>
        </w:rPr>
      </w:pPr>
      <w:r>
        <w:rPr>
          <w:rFonts w:ascii="宋体" w:hAnsi="宋体" w:cs="宋体"/>
          <w:color w:val="auto"/>
          <w:szCs w:val="21"/>
        </w:rPr>
        <w:t xml:space="preserve">1.6对通过技术标有效性审查的经济标投标文件公开开标； </w:t>
      </w:r>
    </w:p>
    <w:p>
      <w:pPr>
        <w:spacing w:line="360" w:lineRule="auto"/>
        <w:rPr>
          <w:rFonts w:ascii="宋体" w:hAnsi="宋体" w:cs="宋体"/>
          <w:color w:val="auto"/>
          <w:szCs w:val="21"/>
        </w:rPr>
      </w:pPr>
      <w:r>
        <w:rPr>
          <w:rFonts w:ascii="宋体" w:hAnsi="宋体" w:cs="宋体"/>
          <w:color w:val="auto"/>
          <w:szCs w:val="21"/>
        </w:rPr>
        <w:t>1.7对经济标投标文件进行有效性审查；</w:t>
      </w:r>
    </w:p>
    <w:p>
      <w:pPr>
        <w:spacing w:line="360" w:lineRule="auto"/>
        <w:rPr>
          <w:rFonts w:ascii="宋体" w:hAnsi="宋体" w:cs="宋体"/>
          <w:color w:val="auto"/>
          <w:szCs w:val="21"/>
        </w:rPr>
      </w:pPr>
      <w:r>
        <w:rPr>
          <w:rFonts w:ascii="宋体" w:hAnsi="宋体" w:cs="宋体"/>
          <w:color w:val="auto"/>
          <w:szCs w:val="21"/>
        </w:rPr>
        <w:t>1.8评标价格核准；</w:t>
      </w:r>
      <w:r>
        <w:rPr>
          <w:rFonts w:hint="eastAsia" w:ascii="宋体" w:hAnsi="宋体" w:cs="宋体"/>
          <w:color w:val="auto"/>
          <w:szCs w:val="21"/>
        </w:rPr>
        <w:t>（投标人评标价以经济标投标函中投标总价的人民币大写金额为基础）</w:t>
      </w:r>
    </w:p>
    <w:p>
      <w:pPr>
        <w:spacing w:line="360" w:lineRule="auto"/>
        <w:rPr>
          <w:rFonts w:ascii="宋体" w:hAnsi="宋体" w:cs="宋体"/>
          <w:color w:val="auto"/>
          <w:szCs w:val="21"/>
        </w:rPr>
      </w:pPr>
      <w:r>
        <w:rPr>
          <w:rFonts w:ascii="宋体" w:hAnsi="宋体" w:cs="宋体"/>
          <w:color w:val="auto"/>
          <w:szCs w:val="21"/>
        </w:rPr>
        <w:t xml:space="preserve">1.9对通过经济投标文件有效性审查的投标文件的评标价进行评分； </w:t>
      </w:r>
    </w:p>
    <w:p>
      <w:pPr>
        <w:spacing w:line="360" w:lineRule="auto"/>
        <w:rPr>
          <w:rFonts w:ascii="宋体" w:hAnsi="宋体" w:cs="宋体"/>
          <w:color w:val="auto"/>
          <w:szCs w:val="21"/>
        </w:rPr>
      </w:pPr>
      <w:r>
        <w:rPr>
          <w:rFonts w:ascii="宋体" w:hAnsi="宋体" w:cs="宋体"/>
          <w:color w:val="auto"/>
          <w:szCs w:val="21"/>
        </w:rPr>
        <w:t>1.10评标委员会汇总技术标与经济标得分，并按照总分从高到低排序；</w:t>
      </w:r>
    </w:p>
    <w:p>
      <w:pPr>
        <w:spacing w:line="360" w:lineRule="auto"/>
        <w:rPr>
          <w:rFonts w:ascii="宋体" w:hAnsi="宋体" w:cs="宋体"/>
          <w:color w:val="auto"/>
          <w:szCs w:val="21"/>
        </w:rPr>
      </w:pPr>
      <w:r>
        <w:rPr>
          <w:rFonts w:ascii="宋体" w:hAnsi="宋体" w:cs="宋体"/>
          <w:color w:val="auto"/>
          <w:szCs w:val="21"/>
        </w:rPr>
        <w:t>1.11评标委员会根据技术标及经济标评审情况编写评标报告，向招标人推荐中标候选人。</w:t>
      </w:r>
    </w:p>
    <w:p>
      <w:pPr>
        <w:spacing w:line="360" w:lineRule="auto"/>
        <w:rPr>
          <w:rFonts w:ascii="宋体" w:hAnsi="宋体" w:cs="宋体"/>
          <w:bCs/>
          <w:color w:val="auto"/>
          <w:szCs w:val="21"/>
        </w:rPr>
      </w:pPr>
      <w:r>
        <w:rPr>
          <w:rFonts w:ascii="宋体" w:hAnsi="宋体" w:cs="宋体"/>
          <w:bCs/>
          <w:color w:val="auto"/>
          <w:szCs w:val="21"/>
        </w:rPr>
        <w:t xml:space="preserve">2. </w:t>
      </w:r>
      <w:r>
        <w:rPr>
          <w:rFonts w:hint="eastAsia" w:ascii="宋体" w:hAnsi="宋体" w:cs="宋体"/>
          <w:bCs/>
          <w:color w:val="auto"/>
          <w:szCs w:val="21"/>
        </w:rPr>
        <w:t>开标细则</w:t>
      </w:r>
    </w:p>
    <w:p>
      <w:pPr>
        <w:snapToGrid w:val="0"/>
        <w:spacing w:line="360" w:lineRule="auto"/>
        <w:rPr>
          <w:rFonts w:ascii="宋体" w:hAnsi="宋体" w:cs="宋体"/>
          <w:color w:val="auto"/>
          <w:szCs w:val="21"/>
        </w:rPr>
      </w:pPr>
      <w:r>
        <w:rPr>
          <w:rFonts w:ascii="宋体" w:hAnsi="宋体" w:cs="宋体"/>
          <w:color w:val="auto"/>
          <w:szCs w:val="21"/>
        </w:rPr>
        <w:t>2.1开标由招标人主持；</w:t>
      </w:r>
    </w:p>
    <w:p>
      <w:pPr>
        <w:snapToGrid w:val="0"/>
        <w:spacing w:line="360" w:lineRule="auto"/>
        <w:rPr>
          <w:rFonts w:ascii="宋体" w:hAnsi="宋体" w:cs="宋体"/>
          <w:color w:val="auto"/>
          <w:szCs w:val="21"/>
        </w:rPr>
      </w:pPr>
      <w:r>
        <w:rPr>
          <w:rFonts w:ascii="宋体" w:hAnsi="宋体" w:cs="宋体"/>
          <w:color w:val="auto"/>
          <w:szCs w:val="21"/>
        </w:rPr>
        <w:t>2.2由投标人或其推选的代表检查投标文件的密封情况，也可以由招标人委托的公证机构检查并公证；</w:t>
      </w:r>
    </w:p>
    <w:p>
      <w:pPr>
        <w:snapToGrid w:val="0"/>
        <w:spacing w:line="360" w:lineRule="auto"/>
        <w:rPr>
          <w:rFonts w:ascii="宋体" w:hAnsi="宋体" w:cs="宋体"/>
          <w:color w:val="auto"/>
          <w:szCs w:val="21"/>
        </w:rPr>
      </w:pPr>
      <w:r>
        <w:rPr>
          <w:rFonts w:ascii="宋体" w:hAnsi="宋体" w:cs="宋体"/>
          <w:color w:val="auto"/>
          <w:szCs w:val="21"/>
        </w:rPr>
        <w:t xml:space="preserve">2.3 </w:t>
      </w:r>
      <w:r>
        <w:rPr>
          <w:rFonts w:hint="eastAsia" w:ascii="宋体" w:hAnsi="宋体" w:cs="宋体"/>
          <w:color w:val="auto"/>
          <w:szCs w:val="21"/>
        </w:rPr>
        <w:t>细则</w:t>
      </w:r>
    </w:p>
    <w:p>
      <w:pPr>
        <w:snapToGrid w:val="0"/>
        <w:spacing w:line="360" w:lineRule="auto"/>
        <w:rPr>
          <w:rFonts w:ascii="宋体" w:hAnsi="宋体" w:cs="宋体"/>
          <w:color w:val="auto"/>
          <w:szCs w:val="21"/>
        </w:rPr>
      </w:pPr>
      <w:r>
        <w:rPr>
          <w:rFonts w:ascii="宋体" w:hAnsi="宋体" w:cs="宋体"/>
          <w:color w:val="auto"/>
          <w:szCs w:val="21"/>
        </w:rPr>
        <w:t>2.3.1投标截止期前，各投标人递交投标文件（包括技术标投标文件、经济标投标文件）至招标文件规定的广州公共资源交易中心投标地点。有关投标文件提交的事项详见</w:t>
      </w:r>
      <w:r>
        <w:rPr>
          <w:rFonts w:hint="eastAsia" w:ascii="宋体" w:hAnsi="宋体" w:cs="宋体"/>
          <w:color w:val="auto"/>
          <w:szCs w:val="21"/>
          <w:u w:val="single"/>
        </w:rPr>
        <w:t>第Ⅰ卷</w:t>
      </w:r>
      <w:r>
        <w:rPr>
          <w:rFonts w:hint="eastAsia" w:ascii="宋体" w:hAnsi="宋体" w:cs="宋体"/>
          <w:color w:val="auto"/>
          <w:szCs w:val="21"/>
        </w:rPr>
        <w:t>投标须知。</w:t>
      </w:r>
    </w:p>
    <w:p>
      <w:pPr>
        <w:snapToGrid w:val="0"/>
        <w:spacing w:line="360" w:lineRule="auto"/>
        <w:rPr>
          <w:rFonts w:ascii="宋体" w:hAnsi="宋体" w:cs="宋体"/>
          <w:color w:val="auto"/>
          <w:szCs w:val="21"/>
        </w:rPr>
      </w:pPr>
      <w:r>
        <w:rPr>
          <w:rFonts w:ascii="宋体" w:hAnsi="宋体" w:cs="宋体"/>
          <w:color w:val="auto"/>
          <w:szCs w:val="21"/>
        </w:rPr>
        <w:t>2.3.2先开技术标，经济标封存在广州公共资源交易中心封标室；</w:t>
      </w:r>
    </w:p>
    <w:p>
      <w:pPr>
        <w:snapToGrid w:val="0"/>
        <w:spacing w:line="360" w:lineRule="auto"/>
        <w:rPr>
          <w:rFonts w:ascii="宋体" w:hAnsi="宋体" w:cs="宋体"/>
          <w:color w:val="auto"/>
          <w:szCs w:val="21"/>
        </w:rPr>
      </w:pPr>
      <w:r>
        <w:rPr>
          <w:rFonts w:ascii="宋体" w:hAnsi="宋体" w:cs="宋体"/>
          <w:color w:val="auto"/>
          <w:szCs w:val="21"/>
        </w:rPr>
        <w:t>2.3.3在开启经济标时，对通过资格审查且通过技术标有效性审查的投标人开启其经济标投标文件。</w:t>
      </w:r>
    </w:p>
    <w:p>
      <w:pPr>
        <w:spacing w:line="360" w:lineRule="auto"/>
        <w:rPr>
          <w:rFonts w:ascii="宋体" w:hAnsi="宋体" w:cs="宋体"/>
          <w:color w:val="auto"/>
          <w:szCs w:val="21"/>
        </w:rPr>
      </w:pPr>
      <w:r>
        <w:rPr>
          <w:rFonts w:ascii="宋体" w:hAnsi="宋体" w:cs="宋体"/>
          <w:color w:val="auto"/>
          <w:szCs w:val="21"/>
        </w:rPr>
        <w:t>2.4经确认无误后，由招标人或招标代理机构在交易中心见证下当众拆封，宣读下列内容，并予以记录，记录提交评标委员会评审：</w:t>
      </w:r>
    </w:p>
    <w:p>
      <w:pPr>
        <w:spacing w:line="360" w:lineRule="auto"/>
        <w:rPr>
          <w:rFonts w:ascii="宋体" w:hAnsi="宋体" w:cs="宋体"/>
          <w:color w:val="auto"/>
          <w:szCs w:val="21"/>
        </w:rPr>
      </w:pPr>
      <w:r>
        <w:rPr>
          <w:rFonts w:ascii="宋体" w:hAnsi="宋体" w:cs="宋体"/>
          <w:color w:val="auto"/>
          <w:szCs w:val="21"/>
        </w:rPr>
        <w:t>2.4.1技术标开标时，宣读a、投标人名称；b、标书密封情况；c、法定代表人证明及授权委托；d、投标保证金等主要内容以及开标记录表中的其他必要内容。</w:t>
      </w:r>
    </w:p>
    <w:p>
      <w:pPr>
        <w:snapToGrid w:val="0"/>
        <w:spacing w:line="360" w:lineRule="auto"/>
        <w:rPr>
          <w:rFonts w:ascii="宋体" w:hAnsi="宋体" w:cs="宋体"/>
          <w:color w:val="auto"/>
          <w:szCs w:val="21"/>
        </w:rPr>
      </w:pPr>
      <w:r>
        <w:rPr>
          <w:rFonts w:ascii="宋体" w:hAnsi="宋体" w:cs="宋体"/>
          <w:color w:val="auto"/>
          <w:szCs w:val="21"/>
        </w:rPr>
        <w:t>2.4.2招标人依次开启通过技术标有效性审查的投标文件经济标。开标时，宣读a、投标人名称；b、标书密封情况；c、投标报价等主要内容以及开标记录表中的其他必要内容。投标报价以数字和文字两种方式表述的，应宣读文字表述的投标报价。</w:t>
      </w:r>
    </w:p>
    <w:p>
      <w:pPr>
        <w:snapToGrid w:val="0"/>
        <w:spacing w:line="360" w:lineRule="auto"/>
        <w:rPr>
          <w:rFonts w:ascii="宋体" w:hAnsi="宋体" w:cs="宋体"/>
          <w:color w:val="auto"/>
          <w:szCs w:val="21"/>
        </w:rPr>
      </w:pPr>
      <w:r>
        <w:rPr>
          <w:rFonts w:ascii="宋体" w:hAnsi="宋体" w:cs="宋体"/>
          <w:color w:val="auto"/>
          <w:szCs w:val="21"/>
        </w:rPr>
        <w:t>2.5招标人对开标过程进行记录，并存档备查，投标人在技术标开标记录上签字。唱标结束后如未签字确认，则视为对开标结果无异议。</w:t>
      </w:r>
    </w:p>
    <w:p>
      <w:pPr>
        <w:spacing w:line="360" w:lineRule="auto"/>
        <w:rPr>
          <w:rFonts w:ascii="宋体" w:hAnsi="宋体" w:cs="宋体"/>
          <w:color w:val="auto"/>
          <w:szCs w:val="21"/>
        </w:rPr>
      </w:pPr>
      <w:r>
        <w:rPr>
          <w:rFonts w:ascii="宋体" w:hAnsi="宋体" w:cs="宋体"/>
          <w:color w:val="auto"/>
          <w:szCs w:val="21"/>
        </w:rPr>
        <w:t>2.6招标人将上述符合要求的投标文件，送至评标委员会进行评审。</w:t>
      </w:r>
    </w:p>
    <w:p>
      <w:pPr>
        <w:spacing w:line="360" w:lineRule="auto"/>
        <w:rPr>
          <w:rFonts w:ascii="宋体" w:hAnsi="宋体" w:cs="宋体"/>
          <w:bCs/>
          <w:color w:val="auto"/>
          <w:szCs w:val="21"/>
        </w:rPr>
      </w:pPr>
      <w:r>
        <w:rPr>
          <w:rFonts w:ascii="宋体" w:hAnsi="宋体" w:cs="宋体"/>
          <w:bCs/>
          <w:color w:val="auto"/>
          <w:szCs w:val="21"/>
        </w:rPr>
        <w:t xml:space="preserve">3. </w:t>
      </w:r>
      <w:r>
        <w:rPr>
          <w:rFonts w:hint="eastAsia" w:ascii="宋体" w:hAnsi="宋体" w:cs="宋体"/>
          <w:bCs/>
          <w:color w:val="auto"/>
          <w:szCs w:val="21"/>
        </w:rPr>
        <w:t>评标细则</w:t>
      </w:r>
    </w:p>
    <w:p>
      <w:pPr>
        <w:spacing w:line="360" w:lineRule="auto"/>
        <w:rPr>
          <w:rFonts w:ascii="宋体" w:hAnsi="宋体" w:cs="宋体"/>
          <w:color w:val="auto"/>
          <w:szCs w:val="21"/>
        </w:rPr>
      </w:pPr>
      <w:r>
        <w:rPr>
          <w:rFonts w:ascii="宋体" w:hAnsi="宋体" w:cs="宋体"/>
          <w:color w:val="auto"/>
          <w:szCs w:val="21"/>
        </w:rPr>
        <w:t>3.1招标人依法组建评标委员会。</w:t>
      </w:r>
    </w:p>
    <w:p>
      <w:pPr>
        <w:tabs>
          <w:tab w:val="left" w:pos="720"/>
        </w:tabs>
        <w:spacing w:line="360" w:lineRule="auto"/>
        <w:rPr>
          <w:rFonts w:ascii="宋体" w:hAnsi="宋体" w:cs="宋体"/>
          <w:color w:val="auto"/>
          <w:szCs w:val="21"/>
        </w:rPr>
      </w:pPr>
      <w:r>
        <w:rPr>
          <w:rFonts w:ascii="宋体" w:hAnsi="宋体" w:cs="宋体"/>
          <w:color w:val="auto"/>
          <w:szCs w:val="21"/>
        </w:rPr>
        <w:t>3.2技术标评审</w:t>
      </w:r>
    </w:p>
    <w:p>
      <w:pPr>
        <w:tabs>
          <w:tab w:val="left" w:pos="720"/>
        </w:tabs>
        <w:spacing w:line="360" w:lineRule="auto"/>
        <w:rPr>
          <w:rFonts w:ascii="宋体" w:hAnsi="宋体" w:cs="宋体"/>
          <w:color w:val="auto"/>
          <w:szCs w:val="21"/>
        </w:rPr>
      </w:pPr>
      <w:r>
        <w:rPr>
          <w:rFonts w:ascii="宋体" w:hAnsi="宋体" w:cs="宋体"/>
          <w:color w:val="auto"/>
          <w:szCs w:val="21"/>
        </w:rPr>
        <w:t>3.2.1投标资格审查：投标文件中完全符合本办法</w:t>
      </w:r>
      <w:r>
        <w:rPr>
          <w:rFonts w:hint="eastAsia" w:ascii="宋体" w:hAnsi="宋体" w:cs="宋体"/>
          <w:color w:val="auto"/>
          <w:szCs w:val="21"/>
          <w:u w:val="single"/>
        </w:rPr>
        <w:t>附件一</w:t>
      </w:r>
      <w:r>
        <w:rPr>
          <w:rFonts w:hint="eastAsia" w:ascii="宋体" w:hAnsi="宋体" w:cs="宋体"/>
          <w:color w:val="auto"/>
          <w:szCs w:val="21"/>
        </w:rPr>
        <w:t>《资格审查表》中情形的，为资格审查通过，否则视为资格审查不通过，经评标委员会技术标评审组认定后，资格审查不通过的单位不进入后续评审阶段。如评标委员会技术标评审组成员的评审意见不一致时，以评审组过半数成员的意见作为评审组对该情形的认定结论。</w:t>
      </w:r>
    </w:p>
    <w:p>
      <w:pPr>
        <w:tabs>
          <w:tab w:val="left" w:pos="720"/>
        </w:tabs>
        <w:spacing w:line="360" w:lineRule="auto"/>
        <w:rPr>
          <w:rFonts w:ascii="宋体" w:hAnsi="宋体" w:cs="宋体"/>
          <w:color w:val="auto"/>
          <w:szCs w:val="21"/>
        </w:rPr>
      </w:pPr>
      <w:r>
        <w:rPr>
          <w:rFonts w:ascii="宋体" w:hAnsi="宋体" w:cs="宋体"/>
          <w:color w:val="auto"/>
          <w:szCs w:val="21"/>
        </w:rPr>
        <w:t>3.2.2技术标的有效性审查：投标文件中完全符合本办法</w:t>
      </w:r>
      <w:r>
        <w:rPr>
          <w:rFonts w:hint="eastAsia" w:ascii="宋体" w:hAnsi="宋体" w:cs="宋体"/>
          <w:color w:val="auto"/>
          <w:szCs w:val="21"/>
          <w:u w:val="single"/>
        </w:rPr>
        <w:t>附件二</w:t>
      </w:r>
      <w:r>
        <w:rPr>
          <w:rFonts w:hint="eastAsia" w:ascii="宋体" w:hAnsi="宋体" w:cs="宋体"/>
          <w:color w:val="auto"/>
          <w:szCs w:val="21"/>
        </w:rPr>
        <w:t>《</w:t>
      </w:r>
      <w:r>
        <w:rPr>
          <w:rFonts w:hint="eastAsia" w:ascii="宋体" w:hAnsi="宋体" w:cs="宋体"/>
          <w:bCs/>
          <w:color w:val="auto"/>
          <w:szCs w:val="21"/>
        </w:rPr>
        <w:t>技术标有效性审查表</w:t>
      </w:r>
      <w:r>
        <w:rPr>
          <w:rFonts w:hint="eastAsia" w:ascii="宋体" w:hAnsi="宋体" w:cs="宋体"/>
          <w:color w:val="auto"/>
          <w:szCs w:val="21"/>
        </w:rPr>
        <w:t>》中情形的，为技术标有效性审查通过；否则视为技术标有效性审查不通过，经评标委员会技术标评审组认定后，技术标有效性审查不通过的单位不进入后续评审阶段。如评标委员会技术标评审组成员的评审意见不一致时，以评审组过半数成员的意见作为评审组对该情形的认定结论。</w:t>
      </w:r>
    </w:p>
    <w:p>
      <w:pPr>
        <w:tabs>
          <w:tab w:val="left" w:pos="720"/>
        </w:tabs>
        <w:spacing w:line="360" w:lineRule="auto"/>
        <w:rPr>
          <w:rFonts w:ascii="宋体" w:hAnsi="宋体" w:cs="宋体"/>
          <w:color w:val="auto"/>
          <w:szCs w:val="21"/>
        </w:rPr>
      </w:pPr>
      <w:r>
        <w:rPr>
          <w:rFonts w:ascii="宋体" w:hAnsi="宋体" w:cs="宋体"/>
          <w:color w:val="auto"/>
          <w:szCs w:val="21"/>
        </w:rPr>
        <w:t>3.2.3技术标详细审查评分：评标委员会技术标评审组依据“先定档，后评分”的原则，进行定档，然后按照本办</w:t>
      </w:r>
      <w:r>
        <w:rPr>
          <w:rFonts w:hint="eastAsia" w:ascii="宋体" w:hAnsi="宋体" w:cs="宋体"/>
          <w:color w:val="auto"/>
          <w:szCs w:val="21"/>
          <w:u w:val="single"/>
        </w:rPr>
        <w:t>法技术标评审标准</w:t>
      </w:r>
      <w:r>
        <w:rPr>
          <w:rFonts w:hint="eastAsia" w:ascii="宋体" w:hAnsi="宋体" w:cs="宋体"/>
          <w:color w:val="auto"/>
          <w:szCs w:val="21"/>
        </w:rPr>
        <w:t>，使用本办法</w:t>
      </w:r>
      <w:r>
        <w:rPr>
          <w:rFonts w:hint="eastAsia" w:ascii="宋体" w:hAnsi="宋体" w:cs="宋体"/>
          <w:color w:val="auto"/>
          <w:szCs w:val="21"/>
          <w:u w:val="single"/>
        </w:rPr>
        <w:t>附件三</w:t>
      </w:r>
      <w:r>
        <w:rPr>
          <w:rFonts w:hint="eastAsia" w:ascii="宋体" w:hAnsi="宋体" w:cs="宋体"/>
          <w:color w:val="auto"/>
          <w:szCs w:val="21"/>
        </w:rPr>
        <w:t>《技术标详细审查评分表》对通过技术标有效性审查的投标文件技术标进行详细审查，评出技术分。</w:t>
      </w:r>
    </w:p>
    <w:p>
      <w:pPr>
        <w:tabs>
          <w:tab w:val="left" w:pos="720"/>
        </w:tabs>
        <w:spacing w:line="360" w:lineRule="auto"/>
        <w:rPr>
          <w:rFonts w:ascii="宋体" w:hAnsi="宋体" w:cs="宋体"/>
          <w:color w:val="auto"/>
          <w:szCs w:val="21"/>
        </w:rPr>
      </w:pPr>
      <w:r>
        <w:rPr>
          <w:rFonts w:ascii="宋体" w:hAnsi="宋体" w:cs="宋体"/>
          <w:color w:val="auto"/>
          <w:szCs w:val="21"/>
        </w:rPr>
        <w:t>3.3经济标的评审</w:t>
      </w:r>
    </w:p>
    <w:p>
      <w:pPr>
        <w:tabs>
          <w:tab w:val="left" w:pos="720"/>
        </w:tabs>
        <w:spacing w:line="360" w:lineRule="auto"/>
        <w:rPr>
          <w:rFonts w:ascii="宋体" w:hAnsi="宋体" w:cs="宋体"/>
          <w:color w:val="auto"/>
          <w:szCs w:val="21"/>
        </w:rPr>
      </w:pPr>
      <w:r>
        <w:rPr>
          <w:rFonts w:ascii="宋体" w:hAnsi="宋体" w:cs="宋体"/>
          <w:color w:val="auto"/>
          <w:szCs w:val="21"/>
        </w:rPr>
        <w:t>3.3.1经济标的有效性审查：通过技术标有效性审查的投标文件中完全符合本办法</w:t>
      </w:r>
      <w:r>
        <w:rPr>
          <w:rFonts w:hint="eastAsia" w:ascii="宋体" w:hAnsi="宋体" w:cs="宋体"/>
          <w:color w:val="auto"/>
          <w:szCs w:val="21"/>
          <w:u w:val="single"/>
        </w:rPr>
        <w:t>附件四</w:t>
      </w:r>
      <w:r>
        <w:rPr>
          <w:rFonts w:hint="eastAsia" w:ascii="宋体" w:hAnsi="宋体" w:cs="宋体"/>
          <w:color w:val="auto"/>
          <w:szCs w:val="21"/>
        </w:rPr>
        <w:t>《经济标有效性审查表》中情形的，为经济标有效性审查通过，否则视为经济标有效性审查不通过。经评标委员会经济标评审组认定后，经济标有效性审查不通过的单位不进入后续评审阶段。如评标委员会经济标评审组成员的评审意见不一致时，以经济专家组过半数成员的意见作为经济专家组对该情形的认定结论。</w:t>
      </w:r>
    </w:p>
    <w:p>
      <w:pPr>
        <w:tabs>
          <w:tab w:val="left" w:pos="720"/>
        </w:tabs>
        <w:spacing w:line="360" w:lineRule="auto"/>
        <w:rPr>
          <w:rFonts w:ascii="宋体" w:hAnsi="宋体" w:cs="宋体"/>
          <w:color w:val="auto"/>
          <w:szCs w:val="21"/>
        </w:rPr>
      </w:pPr>
      <w:r>
        <w:rPr>
          <w:rFonts w:ascii="宋体" w:hAnsi="宋体" w:cs="宋体"/>
          <w:color w:val="auto"/>
          <w:szCs w:val="21"/>
        </w:rPr>
        <w:t>3.3.2经济标的澄清</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专家在评审中发现投标报价中有疑问或问题时，可向投标人提出澄清，但这种澄清不应使其他投标人处于不公平的地位，澄清结果应以书面形式答复。</w:t>
      </w:r>
    </w:p>
    <w:p>
      <w:pPr>
        <w:tabs>
          <w:tab w:val="left" w:pos="720"/>
        </w:tabs>
        <w:spacing w:line="360" w:lineRule="auto"/>
        <w:rPr>
          <w:rFonts w:ascii="宋体" w:hAnsi="宋体" w:cs="宋体"/>
          <w:color w:val="auto"/>
          <w:szCs w:val="21"/>
        </w:rPr>
      </w:pPr>
      <w:r>
        <w:rPr>
          <w:rFonts w:ascii="宋体" w:hAnsi="宋体" w:cs="宋体"/>
          <w:color w:val="auto"/>
          <w:szCs w:val="21"/>
        </w:rPr>
        <w:t>3.3.3投标报价的核准</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评审以投标总价（以经济标投标函中投标总价的人民币大写金额为基础）、投标人提交的价格清单作为依据，对投标人的报价进行核准，核准的原则如下：</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a)如果数字表示的金额和用文字表示的金额不一致时，应以文字表示的金额为准；</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经算术复核的中标候选人报价与其投标报价不一致时，按就低不就高原则确定其最终报价；</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b)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c)当单价与数量的乘积大于合价，以合价为准，修改单价；</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d)当合价、金额累加错误时，按就低不就高原则，如果累加修正值小于原累加值，则按累加修正值；如果累加修正值大于原累加值，则按原累加值；</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①工程量比招标文件少、单位错误时，以招标文件的工程量或单位为准，合价不变，修改综合单价。工程量比招标文件多或单位比招标文件大时，工程量、单位、综合单价及合价均不作修改；②项目漏项的，则该漏项费用视为已分配在其他项目中，不再修改；③工程量清单中的综合单价与综合单价分析表中的综合单价不一致时，以价低者为准；④工程量计价表中的项目名称或计量单位或工程数量缺省或不填时，由评委以招标文件中招标人工程量清单为准进行修正；若缺省或不填项目名称，则该项按增项处理；⑤项目增项的，不予修改；⑥其它招标文件规定需要修改的，均以就低不就高原则进行修改。</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e)按就低不就高原则，当修正后报价小于原报价，其最终投标报价为修正后报价，修正后的工程量清单作为签订合同及结算的依据；当修正后报价大于原报价，其最终报价为原报价，即以原报价及原工程量清单作为签订合同的依据，同时须在合同上注明修正后报价与原报价的差额，在进度款计量支付及结算时按“差额/修正后报价×100%”的比例扣除。</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f)按上述修正错误的原则及方法调整或修正投标文件的投标报价，调整后的投标报价对投标人起约束作用。如果投标人不接受修正后的报价，则取消其投标资格，并且其投标保证金也将不予退还。</w:t>
      </w:r>
    </w:p>
    <w:p>
      <w:pPr>
        <w:tabs>
          <w:tab w:val="left" w:pos="720"/>
        </w:tabs>
        <w:spacing w:line="360" w:lineRule="auto"/>
        <w:rPr>
          <w:rFonts w:ascii="宋体" w:hAnsi="宋体" w:cs="宋体"/>
          <w:color w:val="auto"/>
          <w:szCs w:val="21"/>
        </w:rPr>
      </w:pPr>
      <w:r>
        <w:rPr>
          <w:rFonts w:ascii="宋体" w:hAnsi="宋体" w:cs="宋体"/>
          <w:color w:val="auto"/>
          <w:szCs w:val="21"/>
        </w:rPr>
        <w:t>3.3.4确定评标参考价(PC)</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按如下规定计算评标参考价</w:t>
      </w:r>
      <w:r>
        <w:rPr>
          <w:rFonts w:ascii="宋体" w:hAnsi="宋体" w:cs="宋体"/>
          <w:color w:val="auto"/>
          <w:szCs w:val="21"/>
        </w:rPr>
        <w:t>(PC)。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a)当有效报价超过9家（含9家）时，去掉两个最高价和两个最低价，取余下的算术平均值作为评标参考价（PC）；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b)当有效报价超过5家（含5家）且少于9家时，去掉一个最高价和一个最低价，取余下</w:t>
      </w:r>
      <w:r>
        <w:rPr>
          <w:rFonts w:hint="eastAsia" w:ascii="宋体" w:hAnsi="宋体" w:cs="宋体"/>
          <w:color w:val="auto"/>
          <w:szCs w:val="21"/>
        </w:rPr>
        <w:t>投标价的算术平均值作为评标参考价（</w:t>
      </w:r>
      <w:r>
        <w:rPr>
          <w:rFonts w:ascii="宋体" w:hAnsi="宋体" w:cs="宋体"/>
          <w:color w:val="auto"/>
          <w:szCs w:val="21"/>
        </w:rPr>
        <w:t>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c)</w:t>
      </w:r>
      <w:r>
        <w:rPr>
          <w:rFonts w:hint="eastAsia" w:ascii="宋体" w:hAnsi="宋体" w:cs="宋体"/>
          <w:color w:val="auto"/>
          <w:szCs w:val="21"/>
        </w:rPr>
        <w:t>当有效报价少于</w:t>
      </w:r>
      <w:r>
        <w:rPr>
          <w:rFonts w:ascii="宋体" w:hAnsi="宋体" w:cs="宋体"/>
          <w:color w:val="auto"/>
          <w:szCs w:val="21"/>
        </w:rPr>
        <w:t>5家时，</w:t>
      </w:r>
      <w:r>
        <w:rPr>
          <w:rFonts w:hint="eastAsia" w:ascii="宋体" w:hAnsi="宋体" w:cs="宋体"/>
          <w:color w:val="auto"/>
          <w:szCs w:val="21"/>
        </w:rPr>
        <w:t>则取全部的算术平均值为评标参考价(PC)。</w:t>
      </w:r>
    </w:p>
    <w:p>
      <w:pPr>
        <w:tabs>
          <w:tab w:val="left" w:pos="720"/>
        </w:tabs>
        <w:spacing w:line="360" w:lineRule="auto"/>
        <w:rPr>
          <w:rFonts w:ascii="宋体" w:hAnsi="宋体" w:cs="宋体"/>
          <w:color w:val="auto"/>
          <w:szCs w:val="21"/>
        </w:rPr>
      </w:pPr>
      <w:r>
        <w:rPr>
          <w:rFonts w:ascii="宋体" w:hAnsi="宋体" w:cs="宋体"/>
          <w:color w:val="auto"/>
          <w:szCs w:val="21"/>
        </w:rPr>
        <w:t>3.3.5经济标评分</w:t>
      </w:r>
    </w:p>
    <w:p>
      <w:pPr>
        <w:tabs>
          <w:tab w:val="left" w:pos="720"/>
        </w:tabs>
        <w:spacing w:line="360" w:lineRule="auto"/>
        <w:rPr>
          <w:rFonts w:ascii="宋体" w:hAnsi="宋体" w:cs="宋体"/>
          <w:color w:val="auto"/>
          <w:szCs w:val="21"/>
        </w:rPr>
      </w:pPr>
      <w:r>
        <w:rPr>
          <w:rFonts w:hint="eastAsia" w:ascii="宋体" w:hAnsi="宋体" w:cs="宋体"/>
          <w:color w:val="auto"/>
          <w:szCs w:val="21"/>
        </w:rPr>
        <w:t>经济标评分</w:t>
      </w:r>
    </w:p>
    <w:p>
      <w:pPr>
        <w:tabs>
          <w:tab w:val="left" w:pos="720"/>
        </w:tabs>
        <w:spacing w:line="360" w:lineRule="auto"/>
        <w:ind w:left="420"/>
        <w:rPr>
          <w:rFonts w:ascii="宋体" w:hAnsi="宋体" w:cs="宋体"/>
          <w:color w:val="auto"/>
          <w:szCs w:val="21"/>
        </w:rPr>
      </w:pPr>
      <w:r>
        <w:rPr>
          <w:rFonts w:ascii="宋体" w:hAnsi="宋体" w:cs="宋体"/>
          <w:color w:val="auto"/>
          <w:szCs w:val="21"/>
        </w:rPr>
        <w:t>a)有效报价计分原则</w:t>
      </w:r>
    </w:p>
    <w:p>
      <w:p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评标价（</w:t>
      </w:r>
      <w:r>
        <w:rPr>
          <w:rFonts w:ascii="宋体" w:hAnsi="宋体" w:cs="宋体"/>
          <w:color w:val="auto"/>
          <w:szCs w:val="21"/>
        </w:rPr>
        <w:t>PT）等于评标参考价（PC）为最佳有效报价，经济标评分为100分。</w:t>
      </w:r>
      <w:r>
        <w:rPr>
          <w:rFonts w:hint="eastAsia" w:ascii="宋体" w:hAnsi="宋体" w:cs="宋体"/>
          <w:color w:val="auto"/>
          <w:szCs w:val="21"/>
        </w:rPr>
        <w:t>评标价（</w:t>
      </w:r>
      <w:r>
        <w:rPr>
          <w:rFonts w:ascii="宋体" w:hAnsi="宋体" w:cs="宋体"/>
          <w:color w:val="auto"/>
          <w:szCs w:val="21"/>
        </w:rPr>
        <w:t>PT）与评标参考价（PC）的差值（PT-PC）与评标参考价（PC）比值（X）＜0时，则按每递增一个百分点</w:t>
      </w:r>
      <w:r>
        <w:rPr>
          <w:rFonts w:hint="eastAsia" w:ascii="宋体" w:hAnsi="宋体" w:cs="宋体"/>
          <w:color w:val="auto"/>
          <w:szCs w:val="21"/>
        </w:rPr>
        <w:t>扣</w:t>
      </w:r>
      <w:r>
        <w:rPr>
          <w:rFonts w:ascii="宋体" w:hAnsi="宋体" w:cs="宋体"/>
          <w:color w:val="auto"/>
          <w:szCs w:val="21"/>
        </w:rPr>
        <w:t>0.5分的</w:t>
      </w:r>
      <w:r>
        <w:rPr>
          <w:rFonts w:hint="eastAsia" w:ascii="宋体" w:hAnsi="宋体" w:cs="宋体"/>
          <w:color w:val="auto"/>
          <w:szCs w:val="21"/>
        </w:rPr>
        <w:t>比例扣减得分；比值（</w:t>
      </w:r>
      <w:r>
        <w:rPr>
          <w:rFonts w:ascii="宋体" w:hAnsi="宋体" w:cs="宋体"/>
          <w:color w:val="auto"/>
          <w:szCs w:val="21"/>
        </w:rPr>
        <w:t>X）＞0时，则按每递增一个百分点</w:t>
      </w:r>
      <w:r>
        <w:rPr>
          <w:rFonts w:hint="eastAsia" w:ascii="宋体" w:hAnsi="宋体" w:cs="宋体"/>
          <w:color w:val="auto"/>
          <w:szCs w:val="21"/>
        </w:rPr>
        <w:t>扣</w:t>
      </w:r>
      <w:r>
        <w:rPr>
          <w:rFonts w:ascii="宋体" w:hAnsi="宋体" w:cs="宋体"/>
          <w:color w:val="auto"/>
          <w:szCs w:val="21"/>
        </w:rPr>
        <w:t>1分</w:t>
      </w:r>
      <w:r>
        <w:rPr>
          <w:rFonts w:hint="eastAsia" w:ascii="宋体" w:hAnsi="宋体" w:cs="宋体"/>
          <w:color w:val="auto"/>
          <w:szCs w:val="21"/>
        </w:rPr>
        <w:t>的比例扣减得分。最多扣至</w:t>
      </w:r>
      <w:r>
        <w:rPr>
          <w:rFonts w:ascii="宋体" w:hAnsi="宋体" w:cs="宋体"/>
          <w:color w:val="auto"/>
          <w:szCs w:val="21"/>
        </w:rPr>
        <w:t>0分。</w:t>
      </w:r>
    </w:p>
    <w:p>
      <w:pPr>
        <w:tabs>
          <w:tab w:val="left" w:pos="720"/>
        </w:tabs>
        <w:spacing w:line="360" w:lineRule="auto"/>
        <w:ind w:left="420"/>
        <w:rPr>
          <w:rFonts w:ascii="宋体" w:hAnsi="宋体" w:cs="宋体"/>
          <w:color w:val="auto"/>
          <w:szCs w:val="21"/>
        </w:rPr>
      </w:pPr>
      <w:r>
        <w:rPr>
          <w:rFonts w:ascii="宋体" w:hAnsi="宋体" w:cs="宋体"/>
          <w:color w:val="auto"/>
          <w:szCs w:val="21"/>
        </w:rPr>
        <w:t xml:space="preserve">X= </w:t>
      </w:r>
      <w:r>
        <w:rPr>
          <w:rFonts w:hint="eastAsia" w:ascii="宋体" w:hAnsi="宋体" w:cs="宋体"/>
          <w:color w:val="auto"/>
          <w:szCs w:val="21"/>
        </w:rPr>
        <w:t>（</w:t>
      </w:r>
      <w:r>
        <w:rPr>
          <w:rFonts w:ascii="宋体" w:hAnsi="宋体" w:cs="宋体"/>
          <w:color w:val="auto"/>
          <w:szCs w:val="21"/>
        </w:rPr>
        <w:t>PT-PC）/PC</w:t>
      </w:r>
    </w:p>
    <w:p>
      <w:pPr>
        <w:tabs>
          <w:tab w:val="left" w:pos="720"/>
        </w:tabs>
        <w:spacing w:line="360" w:lineRule="auto"/>
        <w:ind w:firstLine="420" w:firstLineChars="200"/>
        <w:rPr>
          <w:rFonts w:ascii="宋体" w:hAnsi="宋体" w:cs="宋体"/>
          <w:color w:val="auto"/>
          <w:szCs w:val="21"/>
        </w:rPr>
      </w:pPr>
      <w:r>
        <w:rPr>
          <w:rFonts w:ascii="宋体" w:hAnsi="宋体" w:cs="宋体"/>
          <w:color w:val="auto"/>
          <w:szCs w:val="21"/>
        </w:rPr>
        <w:t>b)依据以上原则计算各有效报价的经济标评分，保留小数点后二位，第三位小数采取四舍五入。</w:t>
      </w:r>
    </w:p>
    <w:p>
      <w:pPr>
        <w:tabs>
          <w:tab w:val="left" w:pos="720"/>
        </w:tabs>
        <w:spacing w:line="360" w:lineRule="auto"/>
        <w:rPr>
          <w:rFonts w:ascii="宋体" w:hAnsi="宋体" w:cs="宋体"/>
          <w:color w:val="auto"/>
          <w:szCs w:val="21"/>
        </w:rPr>
      </w:pPr>
      <w:r>
        <w:rPr>
          <w:rFonts w:ascii="宋体" w:hAnsi="宋体" w:cs="宋体"/>
          <w:color w:val="auto"/>
          <w:szCs w:val="21"/>
        </w:rPr>
        <w:t>3.3.7评标委员会按照“总分＝</w:t>
      </w:r>
      <w:r>
        <w:rPr>
          <w:rFonts w:hint="eastAsia" w:ascii="宋体" w:hAnsi="宋体" w:cs="宋体"/>
          <w:color w:val="auto"/>
          <w:szCs w:val="21"/>
        </w:rPr>
        <w:t>技术标评分×</w:t>
      </w:r>
      <w:r>
        <w:rPr>
          <w:rFonts w:ascii="宋体" w:hAnsi="宋体" w:cs="宋体"/>
          <w:color w:val="auto"/>
          <w:szCs w:val="21"/>
          <w:u w:val="single"/>
        </w:rPr>
        <w:t xml:space="preserve"> 70 % </w:t>
      </w:r>
      <w:r>
        <w:rPr>
          <w:rFonts w:hint="eastAsia" w:ascii="宋体" w:hAnsi="宋体" w:cs="宋体"/>
          <w:color w:val="auto"/>
          <w:szCs w:val="21"/>
        </w:rPr>
        <w:t>＋经济标评分×</w:t>
      </w:r>
      <w:r>
        <w:rPr>
          <w:rFonts w:ascii="宋体" w:hAnsi="宋体" w:cs="宋体"/>
          <w:color w:val="auto"/>
          <w:szCs w:val="21"/>
          <w:u w:val="single"/>
        </w:rPr>
        <w:t xml:space="preserve"> 30 %</w:t>
      </w:r>
      <w:r>
        <w:rPr>
          <w:rFonts w:hint="eastAsia" w:ascii="宋体" w:hAnsi="宋体" w:cs="宋体"/>
          <w:color w:val="auto"/>
          <w:szCs w:val="21"/>
        </w:rPr>
        <w:t>”的公式，计算各有效投标文件的总分（详见</w:t>
      </w:r>
      <w:r>
        <w:rPr>
          <w:rFonts w:hint="eastAsia" w:ascii="宋体" w:hAnsi="宋体" w:cs="宋体"/>
          <w:color w:val="auto"/>
          <w:szCs w:val="21"/>
          <w:u w:val="single"/>
        </w:rPr>
        <w:t>附件六</w:t>
      </w:r>
      <w:r>
        <w:rPr>
          <w:rFonts w:hint="eastAsia" w:ascii="宋体" w:hAnsi="宋体" w:cs="宋体"/>
          <w:color w:val="auto"/>
          <w:szCs w:val="21"/>
        </w:rPr>
        <w:t>），并按照总分从高到低排列先后次序。总分相同的，则评标价较低的投标人排名在前。</w:t>
      </w:r>
      <w:r>
        <w:rPr>
          <w:rFonts w:hint="eastAsia" w:ascii="宋体" w:hAnsi="宋体" w:cs="宋体"/>
          <w:color w:val="auto"/>
        </w:rPr>
        <w:t>如仍存在相同情况，则对具有相同情况的投标人，按中标候选人数量规定，由评标委员会采用随机抽取方式，确定中标候选人的排序。</w:t>
      </w:r>
    </w:p>
    <w:p>
      <w:pPr>
        <w:tabs>
          <w:tab w:val="left" w:pos="720"/>
        </w:tabs>
        <w:spacing w:line="360" w:lineRule="auto"/>
        <w:rPr>
          <w:rFonts w:ascii="宋体" w:hAnsi="宋体" w:cs="宋体"/>
          <w:color w:val="auto"/>
          <w:szCs w:val="21"/>
        </w:rPr>
      </w:pPr>
      <w:r>
        <w:rPr>
          <w:rFonts w:ascii="宋体" w:hAnsi="宋体" w:cs="宋体"/>
          <w:color w:val="auto"/>
          <w:szCs w:val="21"/>
        </w:rPr>
        <w:t>3.3.8推荐中标候选人</w:t>
      </w:r>
    </w:p>
    <w:p>
      <w:pPr>
        <w:tabs>
          <w:tab w:val="left" w:pos="720"/>
        </w:tabs>
        <w:spacing w:line="360" w:lineRule="auto"/>
        <w:ind w:firstLine="420" w:firstLineChars="200"/>
        <w:rPr>
          <w:rFonts w:ascii="宋体" w:hAnsi="宋体" w:cs="Tahoma"/>
          <w:color w:val="auto"/>
          <w:szCs w:val="21"/>
        </w:rPr>
      </w:pPr>
      <w:r>
        <w:rPr>
          <w:rFonts w:hint="eastAsia" w:ascii="宋体" w:hAnsi="宋体" w:cs="Tahoma"/>
          <w:color w:val="auto"/>
          <w:szCs w:val="21"/>
        </w:rPr>
        <w:t>以上评审完成后，按规定推荐第一中标候选人和第二中标候选人、第三中标候选人：</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1</w:t>
      </w:r>
      <w:r>
        <w:rPr>
          <w:rFonts w:hint="eastAsia" w:ascii="宋体" w:hAnsi="宋体" w:cs="Tahoma"/>
          <w:color w:val="auto"/>
          <w:szCs w:val="21"/>
        </w:rPr>
        <w:t>）按综合评分高低进行先后排序，取综合评分最高者为第一中标候选人，次高者为第二中标候选人，依次类推。</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2</w:t>
      </w:r>
      <w:r>
        <w:rPr>
          <w:rFonts w:hint="eastAsia" w:ascii="宋体" w:hAnsi="宋体" w:cs="Tahoma"/>
          <w:color w:val="auto"/>
          <w:szCs w:val="21"/>
        </w:rPr>
        <w:t>）如果有</w:t>
      </w:r>
      <w:r>
        <w:rPr>
          <w:rFonts w:ascii="宋体" w:hAnsi="宋体" w:cs="Tahoma"/>
          <w:color w:val="auto"/>
          <w:szCs w:val="21"/>
        </w:rPr>
        <w:t>2</w:t>
      </w:r>
      <w:r>
        <w:rPr>
          <w:rFonts w:hint="eastAsia" w:ascii="宋体" w:hAnsi="宋体" w:cs="Tahoma"/>
          <w:color w:val="auto"/>
          <w:szCs w:val="21"/>
        </w:rPr>
        <w:t>个或</w:t>
      </w:r>
      <w:r>
        <w:rPr>
          <w:rFonts w:ascii="宋体" w:hAnsi="宋体" w:cs="Tahoma"/>
          <w:color w:val="auto"/>
          <w:szCs w:val="21"/>
        </w:rPr>
        <w:t>2</w:t>
      </w:r>
      <w:r>
        <w:rPr>
          <w:rFonts w:hint="eastAsia" w:ascii="宋体" w:hAnsi="宋体" w:cs="Tahoma"/>
          <w:color w:val="auto"/>
          <w:szCs w:val="21"/>
        </w:rPr>
        <w:t>个以上的投标人综合评分相同，则评标价较低的投标人排名在前。</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3</w:t>
      </w:r>
      <w:r>
        <w:rPr>
          <w:rFonts w:hint="eastAsia" w:ascii="宋体" w:hAnsi="宋体" w:cs="Tahoma"/>
          <w:color w:val="auto"/>
          <w:szCs w:val="21"/>
        </w:rPr>
        <w:t>）本批次</w:t>
      </w:r>
      <w:r>
        <w:rPr>
          <w:rFonts w:ascii="宋体" w:hAnsi="宋体" w:cs="Tahoma"/>
          <w:color w:val="auto"/>
          <w:szCs w:val="21"/>
        </w:rPr>
        <w:t>3个标满足资格审查合格条件的投标人不足5名或经评审有效的投标人不足5名时为招标失败。若本批次单个标段满足资格审查的投标人不足3名或通过有效性审查的投标人不足3名时，该标段招标失败，其他标段继续评审。招标人分析招标失败原因，修正招标方案，报有关管理部门核准后，重新组织招标。</w:t>
      </w:r>
    </w:p>
    <w:p>
      <w:pPr>
        <w:tabs>
          <w:tab w:val="left" w:pos="720"/>
        </w:tabs>
        <w:spacing w:line="360" w:lineRule="auto"/>
        <w:ind w:firstLine="420" w:firstLineChars="200"/>
        <w:rPr>
          <w:rFonts w:ascii="宋体" w:hAnsi="宋体" w:cs="Tahoma"/>
          <w:color w:val="auto"/>
          <w:szCs w:val="21"/>
        </w:rPr>
      </w:pPr>
      <w:r>
        <w:rPr>
          <w:rFonts w:ascii="宋体" w:hAnsi="宋体" w:cs="Tahoma"/>
          <w:color w:val="auto"/>
          <w:szCs w:val="21"/>
        </w:rPr>
        <w:t>4）</w:t>
      </w:r>
      <w:r>
        <w:rPr>
          <w:rFonts w:hint="eastAsia" w:ascii="宋体" w:hAnsi="宋体" w:cs="Tahoma"/>
          <w:color w:val="auto"/>
          <w:szCs w:val="21"/>
        </w:rPr>
        <w:t>投标人可以选择参加</w:t>
      </w:r>
      <w:r>
        <w:rPr>
          <w:rFonts w:ascii="宋体" w:hAnsi="宋体" w:cs="Tahoma"/>
          <w:color w:val="auto"/>
          <w:szCs w:val="21"/>
        </w:rPr>
        <w:t>1～3个标段的投标，但每个投标人只能中一个标段，不可以兼中。若某个投标人在本项目多个标段同时成为第一</w:t>
      </w:r>
      <w:r>
        <w:rPr>
          <w:rFonts w:hint="eastAsia" w:ascii="宋体" w:hAnsi="宋体" w:cs="Tahoma"/>
          <w:color w:val="auto"/>
          <w:szCs w:val="21"/>
        </w:rPr>
        <w:t>名时，则将确定修正后的投标报价最大的标段为第一中标候选人；若某个投标人已被推荐为第一中标候选人，则该投标人在其它标段不再作为中标候选人；评标委员会完成所有标段第一中标候选人的推荐工作后，在各标段剩余的候选人中按照投标人总得分排名依次推荐每个标段的第二中标候选人和第三中标候选人；若某一标段无可推荐的中标候选人，则该标段重新进行招标。</w:t>
      </w:r>
    </w:p>
    <w:p>
      <w:pPr>
        <w:tabs>
          <w:tab w:val="left" w:pos="720"/>
        </w:tabs>
        <w:spacing w:line="360" w:lineRule="auto"/>
        <w:ind w:firstLine="420" w:firstLineChars="200"/>
        <w:rPr>
          <w:rFonts w:ascii="宋体" w:hAnsi="宋体" w:cs="宋体"/>
          <w:color w:val="auto"/>
          <w:szCs w:val="21"/>
        </w:rPr>
      </w:pPr>
    </w:p>
    <w:p>
      <w:pPr>
        <w:spacing w:line="360" w:lineRule="auto"/>
        <w:rPr>
          <w:rFonts w:ascii="宋体" w:hAnsi="宋体" w:cs="宋体"/>
          <w:color w:val="auto"/>
          <w:szCs w:val="21"/>
        </w:rPr>
      </w:pPr>
    </w:p>
    <w:p>
      <w:pPr>
        <w:widowControl/>
        <w:spacing w:line="360" w:lineRule="auto"/>
        <w:jc w:val="left"/>
        <w:rPr>
          <w:rFonts w:ascii="宋体" w:hAnsi="宋体" w:cs="宋体"/>
          <w:color w:val="auto"/>
          <w:szCs w:val="21"/>
        </w:rPr>
      </w:pPr>
    </w:p>
    <w:p>
      <w:pPr>
        <w:spacing w:line="360" w:lineRule="auto"/>
        <w:outlineLvl w:val="2"/>
        <w:rPr>
          <w:rFonts w:ascii="宋体" w:hAnsi="宋体" w:cs="宋体"/>
          <w:b/>
          <w:bCs/>
          <w:color w:val="auto"/>
          <w:szCs w:val="21"/>
        </w:rPr>
      </w:pPr>
      <w:r>
        <w:rPr>
          <w:rFonts w:ascii="宋体" w:hAnsi="宋体" w:cs="宋体"/>
          <w:color w:val="auto"/>
          <w:szCs w:val="21"/>
        </w:rPr>
        <w:br w:type="page"/>
      </w:r>
      <w:r>
        <w:rPr>
          <w:rFonts w:hint="eastAsia" w:ascii="宋体" w:hAnsi="宋体" w:cs="宋体"/>
          <w:b/>
          <w:color w:val="auto"/>
          <w:szCs w:val="21"/>
        </w:rPr>
        <w:t>附件一：资格审查表</w:t>
      </w:r>
      <w:r>
        <w:rPr>
          <w:rFonts w:ascii="宋体" w:hAnsi="宋体" w:cs="宋体"/>
          <w:b/>
          <w:bCs/>
          <w:color w:val="auto"/>
          <w:szCs w:val="21"/>
        </w:rPr>
        <w:t xml:space="preserve">         </w:t>
      </w:r>
    </w:p>
    <w:p>
      <w:pPr>
        <w:spacing w:line="360" w:lineRule="auto"/>
        <w:jc w:val="center"/>
        <w:rPr>
          <w:rFonts w:ascii="宋体" w:hAnsi="宋体" w:cs="宋体"/>
          <w:b/>
          <w:bCs/>
          <w:color w:val="auto"/>
          <w:szCs w:val="21"/>
        </w:rPr>
      </w:pPr>
      <w:r>
        <w:rPr>
          <w:rFonts w:hint="eastAsia" w:ascii="宋体" w:hAnsi="宋体" w:cs="宋体"/>
          <w:b/>
          <w:bCs/>
          <w:color w:val="auto"/>
          <w:szCs w:val="21"/>
        </w:rPr>
        <w:t>资格审查表</w:t>
      </w:r>
    </w:p>
    <w:p>
      <w:pPr>
        <w:widowControl/>
        <w:spacing w:line="360" w:lineRule="auto"/>
        <w:ind w:firstLine="420" w:firstLineChars="200"/>
        <w:jc w:val="left"/>
        <w:rPr>
          <w:rFonts w:ascii="宋体" w:hAnsi="宋体" w:cs="宋体"/>
          <w:color w:val="auto"/>
          <w:szCs w:val="21"/>
        </w:rPr>
      </w:pPr>
      <w:r>
        <w:rPr>
          <w:rFonts w:ascii="宋体" w:hAnsi="宋体" w:cs="宋体"/>
          <w:color w:val="auto"/>
          <w:szCs w:val="21"/>
        </w:rPr>
        <w:t>(申请人必须同时通过以下评审内容，只要一项不通过则资格审查视为不通过。)</w:t>
      </w:r>
    </w:p>
    <w:tbl>
      <w:tblPr>
        <w:tblStyle w:val="28"/>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642"/>
        <w:gridCol w:w="898"/>
        <w:gridCol w:w="992"/>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601"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5642" w:type="dxa"/>
            <w:tcBorders>
              <w:tl2br w:val="single" w:color="auto" w:sz="4" w:space="0"/>
            </w:tcBorders>
          </w:tcPr>
          <w:p>
            <w:pPr>
              <w:widowControl/>
              <w:ind w:firstLine="2625" w:firstLineChars="1250"/>
              <w:jc w:val="left"/>
              <w:rPr>
                <w:rFonts w:ascii="宋体" w:hAnsi="宋体" w:cs="宋体"/>
                <w:color w:val="auto"/>
                <w:kern w:val="0"/>
                <w:szCs w:val="21"/>
              </w:rPr>
            </w:pPr>
            <w:r>
              <w:rPr>
                <w:rFonts w:hint="eastAsia" w:ascii="宋体" w:hAnsi="宋体" w:cs="宋体"/>
                <w:color w:val="auto"/>
                <w:kern w:val="0"/>
                <w:szCs w:val="21"/>
              </w:rPr>
              <w:t>投标人（单位名称）</w:t>
            </w:r>
          </w:p>
          <w:p>
            <w:pPr>
              <w:widowControl/>
              <w:jc w:val="left"/>
              <w:rPr>
                <w:rFonts w:ascii="宋体" w:hAnsi="宋体" w:cs="宋体"/>
                <w:color w:val="auto"/>
                <w:kern w:val="0"/>
                <w:szCs w:val="21"/>
              </w:rPr>
            </w:pPr>
            <w:r>
              <w:rPr>
                <w:rFonts w:hint="eastAsia" w:ascii="宋体" w:hAnsi="宋体" w:cs="宋体"/>
                <w:color w:val="auto"/>
                <w:kern w:val="0"/>
                <w:szCs w:val="21"/>
              </w:rPr>
              <w:t>评审项目</w:t>
            </w:r>
          </w:p>
        </w:tc>
        <w:tc>
          <w:tcPr>
            <w:tcW w:w="898"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投标人</w:t>
            </w:r>
          </w:p>
        </w:tc>
        <w:tc>
          <w:tcPr>
            <w:tcW w:w="992" w:type="dxa"/>
            <w:vAlign w:val="center"/>
          </w:tcPr>
          <w:p>
            <w:pPr>
              <w:widowControl/>
              <w:ind w:right="-107" w:rightChars="-51"/>
              <w:jc w:val="center"/>
              <w:rPr>
                <w:rFonts w:ascii="宋体" w:hAnsi="宋体" w:cs="宋体"/>
                <w:color w:val="auto"/>
                <w:kern w:val="0"/>
                <w:szCs w:val="21"/>
              </w:rPr>
            </w:pPr>
            <w:r>
              <w:rPr>
                <w:rFonts w:hint="eastAsia" w:ascii="宋体" w:hAnsi="宋体" w:cs="宋体"/>
                <w:color w:val="auto"/>
                <w:kern w:val="0"/>
                <w:szCs w:val="21"/>
              </w:rPr>
              <w:t>投标人</w:t>
            </w:r>
          </w:p>
        </w:tc>
        <w:tc>
          <w:tcPr>
            <w:tcW w:w="739" w:type="dxa"/>
            <w:vAlign w:val="center"/>
          </w:tcPr>
          <w:p>
            <w:pPr>
              <w:widowControl/>
              <w:jc w:val="left"/>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投标人必须是在中华人民共和国注册的独立法人。投标人持有有效的工商行政管理部门核发的法人营业执照或各级政府事业单位登记管理机关颁发的事业单位法人证书，按国家法律经营。</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投标人参加投标的意思表达清楚，投标人的法定代表人证明有效或投标人代表被授权有效。</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投标人具有质量技术监督部门颁发的</w:t>
            </w:r>
            <w:r>
              <w:rPr>
                <w:rFonts w:ascii="宋体" w:hAnsi="宋体" w:cs="宋体"/>
                <w:color w:val="auto"/>
                <w:szCs w:val="21"/>
              </w:rPr>
              <w:t>CMA计量认证合格证书（认证范围须覆盖本次招标内容，详见本公告附件三），且证书在有效期内，</w:t>
            </w:r>
            <w:r>
              <w:rPr>
                <w:rFonts w:hint="eastAsia" w:ascii="宋体" w:hAnsi="宋体"/>
                <w:color w:val="auto"/>
                <w:szCs w:val="21"/>
              </w:rPr>
              <w:t>提供认证证书及其附表</w:t>
            </w:r>
            <w:r>
              <w:rPr>
                <w:rFonts w:hint="eastAsia" w:ascii="宋体" w:hAnsi="宋体" w:cs="宋体"/>
                <w:color w:val="auto"/>
                <w:szCs w:val="21"/>
              </w:rPr>
              <w:t>。</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5642" w:type="dxa"/>
            <w:vAlign w:val="center"/>
          </w:tcPr>
          <w:p>
            <w:pPr>
              <w:ind w:left="105" w:right="105"/>
              <w:rPr>
                <w:rFonts w:ascii="宋体" w:hAnsi="宋体" w:cs="宋体"/>
                <w:color w:val="auto"/>
                <w:szCs w:val="21"/>
                <w:u w:val="single"/>
              </w:rPr>
            </w:pPr>
            <w:r>
              <w:rPr>
                <w:rFonts w:hint="eastAsia" w:ascii="宋体" w:hAnsi="宋体" w:cs="宋体"/>
                <w:color w:val="auto"/>
                <w:szCs w:val="21"/>
                <w:u w:val="single"/>
              </w:rPr>
              <w:t>投标人应依据《东莞市住房和城乡建设局建设工程质量检测管理暂行规定》（东建〔</w:t>
            </w:r>
            <w:r>
              <w:rPr>
                <w:rFonts w:ascii="宋体" w:hAnsi="宋体" w:cs="宋体"/>
                <w:color w:val="auto"/>
                <w:szCs w:val="21"/>
                <w:u w:val="single"/>
              </w:rPr>
              <w:t>2017〕4号）要求</w:t>
            </w:r>
            <w:r>
              <w:rPr>
                <w:rFonts w:hint="eastAsia" w:ascii="宋体" w:hAnsi="宋体" w:cs="宋体"/>
                <w:color w:val="auto"/>
                <w:szCs w:val="21"/>
                <w:u w:val="single"/>
                <w:lang w:eastAsia="zh-CN"/>
              </w:rPr>
              <w:t>到</w:t>
            </w:r>
            <w:r>
              <w:rPr>
                <w:rFonts w:ascii="宋体" w:hAnsi="宋体" w:cs="宋体"/>
                <w:color w:val="auto"/>
                <w:szCs w:val="21"/>
                <w:u w:val="single"/>
              </w:rPr>
              <w:t>东莞市住建局</w:t>
            </w:r>
            <w:r>
              <w:rPr>
                <w:rFonts w:hint="eastAsia" w:ascii="宋体" w:hAnsi="宋体" w:cs="宋体"/>
                <w:color w:val="auto"/>
                <w:szCs w:val="21"/>
                <w:u w:val="single"/>
                <w:lang w:eastAsia="zh-CN"/>
              </w:rPr>
              <w:t>建立</w:t>
            </w:r>
            <w:r>
              <w:rPr>
                <w:rFonts w:ascii="宋体" w:hAnsi="宋体" w:cs="宋体"/>
                <w:color w:val="auto"/>
                <w:szCs w:val="21"/>
                <w:u w:val="single"/>
              </w:rPr>
              <w:t>信用</w:t>
            </w:r>
            <w:r>
              <w:rPr>
                <w:rFonts w:hint="eastAsia" w:ascii="宋体" w:hAnsi="宋体" w:cs="宋体"/>
                <w:color w:val="auto"/>
                <w:szCs w:val="21"/>
                <w:u w:val="single"/>
                <w:lang w:eastAsia="zh-CN"/>
              </w:rPr>
              <w:t>信息档案</w:t>
            </w:r>
            <w:r>
              <w:rPr>
                <w:rFonts w:ascii="宋体" w:hAnsi="宋体" w:cs="宋体"/>
                <w:color w:val="auto"/>
                <w:szCs w:val="21"/>
                <w:u w:val="single"/>
              </w:rPr>
              <w:t>，且信用</w:t>
            </w:r>
            <w:r>
              <w:rPr>
                <w:rFonts w:hint="eastAsia" w:ascii="宋体" w:hAnsi="宋体" w:cs="宋体"/>
                <w:color w:val="auto"/>
                <w:szCs w:val="21"/>
                <w:u w:val="single"/>
                <w:lang w:eastAsia="zh-CN"/>
              </w:rPr>
              <w:t>信息档案</w:t>
            </w:r>
            <w:r>
              <w:rPr>
                <w:rFonts w:ascii="宋体" w:hAnsi="宋体" w:cs="宋体"/>
                <w:color w:val="auto"/>
                <w:szCs w:val="21"/>
                <w:u w:val="single"/>
              </w:rPr>
              <w:t>内的资质范围须覆盖本次招标内容（本次招标内容，详见本公告附件三）。</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5642" w:type="dxa"/>
            <w:vAlign w:val="center"/>
          </w:tcPr>
          <w:p>
            <w:pPr>
              <w:ind w:left="105" w:right="105"/>
              <w:rPr>
                <w:rFonts w:ascii="宋体" w:hAnsi="宋体" w:cs="宋体"/>
                <w:color w:val="auto"/>
                <w:szCs w:val="21"/>
                <w:u w:val="single"/>
              </w:rPr>
            </w:pPr>
            <w:r>
              <w:rPr>
                <w:rFonts w:hint="eastAsia" w:ascii="宋体" w:hAnsi="宋体" w:cs="宋体"/>
                <w:color w:val="auto"/>
                <w:szCs w:val="21"/>
              </w:rPr>
              <w:t>投标人委派的项目负责人须具备建筑工程相关专业的高级或以上工程师职称，并具有从事本专业</w:t>
            </w:r>
            <w:r>
              <w:rPr>
                <w:rFonts w:ascii="宋体" w:hAnsi="宋体" w:cs="宋体"/>
                <w:color w:val="auto"/>
                <w:szCs w:val="21"/>
              </w:rPr>
              <w:t>8年以上技术管理经验。</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6</w:t>
            </w:r>
          </w:p>
        </w:tc>
        <w:tc>
          <w:tcPr>
            <w:tcW w:w="5642" w:type="dxa"/>
            <w:vAlign w:val="center"/>
          </w:tcPr>
          <w:p>
            <w:pPr>
              <w:ind w:left="105" w:right="105"/>
              <w:jc w:val="left"/>
              <w:rPr>
                <w:rFonts w:ascii="宋体" w:hAnsi="宋体" w:cs="宋体"/>
                <w:color w:val="auto"/>
                <w:szCs w:val="21"/>
                <w:u w:val="single"/>
              </w:rPr>
            </w:pPr>
            <w:r>
              <w:rPr>
                <w:rFonts w:hint="eastAsia" w:ascii="宋体" w:hAnsi="宋体" w:cs="宋体"/>
                <w:color w:val="auto"/>
                <w:szCs w:val="21"/>
              </w:rPr>
              <w:t>投标人已按照本公告附件二格式内容签署盖章的投标申请人声明。</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7</w:t>
            </w:r>
          </w:p>
        </w:tc>
        <w:tc>
          <w:tcPr>
            <w:tcW w:w="5642" w:type="dxa"/>
            <w:vAlign w:val="center"/>
          </w:tcPr>
          <w:p>
            <w:pPr>
              <w:ind w:left="105" w:right="105"/>
              <w:jc w:val="left"/>
              <w:rPr>
                <w:rFonts w:ascii="宋体" w:hAnsi="宋体" w:cs="宋体"/>
                <w:color w:val="auto"/>
                <w:kern w:val="0"/>
                <w:szCs w:val="21"/>
                <w:u w:val="single"/>
              </w:rPr>
            </w:pPr>
            <w:r>
              <w:rPr>
                <w:rFonts w:hint="eastAsia" w:ascii="宋体" w:hAnsi="宋体" w:cs="宋体"/>
                <w:color w:val="auto"/>
                <w:szCs w:val="21"/>
              </w:rPr>
              <w:t>本项目不接受联合体投标。</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8</w:t>
            </w:r>
          </w:p>
        </w:tc>
        <w:tc>
          <w:tcPr>
            <w:tcW w:w="5642" w:type="dxa"/>
            <w:vAlign w:val="center"/>
          </w:tcPr>
          <w:p>
            <w:pPr>
              <w:ind w:left="105" w:right="105"/>
              <w:jc w:val="left"/>
              <w:rPr>
                <w:rFonts w:ascii="宋体" w:hAnsi="宋体" w:cs="宋体"/>
                <w:color w:val="auto"/>
                <w:kern w:val="0"/>
                <w:szCs w:val="21"/>
                <w:u w:val="single"/>
              </w:rPr>
            </w:pPr>
            <w:r>
              <w:rPr>
                <w:rFonts w:hint="eastAsia" w:ascii="宋体" w:hAnsi="宋体" w:cs="宋体"/>
                <w:color w:val="auto"/>
                <w:szCs w:val="21"/>
              </w:rPr>
              <w:t>单位负责人为同一人或者存在控股、管理关系的不同单位，不得参加同一标段投标或者未划分标段的同一招标项目投标登记。（按投标人提供的《投标人声明》第五条内容进行评审）</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9</w:t>
            </w:r>
          </w:p>
        </w:tc>
        <w:tc>
          <w:tcPr>
            <w:tcW w:w="5642" w:type="dxa"/>
            <w:vAlign w:val="center"/>
          </w:tcPr>
          <w:p>
            <w:pPr>
              <w:ind w:firstLine="493" w:firstLineChars="235"/>
              <w:rPr>
                <w:rFonts w:ascii="宋体" w:hAnsi="宋体"/>
                <w:color w:val="auto"/>
                <w:szCs w:val="21"/>
              </w:rPr>
            </w:pPr>
            <w:r>
              <w:rPr>
                <w:rFonts w:ascii="宋体" w:hAnsi="宋体"/>
                <w:color w:val="auto"/>
                <w:szCs w:val="21"/>
              </w:rPr>
              <w:t>1405标：投标人</w:t>
            </w:r>
            <w:r>
              <w:rPr>
                <w:rFonts w:hint="eastAsia" w:ascii="宋体" w:hAnsi="宋体"/>
                <w:color w:val="auto"/>
                <w:szCs w:val="21"/>
              </w:rPr>
              <w:t>不得与承接东莞市城市轨道交通</w:t>
            </w:r>
            <w:r>
              <w:rPr>
                <w:rFonts w:ascii="宋体" w:hAnsi="宋体"/>
                <w:color w:val="auto"/>
                <w:szCs w:val="21"/>
              </w:rPr>
              <w:t>1号线一期工程综合施工项目的中标人（中国中铁</w:t>
            </w:r>
            <w:r>
              <w:rPr>
                <w:rFonts w:hint="eastAsia" w:ascii="宋体" w:hAnsi="宋体"/>
                <w:color w:val="auto"/>
                <w:szCs w:val="21"/>
              </w:rPr>
              <w:t>股份有限</w:t>
            </w:r>
            <w:r>
              <w:rPr>
                <w:rFonts w:ascii="宋体" w:hAnsi="宋体"/>
                <w:color w:val="auto"/>
                <w:szCs w:val="21"/>
              </w:rPr>
              <w:t>公司</w:t>
            </w:r>
            <w:r>
              <w:rPr>
                <w:rFonts w:hint="eastAsia" w:ascii="宋体" w:hAnsi="宋体"/>
                <w:color w:val="auto"/>
                <w:szCs w:val="21"/>
              </w:rPr>
              <w:t>及其控股或具有管理关系的下属公司）存在任何控股、管理关系（按投标人提供的《投标人声明》第六</w:t>
            </w:r>
            <w:r>
              <w:rPr>
                <w:rFonts w:ascii="宋体" w:hAnsi="宋体"/>
                <w:color w:val="auto"/>
                <w:szCs w:val="21"/>
              </w:rPr>
              <w:t>条</w:t>
            </w:r>
            <w:r>
              <w:rPr>
                <w:rFonts w:hint="eastAsia" w:ascii="宋体" w:hAnsi="宋体"/>
                <w:color w:val="auto"/>
                <w:szCs w:val="21"/>
              </w:rPr>
              <w:t>内容进行评审）。</w:t>
            </w:r>
          </w:p>
          <w:p>
            <w:pPr>
              <w:ind w:firstLine="493" w:firstLineChars="235"/>
              <w:rPr>
                <w:rFonts w:ascii="宋体" w:hAnsi="宋体"/>
                <w:color w:val="auto"/>
                <w:szCs w:val="21"/>
              </w:rPr>
            </w:pPr>
            <w:r>
              <w:rPr>
                <w:rFonts w:ascii="宋体" w:hAnsi="宋体"/>
                <w:color w:val="auto"/>
                <w:szCs w:val="21"/>
              </w:rPr>
              <w:t>1406标：投标人</w:t>
            </w:r>
            <w:r>
              <w:rPr>
                <w:rFonts w:hint="eastAsia" w:ascii="宋体" w:hAnsi="宋体"/>
                <w:color w:val="auto"/>
                <w:szCs w:val="21"/>
              </w:rPr>
              <w:t>不得与承接东莞市城市轨道交通</w:t>
            </w:r>
            <w:r>
              <w:rPr>
                <w:rFonts w:ascii="宋体" w:hAnsi="宋体"/>
                <w:color w:val="auto"/>
                <w:szCs w:val="21"/>
              </w:rPr>
              <w:t>1号线一期工程综合施工项目的中标人（中国铁建</w:t>
            </w:r>
            <w:r>
              <w:rPr>
                <w:rFonts w:hint="eastAsia" w:ascii="宋体" w:hAnsi="宋体"/>
                <w:color w:val="auto"/>
                <w:szCs w:val="21"/>
              </w:rPr>
              <w:t>股份</w:t>
            </w:r>
            <w:r>
              <w:rPr>
                <w:rFonts w:ascii="宋体" w:hAnsi="宋体"/>
                <w:color w:val="auto"/>
                <w:szCs w:val="21"/>
              </w:rPr>
              <w:t>有限公司</w:t>
            </w:r>
            <w:r>
              <w:rPr>
                <w:rFonts w:hint="eastAsia" w:ascii="宋体" w:hAnsi="宋体"/>
                <w:color w:val="auto"/>
                <w:szCs w:val="21"/>
              </w:rPr>
              <w:t>及其控股或具有管理关系的下属公司）存在任何控股、管理关系（按投标人提供的《投标人声明》第六</w:t>
            </w:r>
            <w:r>
              <w:rPr>
                <w:rFonts w:ascii="宋体" w:hAnsi="宋体"/>
                <w:color w:val="auto"/>
                <w:szCs w:val="21"/>
              </w:rPr>
              <w:t>条</w:t>
            </w:r>
            <w:r>
              <w:rPr>
                <w:rFonts w:hint="eastAsia" w:ascii="宋体" w:hAnsi="宋体"/>
                <w:color w:val="auto"/>
                <w:szCs w:val="21"/>
              </w:rPr>
              <w:t>内容进行评审）。</w:t>
            </w:r>
          </w:p>
          <w:p>
            <w:pPr>
              <w:jc w:val="left"/>
              <w:rPr>
                <w:rFonts w:ascii="宋体" w:hAnsi="宋体" w:cs="宋体"/>
                <w:color w:val="auto"/>
                <w:kern w:val="0"/>
                <w:szCs w:val="21"/>
                <w:u w:val="single"/>
              </w:rPr>
            </w:pPr>
            <w:r>
              <w:rPr>
                <w:rFonts w:ascii="宋体" w:hAnsi="宋体"/>
                <w:color w:val="auto"/>
                <w:szCs w:val="21"/>
              </w:rPr>
              <w:t>1407标：投标人</w:t>
            </w:r>
            <w:r>
              <w:rPr>
                <w:rFonts w:hint="eastAsia" w:ascii="宋体" w:hAnsi="宋体"/>
                <w:color w:val="auto"/>
                <w:szCs w:val="21"/>
              </w:rPr>
              <w:t>不得与承接东莞市城市轨道交通</w:t>
            </w:r>
            <w:r>
              <w:rPr>
                <w:rFonts w:ascii="宋体" w:hAnsi="宋体"/>
                <w:color w:val="auto"/>
                <w:szCs w:val="21"/>
              </w:rPr>
              <w:t>1号线一期工程综合施工项目的中标人（广东省建工集团</w:t>
            </w:r>
            <w:r>
              <w:rPr>
                <w:rFonts w:hint="eastAsia" w:ascii="宋体" w:hAnsi="宋体"/>
                <w:color w:val="auto"/>
                <w:szCs w:val="21"/>
              </w:rPr>
              <w:t>有限</w:t>
            </w:r>
            <w:r>
              <w:rPr>
                <w:rFonts w:ascii="宋体" w:hAnsi="宋体"/>
                <w:color w:val="auto"/>
                <w:szCs w:val="21"/>
              </w:rPr>
              <w:t>公司</w:t>
            </w:r>
            <w:r>
              <w:rPr>
                <w:rFonts w:hint="eastAsia" w:ascii="宋体" w:hAnsi="宋体"/>
                <w:color w:val="auto"/>
                <w:szCs w:val="21"/>
              </w:rPr>
              <w:t>及其控股或具有管理关系的下属公司）存在任何控股、管理关系（按投标人提供的《投标人声明》第六</w:t>
            </w:r>
            <w:r>
              <w:rPr>
                <w:rFonts w:ascii="宋体" w:hAnsi="宋体"/>
                <w:color w:val="auto"/>
                <w:szCs w:val="21"/>
              </w:rPr>
              <w:t>条</w:t>
            </w:r>
            <w:r>
              <w:rPr>
                <w:rFonts w:hint="eastAsia" w:ascii="宋体" w:hAnsi="宋体"/>
                <w:color w:val="auto"/>
                <w:szCs w:val="21"/>
              </w:rPr>
              <w:t>内容进行评审）。</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0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10</w:t>
            </w:r>
          </w:p>
        </w:tc>
        <w:tc>
          <w:tcPr>
            <w:tcW w:w="5642" w:type="dxa"/>
            <w:vAlign w:val="center"/>
          </w:tcPr>
          <w:p>
            <w:pPr>
              <w:rPr>
                <w:rFonts w:ascii="宋体" w:hAnsi="宋体" w:cs="宋体"/>
                <w:color w:val="auto"/>
                <w:kern w:val="0"/>
                <w:szCs w:val="21"/>
                <w:u w:val="single"/>
              </w:rPr>
            </w:pPr>
            <w:r>
              <w:rPr>
                <w:rFonts w:hint="eastAsia" w:ascii="宋体" w:hAnsi="宋体" w:cs="宋体"/>
                <w:color w:val="auto"/>
                <w:szCs w:val="21"/>
              </w:rPr>
              <w:t>投标登记时，投标人须已完成在广州公共资源交易中心企业库办理企业信息登记（提供网页打印页）</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01" w:type="dxa"/>
            <w:noWrap/>
            <w:vAlign w:val="center"/>
          </w:tcPr>
          <w:p>
            <w:pPr>
              <w:widowControl/>
              <w:jc w:val="center"/>
              <w:rPr>
                <w:rFonts w:ascii="宋体" w:hAnsi="宋体" w:cs="宋体"/>
                <w:color w:val="auto"/>
                <w:kern w:val="0"/>
                <w:szCs w:val="21"/>
              </w:rPr>
            </w:pPr>
          </w:p>
        </w:tc>
        <w:tc>
          <w:tcPr>
            <w:tcW w:w="5642" w:type="dxa"/>
            <w:vAlign w:val="center"/>
          </w:tcPr>
          <w:p>
            <w:pPr>
              <w:ind w:left="105" w:right="105"/>
              <w:jc w:val="center"/>
              <w:rPr>
                <w:rFonts w:ascii="宋体" w:hAnsi="宋体" w:cs="宋体"/>
                <w:bCs/>
                <w:color w:val="auto"/>
                <w:kern w:val="0"/>
                <w:szCs w:val="21"/>
              </w:rPr>
            </w:pPr>
            <w:r>
              <w:rPr>
                <w:rFonts w:hint="eastAsia" w:ascii="宋体" w:hAnsi="宋体" w:cs="宋体"/>
                <w:bCs/>
                <w:color w:val="auto"/>
                <w:szCs w:val="21"/>
              </w:rPr>
              <w:t>结论</w:t>
            </w:r>
          </w:p>
        </w:tc>
        <w:tc>
          <w:tcPr>
            <w:tcW w:w="898" w:type="dxa"/>
          </w:tcPr>
          <w:p>
            <w:pPr>
              <w:widowControl/>
              <w:jc w:val="center"/>
              <w:rPr>
                <w:rFonts w:ascii="宋体" w:hAnsi="宋体" w:cs="宋体"/>
                <w:color w:val="auto"/>
                <w:kern w:val="0"/>
                <w:szCs w:val="21"/>
              </w:rPr>
            </w:pPr>
          </w:p>
        </w:tc>
        <w:tc>
          <w:tcPr>
            <w:tcW w:w="992" w:type="dxa"/>
          </w:tcPr>
          <w:p>
            <w:pPr>
              <w:widowControl/>
              <w:jc w:val="center"/>
              <w:rPr>
                <w:rFonts w:ascii="宋体" w:hAnsi="宋体" w:cs="宋体"/>
                <w:color w:val="auto"/>
                <w:kern w:val="0"/>
                <w:szCs w:val="21"/>
              </w:rPr>
            </w:pPr>
          </w:p>
        </w:tc>
        <w:tc>
          <w:tcPr>
            <w:tcW w:w="739" w:type="dxa"/>
            <w:vAlign w:val="center"/>
          </w:tcPr>
          <w:p>
            <w:pPr>
              <w:widowControl/>
              <w:jc w:val="center"/>
              <w:rPr>
                <w:rFonts w:ascii="宋体" w:hAnsi="宋体" w:cs="宋体"/>
                <w:color w:val="auto"/>
                <w:kern w:val="0"/>
                <w:szCs w:val="21"/>
              </w:rPr>
            </w:pPr>
          </w:p>
        </w:tc>
      </w:tr>
    </w:tbl>
    <w:p>
      <w:pPr>
        <w:adjustRightInd w:val="0"/>
        <w:snapToGrid w:val="0"/>
        <w:rPr>
          <w:rFonts w:ascii="宋体" w:hAnsi="宋体" w:cs="宋体"/>
          <w:bCs/>
          <w:color w:val="auto"/>
          <w:szCs w:val="21"/>
        </w:rPr>
      </w:pPr>
      <w:r>
        <w:rPr>
          <w:rFonts w:hint="eastAsia" w:ascii="宋体" w:hAnsi="宋体" w:cs="宋体"/>
          <w:bCs/>
          <w:color w:val="auto"/>
          <w:szCs w:val="21"/>
        </w:rPr>
        <w:t>备注：</w:t>
      </w:r>
      <w:r>
        <w:rPr>
          <w:rFonts w:ascii="宋体" w:hAnsi="宋体" w:cs="宋体"/>
          <w:bCs/>
          <w:color w:val="auto"/>
          <w:szCs w:val="21"/>
        </w:rPr>
        <w:t>1、每一项目符合的打“○”，不符合的打“X”，出现一个“X”的结论为“不通过”。</w:t>
      </w:r>
    </w:p>
    <w:p>
      <w:pPr>
        <w:numPr>
          <w:ilvl w:val="0"/>
          <w:numId w:val="7"/>
        </w:numPr>
        <w:adjustRightInd w:val="0"/>
        <w:snapToGrid w:val="0"/>
        <w:rPr>
          <w:rFonts w:ascii="宋体" w:hAnsi="宋体" w:cs="宋体"/>
          <w:color w:val="auto"/>
          <w:szCs w:val="21"/>
          <w:u w:val="single"/>
        </w:rPr>
      </w:pPr>
      <w:r>
        <w:rPr>
          <w:rFonts w:hint="eastAsia" w:ascii="宋体" w:hAnsi="宋体" w:cs="宋体"/>
          <w:color w:val="auto"/>
          <w:szCs w:val="21"/>
          <w:u w:val="single"/>
        </w:rPr>
        <w:t>提供东莞市住建局</w:t>
      </w:r>
      <w:r>
        <w:rPr>
          <w:rFonts w:hint="eastAsia" w:ascii="宋体" w:hAnsi="宋体" w:cs="宋体"/>
          <w:color w:val="auto"/>
          <w:szCs w:val="21"/>
          <w:u w:val="single"/>
          <w:lang w:eastAsia="zh-CN"/>
        </w:rPr>
        <w:t>建立</w:t>
      </w:r>
      <w:r>
        <w:rPr>
          <w:rFonts w:ascii="宋体" w:hAnsi="宋体" w:cs="宋体"/>
          <w:color w:val="auto"/>
          <w:szCs w:val="21"/>
          <w:u w:val="single"/>
        </w:rPr>
        <w:t>信用</w:t>
      </w:r>
      <w:r>
        <w:rPr>
          <w:rFonts w:hint="eastAsia" w:ascii="宋体" w:hAnsi="宋体" w:cs="宋体"/>
          <w:color w:val="auto"/>
          <w:szCs w:val="21"/>
          <w:u w:val="single"/>
          <w:lang w:eastAsia="zh-CN"/>
        </w:rPr>
        <w:t>信息档案网页打印件</w:t>
      </w:r>
      <w:r>
        <w:rPr>
          <w:rFonts w:hint="eastAsia" w:ascii="宋体" w:hAnsi="宋体" w:cs="宋体"/>
          <w:color w:val="auto"/>
          <w:szCs w:val="21"/>
          <w:u w:val="single"/>
        </w:rPr>
        <w:t>（含资质范围覆盖本次招标内容的关键页）。</w:t>
      </w:r>
    </w:p>
    <w:p>
      <w:pPr>
        <w:numPr>
          <w:ilvl w:val="0"/>
          <w:numId w:val="7"/>
        </w:numPr>
        <w:adjustRightInd w:val="0"/>
        <w:snapToGrid w:val="0"/>
        <w:rPr>
          <w:rFonts w:ascii="宋体" w:hAnsi="宋体" w:cs="宋体"/>
          <w:bCs/>
          <w:color w:val="auto"/>
          <w:szCs w:val="21"/>
        </w:rPr>
      </w:pPr>
      <w:r>
        <w:rPr>
          <w:rFonts w:hint="eastAsia" w:ascii="宋体" w:hAnsi="宋体" w:cs="宋体"/>
          <w:bCs/>
          <w:color w:val="auto"/>
          <w:szCs w:val="21"/>
        </w:rPr>
        <w:t>“结论”一栏应写“通过”或“不通过”，表中全部条件满足为“通过”，可进入下一阶段评审。</w:t>
      </w:r>
      <w:bookmarkStart w:id="89" w:name="_GoBack"/>
      <w:bookmarkEnd w:id="89"/>
    </w:p>
    <w:p>
      <w:pPr>
        <w:adjustRightInd w:val="0"/>
        <w:snapToGrid w:val="0"/>
        <w:rPr>
          <w:rFonts w:ascii="宋体" w:hAnsi="宋体" w:cs="宋体"/>
          <w:bCs/>
          <w:color w:val="auto"/>
          <w:szCs w:val="21"/>
        </w:rPr>
      </w:pPr>
    </w:p>
    <w:p>
      <w:pPr>
        <w:adjustRightInd w:val="0"/>
        <w:snapToGrid w:val="0"/>
        <w:rPr>
          <w:rFonts w:ascii="宋体" w:hAnsi="宋体" w:cs="宋体"/>
          <w:bCs/>
          <w:color w:val="auto"/>
          <w:szCs w:val="21"/>
        </w:rPr>
      </w:pPr>
    </w:p>
    <w:p>
      <w:pPr>
        <w:adjustRightInd w:val="0"/>
        <w:snapToGrid w:val="0"/>
        <w:spacing w:line="360" w:lineRule="auto"/>
        <w:outlineLvl w:val="2"/>
        <w:rPr>
          <w:rFonts w:ascii="宋体" w:hAnsi="宋体" w:cs="宋体"/>
          <w:b/>
          <w:bCs/>
          <w:color w:val="auto"/>
          <w:kern w:val="0"/>
          <w:szCs w:val="21"/>
        </w:rPr>
      </w:pPr>
      <w:r>
        <w:rPr>
          <w:rFonts w:ascii="宋体" w:hAnsi="宋体" w:cs="宋体"/>
          <w:bCs/>
          <w:color w:val="auto"/>
          <w:szCs w:val="21"/>
        </w:rPr>
        <w:br w:type="page"/>
      </w:r>
      <w:r>
        <w:rPr>
          <w:rFonts w:hint="eastAsia" w:ascii="宋体" w:hAnsi="宋体" w:cs="宋体"/>
          <w:b/>
          <w:color w:val="auto"/>
          <w:szCs w:val="21"/>
        </w:rPr>
        <w:t>附件二</w:t>
      </w:r>
      <w:r>
        <w:rPr>
          <w:rFonts w:hint="eastAsia" w:ascii="宋体" w:hAnsi="宋体" w:cs="宋体"/>
          <w:color w:val="auto"/>
          <w:szCs w:val="21"/>
        </w:rPr>
        <w:t>：</w:t>
      </w:r>
      <w:r>
        <w:rPr>
          <w:rFonts w:hint="eastAsia" w:ascii="宋体" w:hAnsi="宋体" w:cs="宋体"/>
          <w:b/>
          <w:color w:val="auto"/>
          <w:szCs w:val="21"/>
        </w:rPr>
        <w:t>技术标有效性审查表</w:t>
      </w:r>
    </w:p>
    <w:p>
      <w:pPr>
        <w:spacing w:line="360" w:lineRule="auto"/>
        <w:jc w:val="center"/>
        <w:rPr>
          <w:rFonts w:ascii="宋体" w:hAnsi="宋体" w:cs="宋体"/>
          <w:b/>
          <w:color w:val="auto"/>
          <w:kern w:val="0"/>
          <w:szCs w:val="21"/>
        </w:rPr>
      </w:pPr>
      <w:r>
        <w:rPr>
          <w:rFonts w:hint="eastAsia" w:ascii="宋体" w:hAnsi="宋体" w:cs="宋体"/>
          <w:b/>
          <w:color w:val="auto"/>
          <w:kern w:val="0"/>
          <w:szCs w:val="21"/>
        </w:rPr>
        <w:t>技术标有效性审查表</w:t>
      </w:r>
    </w:p>
    <w:tbl>
      <w:tblPr>
        <w:tblStyle w:val="28"/>
        <w:tblW w:w="780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3403"/>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856"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3403" w:type="dxa"/>
            <w:tcBorders>
              <w:tl2br w:val="single" w:color="auto" w:sz="4" w:space="0"/>
            </w:tcBorders>
          </w:tcPr>
          <w:p>
            <w:pPr>
              <w:widowControl/>
              <w:ind w:firstLine="210" w:firstLineChars="100"/>
              <w:jc w:val="left"/>
              <w:rPr>
                <w:rFonts w:ascii="宋体" w:hAnsi="宋体" w:cs="宋体"/>
                <w:color w:val="auto"/>
                <w:kern w:val="0"/>
                <w:szCs w:val="21"/>
              </w:rPr>
            </w:pPr>
          </w:p>
          <w:p>
            <w:pPr>
              <w:widowControl/>
              <w:ind w:firstLine="2100" w:firstLineChars="1000"/>
              <w:jc w:val="left"/>
              <w:rPr>
                <w:rFonts w:ascii="宋体" w:hAnsi="宋体" w:cs="宋体"/>
                <w:color w:val="auto"/>
                <w:kern w:val="0"/>
                <w:szCs w:val="21"/>
              </w:rPr>
            </w:pPr>
            <w:r>
              <w:rPr>
                <w:rFonts w:hint="eastAsia" w:ascii="宋体" w:hAnsi="宋体" w:cs="宋体"/>
                <w:color w:val="auto"/>
                <w:kern w:val="0"/>
                <w:szCs w:val="21"/>
              </w:rPr>
              <w:t>投标人</w:t>
            </w:r>
          </w:p>
          <w:p>
            <w:pPr>
              <w:widowControl/>
              <w:ind w:firstLine="210" w:firstLineChars="100"/>
              <w:jc w:val="left"/>
              <w:rPr>
                <w:rFonts w:ascii="宋体" w:hAnsi="宋体" w:cs="宋体"/>
                <w:color w:val="auto"/>
                <w:kern w:val="0"/>
                <w:szCs w:val="21"/>
              </w:rPr>
            </w:pPr>
            <w:r>
              <w:rPr>
                <w:rFonts w:hint="eastAsia" w:ascii="宋体" w:hAnsi="宋体" w:cs="宋体"/>
                <w:color w:val="auto"/>
                <w:kern w:val="0"/>
                <w:szCs w:val="21"/>
              </w:rPr>
              <w:t>评审项目</w:t>
            </w:r>
          </w:p>
        </w:tc>
        <w:tc>
          <w:tcPr>
            <w:tcW w:w="1134" w:type="dxa"/>
          </w:tcPr>
          <w:p>
            <w:pPr>
              <w:widowControl/>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1</w:t>
            </w:r>
          </w:p>
          <w:p>
            <w:pPr>
              <w:widowControl/>
              <w:jc w:val="left"/>
              <w:rPr>
                <w:rFonts w:ascii="宋体" w:hAnsi="宋体" w:cs="宋体"/>
                <w:color w:val="auto"/>
                <w:kern w:val="0"/>
                <w:szCs w:val="21"/>
              </w:rPr>
            </w:pPr>
          </w:p>
        </w:tc>
        <w:tc>
          <w:tcPr>
            <w:tcW w:w="1276" w:type="dxa"/>
            <w:vAlign w:val="center"/>
          </w:tcPr>
          <w:p>
            <w:pPr>
              <w:widowControl/>
              <w:ind w:firstLine="210" w:firstLineChars="100"/>
              <w:jc w:val="left"/>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2</w:t>
            </w:r>
          </w:p>
          <w:p>
            <w:pPr>
              <w:widowControl/>
              <w:jc w:val="center"/>
              <w:rPr>
                <w:rFonts w:ascii="宋体" w:hAnsi="宋体" w:cs="宋体"/>
                <w:color w:val="auto"/>
                <w:kern w:val="0"/>
                <w:szCs w:val="21"/>
              </w:rPr>
            </w:pPr>
          </w:p>
        </w:tc>
        <w:tc>
          <w:tcPr>
            <w:tcW w:w="1134" w:type="dxa"/>
          </w:tcPr>
          <w:p>
            <w:pPr>
              <w:widowControl/>
              <w:ind w:firstLine="210" w:firstLineChars="100"/>
              <w:jc w:val="left"/>
              <w:rPr>
                <w:rFonts w:ascii="宋体" w:hAnsi="宋体" w:cs="宋体"/>
                <w:color w:val="auto"/>
                <w:kern w:val="0"/>
                <w:szCs w:val="21"/>
              </w:rPr>
            </w:pPr>
          </w:p>
          <w:p>
            <w:pPr>
              <w:widowControl/>
              <w:jc w:val="left"/>
              <w:rPr>
                <w:rFonts w:ascii="宋体" w:hAnsi="宋体" w:cs="宋体"/>
                <w:color w:val="auto"/>
                <w:kern w:val="0"/>
                <w:szCs w:val="21"/>
              </w:rPr>
            </w:pPr>
            <w:r>
              <w:rPr>
                <w:rFonts w:hint="eastAsia" w:ascii="宋体" w:hAnsi="宋体" w:cs="宋体"/>
                <w:color w:val="auto"/>
                <w:kern w:val="0"/>
                <w:szCs w:val="21"/>
              </w:rPr>
              <w:t>投标人…</w:t>
            </w:r>
          </w:p>
          <w:p>
            <w:pPr>
              <w:widowControl/>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已按规定金额和递交时间递交投标保证金并在技术标投标文件中附有投标保证金收据复印件；</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未在技术投标文件中涉及本工程项目投标报价；</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投标文件封面由法定代表人或授权代表签字</w:t>
            </w:r>
            <w:r>
              <w:rPr>
                <w:rFonts w:hint="eastAsia" w:ascii="宋体" w:hAnsi="宋体" w:cs="宋体"/>
                <w:color w:val="auto"/>
                <w:kern w:val="0"/>
                <w:szCs w:val="21"/>
              </w:rPr>
              <w:t>（或签章）</w:t>
            </w:r>
            <w:r>
              <w:rPr>
                <w:rFonts w:hint="eastAsia" w:ascii="宋体" w:hAnsi="宋体" w:cs="宋体"/>
                <w:color w:val="auto"/>
                <w:kern w:val="0"/>
                <w:szCs w:val="21"/>
                <w:u w:val="single"/>
              </w:rPr>
              <w:t>且盖公章</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投标函</w:t>
            </w:r>
            <w:r>
              <w:rPr>
                <w:rFonts w:hint="eastAsia" w:ascii="宋体" w:hAnsi="宋体" w:cs="宋体"/>
                <w:color w:val="auto"/>
                <w:kern w:val="0"/>
                <w:szCs w:val="21"/>
              </w:rPr>
              <w:t>（技术标）</w:t>
            </w:r>
            <w:r>
              <w:rPr>
                <w:rFonts w:hint="eastAsia" w:ascii="宋体" w:hAnsi="宋体" w:cs="宋体"/>
                <w:color w:val="auto"/>
                <w:kern w:val="0"/>
                <w:szCs w:val="21"/>
                <w:u w:val="single"/>
              </w:rPr>
              <w:t>由法定代表人或授权代表签字</w:t>
            </w:r>
            <w:r>
              <w:rPr>
                <w:rFonts w:hint="eastAsia" w:ascii="宋体" w:hAnsi="宋体" w:cs="宋体"/>
                <w:color w:val="auto"/>
                <w:kern w:val="0"/>
                <w:szCs w:val="21"/>
              </w:rPr>
              <w:t>（或签章）</w:t>
            </w:r>
            <w:r>
              <w:rPr>
                <w:rFonts w:hint="eastAsia" w:ascii="宋体" w:hAnsi="宋体" w:cs="宋体"/>
                <w:color w:val="auto"/>
                <w:kern w:val="0"/>
                <w:szCs w:val="21"/>
                <w:u w:val="single"/>
              </w:rPr>
              <w:t>且盖公章；</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856"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3403"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不存在串通投标情形（串通投标情形以《中华人民共和国招标投标法实施条例》为准）；</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856" w:type="dxa"/>
            <w:noWrap/>
            <w:vAlign w:val="center"/>
          </w:tcPr>
          <w:p>
            <w:pPr>
              <w:widowControl/>
              <w:jc w:val="center"/>
              <w:rPr>
                <w:rFonts w:ascii="宋体" w:hAnsi="宋体" w:cs="宋体"/>
                <w:bCs/>
                <w:color w:val="auto"/>
                <w:kern w:val="0"/>
                <w:szCs w:val="21"/>
              </w:rPr>
            </w:pPr>
            <w:r>
              <w:rPr>
                <w:rFonts w:ascii="宋体" w:hAnsi="宋体" w:cs="宋体"/>
                <w:bCs/>
                <w:color w:val="auto"/>
                <w:kern w:val="0"/>
                <w:szCs w:val="21"/>
              </w:rPr>
              <w:t>6</w:t>
            </w:r>
          </w:p>
        </w:tc>
        <w:tc>
          <w:tcPr>
            <w:tcW w:w="3403" w:type="dxa"/>
            <w:vAlign w:val="center"/>
          </w:tcPr>
          <w:p>
            <w:pPr>
              <w:widowControl/>
              <w:jc w:val="left"/>
              <w:rPr>
                <w:rFonts w:ascii="宋体" w:hAnsi="宋体" w:cs="宋体"/>
                <w:bCs/>
                <w:color w:val="auto"/>
                <w:kern w:val="0"/>
                <w:szCs w:val="21"/>
              </w:rPr>
            </w:pPr>
            <w:r>
              <w:rPr>
                <w:rFonts w:hint="eastAsia" w:ascii="宋体" w:hAnsi="宋体" w:cs="宋体"/>
                <w:bCs/>
                <w:color w:val="auto"/>
                <w:kern w:val="0"/>
                <w:szCs w:val="21"/>
              </w:rPr>
              <w:t>投标文件的有效期满足招标文件要求</w:t>
            </w:r>
            <w:r>
              <w:rPr>
                <w:rFonts w:ascii="宋体" w:hAnsi="宋体" w:cs="宋体"/>
                <w:bCs/>
                <w:color w:val="auto"/>
                <w:kern w:val="0"/>
                <w:szCs w:val="21"/>
              </w:rPr>
              <w:t>.</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259" w:type="dxa"/>
            <w:gridSpan w:val="2"/>
            <w:noWrap/>
            <w:vAlign w:val="center"/>
          </w:tcPr>
          <w:p>
            <w:pPr>
              <w:widowControl/>
              <w:jc w:val="center"/>
              <w:rPr>
                <w:rFonts w:ascii="宋体" w:hAnsi="宋体" w:cs="宋体"/>
                <w:color w:val="auto"/>
                <w:kern w:val="0"/>
                <w:szCs w:val="21"/>
              </w:rPr>
            </w:pPr>
            <w:r>
              <w:rPr>
                <w:rFonts w:hint="eastAsia" w:ascii="宋体" w:hAnsi="宋体" w:cs="宋体"/>
                <w:bCs/>
                <w:color w:val="auto"/>
                <w:kern w:val="0"/>
                <w:szCs w:val="21"/>
              </w:rPr>
              <w:t>结论</w:t>
            </w:r>
          </w:p>
        </w:tc>
        <w:tc>
          <w:tcPr>
            <w:tcW w:w="1134" w:type="dxa"/>
          </w:tcPr>
          <w:p>
            <w:pPr>
              <w:widowControl/>
              <w:jc w:val="center"/>
              <w:rPr>
                <w:rFonts w:ascii="宋体" w:hAnsi="宋体" w:cs="宋体"/>
                <w:b/>
                <w:bCs/>
                <w:color w:val="auto"/>
                <w:kern w:val="0"/>
                <w:szCs w:val="21"/>
              </w:rPr>
            </w:pPr>
          </w:p>
        </w:tc>
        <w:tc>
          <w:tcPr>
            <w:tcW w:w="1276" w:type="dxa"/>
            <w:noWrap/>
            <w:vAlign w:val="center"/>
          </w:tcPr>
          <w:p>
            <w:pPr>
              <w:widowControl/>
              <w:jc w:val="center"/>
              <w:rPr>
                <w:rFonts w:ascii="宋体" w:hAnsi="宋体" w:cs="宋体"/>
                <w:b/>
                <w:bCs/>
                <w:color w:val="auto"/>
                <w:kern w:val="0"/>
                <w:szCs w:val="21"/>
              </w:rPr>
            </w:pPr>
          </w:p>
        </w:tc>
        <w:tc>
          <w:tcPr>
            <w:tcW w:w="1134" w:type="dxa"/>
          </w:tcPr>
          <w:p>
            <w:pPr>
              <w:widowControl/>
              <w:jc w:val="center"/>
              <w:rPr>
                <w:rFonts w:ascii="宋体" w:hAnsi="宋体" w:cs="宋体"/>
                <w:b/>
                <w:bCs/>
                <w:color w:val="auto"/>
                <w:kern w:val="0"/>
                <w:szCs w:val="21"/>
              </w:rPr>
            </w:pPr>
          </w:p>
        </w:tc>
      </w:tr>
    </w:tbl>
    <w:p>
      <w:pPr>
        <w:spacing w:line="360" w:lineRule="auto"/>
        <w:jc w:val="center"/>
        <w:rPr>
          <w:rFonts w:ascii="宋体" w:hAnsi="宋体" w:cs="宋体"/>
          <w:b/>
          <w:bCs/>
          <w:color w:val="auto"/>
          <w:kern w:val="0"/>
          <w:szCs w:val="21"/>
        </w:rPr>
      </w:pPr>
    </w:p>
    <w:p>
      <w:pPr>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备注：</w:t>
      </w:r>
      <w:r>
        <w:rPr>
          <w:rFonts w:ascii="宋体" w:hAnsi="宋体" w:cs="宋体"/>
          <w:color w:val="auto"/>
          <w:kern w:val="0"/>
          <w:szCs w:val="21"/>
        </w:rPr>
        <w:t>1、每一项目符合的打“○”，不符合的打“X”，出现一个“X”的结论为“不通过”。</w:t>
      </w:r>
    </w:p>
    <w:p>
      <w:pPr>
        <w:snapToGrid w:val="0"/>
        <w:spacing w:line="360" w:lineRule="auto"/>
        <w:ind w:firstLine="1050" w:firstLineChars="500"/>
        <w:rPr>
          <w:rFonts w:ascii="宋体" w:hAnsi="宋体" w:cs="宋体"/>
          <w:color w:val="auto"/>
          <w:szCs w:val="21"/>
        </w:rPr>
      </w:pPr>
      <w:r>
        <w:rPr>
          <w:rFonts w:ascii="宋体" w:hAnsi="宋体" w:cs="宋体"/>
          <w:color w:val="auto"/>
          <w:kern w:val="0"/>
          <w:szCs w:val="21"/>
        </w:rPr>
        <w:t>2、“结论”一栏应写“通过”或“不通过”，表中全部条件满足为“通过”，可进入下一阶段评审。</w:t>
      </w:r>
    </w:p>
    <w:p>
      <w:pPr>
        <w:spacing w:line="360" w:lineRule="auto"/>
        <w:rPr>
          <w:rFonts w:ascii="宋体" w:hAnsi="宋体" w:cs="宋体"/>
          <w:color w:val="auto"/>
          <w:szCs w:val="21"/>
        </w:rPr>
      </w:pPr>
    </w:p>
    <w:p>
      <w:pPr>
        <w:spacing w:line="360" w:lineRule="auto"/>
        <w:outlineLvl w:val="2"/>
        <w:rPr>
          <w:rFonts w:ascii="宋体" w:hAnsi="宋体" w:cs="宋体"/>
          <w:b/>
          <w:color w:val="auto"/>
          <w:szCs w:val="21"/>
        </w:rPr>
      </w:pPr>
      <w:r>
        <w:rPr>
          <w:rFonts w:ascii="宋体" w:hAnsi="宋体" w:cs="宋体"/>
          <w:color w:val="auto"/>
          <w:szCs w:val="21"/>
        </w:rPr>
        <w:br w:type="page"/>
      </w:r>
      <w:r>
        <w:rPr>
          <w:rFonts w:hint="eastAsia" w:ascii="宋体" w:hAnsi="宋体" w:cs="宋体"/>
          <w:b/>
          <w:color w:val="auto"/>
          <w:szCs w:val="21"/>
        </w:rPr>
        <w:t>附件三</w:t>
      </w:r>
      <w:r>
        <w:rPr>
          <w:rFonts w:ascii="宋体" w:hAnsi="宋体" w:cs="宋体"/>
          <w:b/>
          <w:color w:val="auto"/>
          <w:szCs w:val="21"/>
        </w:rPr>
        <w:t xml:space="preserve"> </w:t>
      </w:r>
      <w:r>
        <w:rPr>
          <w:rFonts w:hint="eastAsia" w:ascii="宋体" w:hAnsi="宋体" w:cs="宋体"/>
          <w:b/>
          <w:color w:val="auto"/>
          <w:szCs w:val="21"/>
          <w:lang w:eastAsia="zh-CN"/>
        </w:rPr>
        <w:t>：</w:t>
      </w:r>
      <w:r>
        <w:rPr>
          <w:rFonts w:hint="eastAsia" w:ascii="宋体" w:hAnsi="宋体" w:cs="宋体"/>
          <w:b/>
          <w:color w:val="auto"/>
          <w:szCs w:val="21"/>
        </w:rPr>
        <w:t>技术标详细审查评分表</w:t>
      </w:r>
    </w:p>
    <w:p>
      <w:pPr>
        <w:snapToGrid w:val="0"/>
        <w:spacing w:line="360" w:lineRule="auto"/>
        <w:rPr>
          <w:rFonts w:ascii="宋体" w:hAnsi="宋体" w:cs="宋体"/>
          <w:b/>
          <w:bCs/>
          <w:color w:val="auto"/>
          <w:szCs w:val="21"/>
        </w:rPr>
      </w:pPr>
      <w:r>
        <w:rPr>
          <w:rFonts w:ascii="宋体" w:hAnsi="宋体" w:cs="宋体"/>
          <w:b/>
          <w:bCs/>
          <w:color w:val="auto"/>
          <w:szCs w:val="21"/>
        </w:rPr>
        <w:t>1、评审项目和权重、分值</w:t>
      </w:r>
    </w:p>
    <w:p>
      <w:pPr>
        <w:snapToGrid w:val="0"/>
        <w:spacing w:line="360" w:lineRule="auto"/>
        <w:ind w:firstLine="480"/>
        <w:rPr>
          <w:rFonts w:ascii="宋体" w:hAnsi="宋体" w:cs="宋体"/>
          <w:color w:val="auto"/>
          <w:szCs w:val="21"/>
        </w:rPr>
      </w:pPr>
      <w:r>
        <w:rPr>
          <w:rFonts w:hint="eastAsia" w:ascii="宋体" w:hAnsi="宋体" w:cs="宋体"/>
          <w:color w:val="auto"/>
          <w:szCs w:val="21"/>
        </w:rPr>
        <w:t>技术方案评审分若干主要项目进行评审，每个项目根据其重要性确定权重分值，各项目分【好、中、差】三个档次，每个档次包含一定的分值范围，具体权重和分值范围如下表规定：</w:t>
      </w:r>
    </w:p>
    <w:p>
      <w:pPr>
        <w:snapToGrid w:val="0"/>
        <w:spacing w:line="360" w:lineRule="auto"/>
        <w:jc w:val="center"/>
        <w:rPr>
          <w:rFonts w:ascii="宋体" w:hAnsi="宋体" w:cs="宋体"/>
          <w:b/>
          <w:color w:val="auto"/>
          <w:szCs w:val="21"/>
        </w:rPr>
      </w:pPr>
      <w:r>
        <w:rPr>
          <w:rFonts w:hint="eastAsia" w:ascii="宋体" w:hAnsi="宋体" w:cs="宋体"/>
          <w:b/>
          <w:color w:val="auto"/>
          <w:szCs w:val="21"/>
        </w:rPr>
        <w:t>技术标详细审查评分表</w:t>
      </w:r>
    </w:p>
    <w:tbl>
      <w:tblPr>
        <w:tblStyle w:val="28"/>
        <w:tblW w:w="8645" w:type="dxa"/>
        <w:jc w:val="center"/>
        <w:tblInd w:w="0" w:type="dxa"/>
        <w:tblLayout w:type="fixed"/>
        <w:tblCellMar>
          <w:top w:w="0" w:type="dxa"/>
          <w:left w:w="0" w:type="dxa"/>
          <w:bottom w:w="0" w:type="dxa"/>
          <w:right w:w="0" w:type="dxa"/>
        </w:tblCellMar>
      </w:tblPr>
      <w:tblGrid>
        <w:gridCol w:w="598"/>
        <w:gridCol w:w="2697"/>
        <w:gridCol w:w="681"/>
        <w:gridCol w:w="486"/>
        <w:gridCol w:w="1459"/>
        <w:gridCol w:w="1362"/>
        <w:gridCol w:w="1362"/>
      </w:tblGrid>
      <w:tr>
        <w:tblPrEx>
          <w:tblLayout w:type="fixed"/>
          <w:tblCellMar>
            <w:top w:w="0" w:type="dxa"/>
            <w:left w:w="0" w:type="dxa"/>
            <w:bottom w:w="0" w:type="dxa"/>
            <w:right w:w="0" w:type="dxa"/>
          </w:tblCellMar>
        </w:tblPrEx>
        <w:trPr>
          <w:trHeight w:val="418" w:hRule="exact"/>
          <w:jc w:val="center"/>
        </w:trPr>
        <w:tc>
          <w:tcPr>
            <w:tcW w:w="598" w:type="dxa"/>
            <w:vMerge w:val="restart"/>
            <w:tcBorders>
              <w:top w:val="single" w:color="000000" w:sz="4" w:space="0"/>
              <w:left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序</w:t>
            </w:r>
          </w:p>
          <w:p>
            <w:pPr>
              <w:jc w:val="center"/>
              <w:rPr>
                <w:rFonts w:ascii="宋体" w:hAnsi="宋体" w:cs="宋体"/>
                <w:color w:val="auto"/>
                <w:kern w:val="0"/>
                <w:szCs w:val="21"/>
              </w:rPr>
            </w:pPr>
            <w:r>
              <w:rPr>
                <w:rFonts w:hint="eastAsia" w:ascii="宋体" w:hAnsi="宋体" w:cs="宋体"/>
                <w:color w:val="auto"/>
                <w:kern w:val="0"/>
                <w:szCs w:val="21"/>
              </w:rPr>
              <w:t>号</w:t>
            </w:r>
          </w:p>
        </w:tc>
        <w:tc>
          <w:tcPr>
            <w:tcW w:w="2697" w:type="dxa"/>
            <w:vMerge w:val="restart"/>
            <w:tcBorders>
              <w:top w:val="single" w:color="000000" w:sz="4"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评审项目</w:t>
            </w:r>
          </w:p>
        </w:tc>
        <w:tc>
          <w:tcPr>
            <w:tcW w:w="1167" w:type="dxa"/>
            <w:gridSpan w:val="2"/>
            <w:vMerge w:val="restart"/>
            <w:tcBorders>
              <w:top w:val="single" w:color="000000" w:sz="4"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权重</w:t>
            </w:r>
          </w:p>
        </w:tc>
        <w:tc>
          <w:tcPr>
            <w:tcW w:w="4183" w:type="dxa"/>
            <w:gridSpan w:val="3"/>
            <w:tcBorders>
              <w:top w:val="single" w:color="000000" w:sz="4" w:space="0"/>
              <w:left w:val="nil"/>
              <w:bottom w:val="single" w:color="000000" w:sz="6" w:space="0"/>
              <w:right w:val="single" w:color="000000" w:sz="4" w:space="0"/>
            </w:tcBorders>
          </w:tcPr>
          <w:p>
            <w:pPr>
              <w:jc w:val="center"/>
              <w:rPr>
                <w:rFonts w:ascii="宋体" w:hAnsi="宋体" w:cs="宋体"/>
                <w:color w:val="auto"/>
                <w:kern w:val="0"/>
                <w:szCs w:val="21"/>
              </w:rPr>
            </w:pPr>
            <w:r>
              <w:rPr>
                <w:rFonts w:hint="eastAsia" w:ascii="宋体" w:hAnsi="宋体" w:cs="宋体"/>
                <w:color w:val="auto"/>
                <w:kern w:val="0"/>
                <w:szCs w:val="21"/>
              </w:rPr>
              <w:t>评分</w:t>
            </w:r>
          </w:p>
        </w:tc>
      </w:tr>
      <w:tr>
        <w:tblPrEx>
          <w:tblLayout w:type="fixed"/>
          <w:tblCellMar>
            <w:top w:w="0" w:type="dxa"/>
            <w:left w:w="0" w:type="dxa"/>
            <w:bottom w:w="0" w:type="dxa"/>
            <w:right w:w="0" w:type="dxa"/>
          </w:tblCellMar>
        </w:tblPrEx>
        <w:trPr>
          <w:trHeight w:val="418" w:hRule="exact"/>
          <w:jc w:val="center"/>
        </w:trPr>
        <w:tc>
          <w:tcPr>
            <w:tcW w:w="598" w:type="dxa"/>
            <w:vMerge w:val="continue"/>
            <w:tcBorders>
              <w:top w:val="single" w:color="000000" w:sz="4" w:space="0"/>
              <w:left w:val="single" w:color="000000" w:sz="4" w:space="0"/>
              <w:right w:val="single" w:color="000000" w:sz="6" w:space="0"/>
            </w:tcBorders>
            <w:vAlign w:val="center"/>
          </w:tcPr>
          <w:p>
            <w:pPr>
              <w:jc w:val="center"/>
              <w:rPr>
                <w:rFonts w:ascii="宋体" w:hAnsi="宋体" w:cs="宋体"/>
                <w:color w:val="auto"/>
                <w:kern w:val="0"/>
                <w:szCs w:val="21"/>
              </w:rPr>
            </w:pPr>
          </w:p>
        </w:tc>
        <w:tc>
          <w:tcPr>
            <w:tcW w:w="2697" w:type="dxa"/>
            <w:vMerge w:val="continue"/>
            <w:tcBorders>
              <w:top w:val="single" w:color="000000" w:sz="4" w:space="0"/>
              <w:left w:val="nil"/>
              <w:right w:val="single" w:color="000000" w:sz="6" w:space="0"/>
            </w:tcBorders>
            <w:vAlign w:val="center"/>
          </w:tcPr>
          <w:p>
            <w:pPr>
              <w:jc w:val="center"/>
              <w:rPr>
                <w:rFonts w:ascii="宋体" w:hAnsi="宋体" w:cs="宋体"/>
                <w:color w:val="auto"/>
                <w:kern w:val="0"/>
                <w:szCs w:val="21"/>
              </w:rPr>
            </w:pPr>
          </w:p>
        </w:tc>
        <w:tc>
          <w:tcPr>
            <w:tcW w:w="1167" w:type="dxa"/>
            <w:gridSpan w:val="2"/>
            <w:vMerge w:val="continue"/>
            <w:tcBorders>
              <w:top w:val="single" w:color="000000" w:sz="4" w:space="0"/>
              <w:left w:val="nil"/>
              <w:right w:val="single" w:color="000000" w:sz="6" w:space="0"/>
            </w:tcBorders>
            <w:vAlign w:val="center"/>
          </w:tcPr>
          <w:p>
            <w:pPr>
              <w:jc w:val="center"/>
              <w:rPr>
                <w:rFonts w:ascii="宋体" w:hAnsi="宋体" w:cs="宋体"/>
                <w:color w:val="auto"/>
                <w:kern w:val="0"/>
                <w:szCs w:val="21"/>
              </w:rPr>
            </w:pPr>
          </w:p>
        </w:tc>
        <w:tc>
          <w:tcPr>
            <w:tcW w:w="1459" w:type="dxa"/>
            <w:tcBorders>
              <w:top w:val="single" w:color="000000" w:sz="6"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好</w:t>
            </w:r>
          </w:p>
        </w:tc>
        <w:tc>
          <w:tcPr>
            <w:tcW w:w="1362" w:type="dxa"/>
            <w:tcBorders>
              <w:top w:val="single" w:color="000000" w:sz="6" w:space="0"/>
              <w:left w:val="nil"/>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中</w:t>
            </w:r>
          </w:p>
        </w:tc>
        <w:tc>
          <w:tcPr>
            <w:tcW w:w="1362" w:type="dxa"/>
            <w:tcBorders>
              <w:top w:val="single" w:color="000000" w:sz="6" w:space="0"/>
              <w:left w:val="nil"/>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差</w:t>
            </w:r>
          </w:p>
        </w:tc>
      </w:tr>
      <w:tr>
        <w:tblPrEx>
          <w:tblLayout w:type="fixed"/>
          <w:tblCellMar>
            <w:top w:w="0" w:type="dxa"/>
            <w:left w:w="0" w:type="dxa"/>
            <w:bottom w:w="0" w:type="dxa"/>
            <w:right w:w="0" w:type="dxa"/>
          </w:tblCellMar>
        </w:tblPrEx>
        <w:trPr>
          <w:trHeight w:val="418" w:hRule="exact"/>
          <w:jc w:val="center"/>
        </w:trPr>
        <w:tc>
          <w:tcPr>
            <w:tcW w:w="3295" w:type="dxa"/>
            <w:gridSpan w:val="2"/>
            <w:tcBorders>
              <w:top w:val="single" w:color="000000" w:sz="4" w:space="0"/>
              <w:left w:val="single" w:color="000000" w:sz="4" w:space="0"/>
              <w:bottom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总计</w:t>
            </w:r>
          </w:p>
        </w:tc>
        <w:tc>
          <w:tcPr>
            <w:tcW w:w="1167" w:type="dxa"/>
            <w:gridSpan w:val="2"/>
            <w:tcBorders>
              <w:top w:val="single" w:color="000000" w:sz="4" w:space="0"/>
              <w:left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100</w:t>
            </w:r>
          </w:p>
        </w:tc>
        <w:tc>
          <w:tcPr>
            <w:tcW w:w="1459" w:type="dxa"/>
            <w:tcBorders>
              <w:top w:val="single" w:color="000000" w:sz="4" w:space="0"/>
              <w:left w:val="nil"/>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c>
          <w:tcPr>
            <w:tcW w:w="1362" w:type="dxa"/>
            <w:tcBorders>
              <w:top w:val="single" w:color="000000" w:sz="4" w:space="0"/>
              <w:left w:val="nil"/>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c>
          <w:tcPr>
            <w:tcW w:w="1362" w:type="dxa"/>
            <w:tcBorders>
              <w:top w:val="single" w:color="000000" w:sz="4" w:space="0"/>
              <w:left w:val="nil"/>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w:t>
            </w:r>
          </w:p>
        </w:tc>
      </w:tr>
      <w:tr>
        <w:tblPrEx>
          <w:tblLayout w:type="fixed"/>
          <w:tblCellMar>
            <w:top w:w="0" w:type="dxa"/>
            <w:left w:w="0" w:type="dxa"/>
            <w:bottom w:w="0" w:type="dxa"/>
            <w:right w:w="0" w:type="dxa"/>
          </w:tblCellMar>
        </w:tblPrEx>
        <w:trPr>
          <w:trHeight w:val="626"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b/>
                <w:color w:val="auto"/>
                <w:kern w:val="0"/>
                <w:szCs w:val="21"/>
              </w:rPr>
            </w:pPr>
            <w:r>
              <w:rPr>
                <w:rFonts w:ascii="宋体" w:hAnsi="宋体" w:cs="宋体"/>
                <w:b/>
                <w:color w:val="auto"/>
                <w:kern w:val="0"/>
                <w:szCs w:val="21"/>
              </w:rPr>
              <w:t>1</w:t>
            </w:r>
          </w:p>
        </w:tc>
        <w:tc>
          <w:tcPr>
            <w:tcW w:w="2697" w:type="dxa"/>
            <w:tcBorders>
              <w:top w:val="single" w:color="000000" w:sz="4" w:space="0"/>
              <w:left w:val="single" w:color="000000" w:sz="4" w:space="0"/>
              <w:bottom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自有实验室</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183" w:type="dxa"/>
            <w:gridSpan w:val="3"/>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5000KN及以上千斤顶3分，钢筋扫描仪1分，</w:t>
            </w:r>
          </w:p>
          <w:p>
            <w:pPr>
              <w:jc w:val="left"/>
              <w:rPr>
                <w:rFonts w:ascii="宋体" w:hAnsi="宋体" w:cs="宋体"/>
                <w:color w:val="auto"/>
                <w:kern w:val="0"/>
                <w:szCs w:val="21"/>
              </w:rPr>
            </w:pPr>
            <w:r>
              <w:rPr>
                <w:rFonts w:hint="eastAsia" w:ascii="宋体" w:hAnsi="宋体" w:cs="宋体"/>
                <w:color w:val="auto"/>
                <w:kern w:val="0"/>
                <w:szCs w:val="21"/>
              </w:rPr>
              <w:t>超声波检测仪1分</w:t>
            </w:r>
          </w:p>
          <w:p>
            <w:pPr>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b/>
                <w:color w:val="auto"/>
                <w:kern w:val="0"/>
                <w:szCs w:val="21"/>
              </w:rPr>
            </w:pPr>
            <w:r>
              <w:rPr>
                <w:rFonts w:ascii="宋体" w:hAnsi="宋体" w:cs="宋体"/>
                <w:b/>
                <w:color w:val="auto"/>
                <w:kern w:val="0"/>
                <w:szCs w:val="21"/>
              </w:rPr>
              <w:t>2</w:t>
            </w:r>
          </w:p>
        </w:tc>
        <w:tc>
          <w:tcPr>
            <w:tcW w:w="2697" w:type="dxa"/>
            <w:tcBorders>
              <w:top w:val="single" w:color="000000" w:sz="4" w:space="0"/>
              <w:left w:val="single" w:color="000000" w:sz="4" w:space="0"/>
              <w:bottom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人员配置</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10.5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2.1</w:t>
            </w:r>
          </w:p>
        </w:tc>
        <w:tc>
          <w:tcPr>
            <w:tcW w:w="2697" w:type="dxa"/>
            <w:tcBorders>
              <w:top w:val="single" w:color="000000" w:sz="4" w:space="0"/>
              <w:left w:val="single" w:color="000000" w:sz="4" w:space="0"/>
              <w:bottom w:val="single" w:color="000000" w:sz="6" w:space="0"/>
            </w:tcBorders>
            <w:vAlign w:val="center"/>
          </w:tcPr>
          <w:p>
            <w:pPr>
              <w:rPr>
                <w:rFonts w:ascii="宋体" w:hAnsi="宋体" w:cs="宋体"/>
                <w:color w:val="auto"/>
                <w:kern w:val="0"/>
                <w:szCs w:val="21"/>
              </w:rPr>
            </w:pPr>
            <w:r>
              <w:rPr>
                <w:rFonts w:hint="eastAsia" w:ascii="宋体" w:hAnsi="宋体" w:cs="宋体"/>
                <w:color w:val="auto"/>
                <w:kern w:val="0"/>
                <w:szCs w:val="21"/>
              </w:rPr>
              <w:t>项目负责人</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2.2</w:t>
            </w:r>
          </w:p>
        </w:tc>
        <w:tc>
          <w:tcPr>
            <w:tcW w:w="2697" w:type="dxa"/>
            <w:tcBorders>
              <w:top w:val="single" w:color="000000" w:sz="4" w:space="0"/>
              <w:left w:val="single" w:color="000000" w:sz="4" w:space="0"/>
              <w:bottom w:val="single" w:color="000000" w:sz="6" w:space="0"/>
            </w:tcBorders>
            <w:vAlign w:val="center"/>
          </w:tcPr>
          <w:p>
            <w:pPr>
              <w:rPr>
                <w:rFonts w:ascii="宋体" w:hAnsi="宋体" w:cs="宋体"/>
                <w:color w:val="auto"/>
                <w:kern w:val="0"/>
                <w:szCs w:val="21"/>
              </w:rPr>
            </w:pPr>
            <w:r>
              <w:rPr>
                <w:rFonts w:ascii="宋体" w:hAnsi="宋体" w:cs="宋体"/>
                <w:color w:val="auto"/>
                <w:kern w:val="0"/>
                <w:szCs w:val="21"/>
              </w:rPr>
              <w:t>2个专项检测负责人</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w:t>
            </w:r>
          </w:p>
        </w:tc>
      </w:tr>
      <w:tr>
        <w:tblPrEx>
          <w:tblLayout w:type="fixed"/>
          <w:tblCellMar>
            <w:top w:w="0" w:type="dxa"/>
            <w:left w:w="0" w:type="dxa"/>
            <w:bottom w:w="0" w:type="dxa"/>
            <w:right w:w="0" w:type="dxa"/>
          </w:tblCellMar>
        </w:tblPrEx>
        <w:trPr>
          <w:trHeight w:val="1162" w:hRule="exact"/>
          <w:jc w:val="center"/>
        </w:trPr>
        <w:tc>
          <w:tcPr>
            <w:tcW w:w="598" w:type="dxa"/>
            <w:tcBorders>
              <w:top w:val="single" w:color="000000" w:sz="4" w:space="0"/>
              <w:left w:val="single" w:color="000000" w:sz="4" w:space="0"/>
              <w:bottom w:val="single" w:color="auto" w:sz="4" w:space="0"/>
            </w:tcBorders>
            <w:vAlign w:val="center"/>
          </w:tcPr>
          <w:p>
            <w:pPr>
              <w:jc w:val="center"/>
              <w:rPr>
                <w:rFonts w:ascii="宋体" w:hAnsi="宋体" w:cs="宋体"/>
                <w:color w:val="auto"/>
                <w:kern w:val="0"/>
                <w:szCs w:val="21"/>
              </w:rPr>
            </w:pPr>
            <w:r>
              <w:rPr>
                <w:rFonts w:ascii="宋体" w:hAnsi="宋体" w:cs="宋体"/>
                <w:color w:val="auto"/>
                <w:kern w:val="0"/>
                <w:szCs w:val="21"/>
              </w:rPr>
              <w:t>2.3</w:t>
            </w:r>
          </w:p>
        </w:tc>
        <w:tc>
          <w:tcPr>
            <w:tcW w:w="2697" w:type="dxa"/>
            <w:tcBorders>
              <w:top w:val="single" w:color="000000" w:sz="4" w:space="0"/>
              <w:left w:val="single" w:color="000000" w:sz="4" w:space="0"/>
              <w:bottom w:val="single" w:color="000000" w:sz="6" w:space="0"/>
            </w:tcBorders>
            <w:vAlign w:val="center"/>
          </w:tcPr>
          <w:p>
            <w:pPr>
              <w:rPr>
                <w:rFonts w:ascii="宋体" w:hAnsi="宋体" w:cs="宋体"/>
                <w:color w:val="auto"/>
                <w:kern w:val="0"/>
                <w:szCs w:val="21"/>
              </w:rPr>
            </w:pPr>
            <w:r>
              <w:rPr>
                <w:rFonts w:hint="eastAsia" w:ascii="宋体" w:hAnsi="宋体" w:cs="宋体"/>
                <w:color w:val="auto"/>
                <w:kern w:val="0"/>
                <w:szCs w:val="21"/>
              </w:rPr>
              <w:t>其他主要技术成员（不含项目负责人和</w:t>
            </w:r>
            <w:r>
              <w:rPr>
                <w:rFonts w:ascii="宋体" w:hAnsi="宋体" w:cs="宋体"/>
                <w:color w:val="auto"/>
                <w:kern w:val="0"/>
                <w:szCs w:val="21"/>
              </w:rPr>
              <w:t>2个专项检测负责人）</w:t>
            </w:r>
          </w:p>
        </w:tc>
        <w:tc>
          <w:tcPr>
            <w:tcW w:w="6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459"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3.5</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auto" w:sz="4"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3</w:t>
            </w:r>
          </w:p>
        </w:tc>
        <w:tc>
          <w:tcPr>
            <w:tcW w:w="2697" w:type="dxa"/>
            <w:tcBorders>
              <w:top w:val="single" w:color="000000" w:sz="6" w:space="0"/>
              <w:left w:val="nil"/>
              <w:bottom w:val="single" w:color="000000" w:sz="6" w:space="0"/>
              <w:right w:val="single" w:color="000000" w:sz="4" w:space="0"/>
            </w:tcBorders>
            <w:vAlign w:val="center"/>
          </w:tcPr>
          <w:p>
            <w:pPr>
              <w:rPr>
                <w:rFonts w:ascii="宋体" w:hAnsi="宋体" w:cs="宋体"/>
                <w:b/>
                <w:color w:val="auto"/>
                <w:kern w:val="0"/>
                <w:szCs w:val="21"/>
              </w:rPr>
            </w:pPr>
            <w:r>
              <w:rPr>
                <w:rFonts w:hint="eastAsia" w:ascii="宋体" w:hAnsi="宋体" w:cs="宋体"/>
                <w:b/>
                <w:color w:val="auto"/>
                <w:kern w:val="0"/>
                <w:szCs w:val="21"/>
              </w:rPr>
              <w:t>设备配置</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10</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ascii="宋体" w:hAnsi="宋体" w:cs="宋体"/>
                <w:color w:val="auto"/>
                <w:kern w:val="0"/>
                <w:szCs w:val="21"/>
              </w:rPr>
              <w:t>6</w:t>
            </w:r>
          </w:p>
        </w:tc>
      </w:tr>
      <w:tr>
        <w:tblPrEx>
          <w:tblLayout w:type="fixed"/>
          <w:tblCellMar>
            <w:top w:w="0" w:type="dxa"/>
            <w:left w:w="0" w:type="dxa"/>
            <w:bottom w:w="0" w:type="dxa"/>
            <w:right w:w="0" w:type="dxa"/>
          </w:tblCellMar>
        </w:tblPrEx>
        <w:trPr>
          <w:trHeight w:val="514" w:hRule="exact"/>
          <w:jc w:val="center"/>
        </w:trPr>
        <w:tc>
          <w:tcPr>
            <w:tcW w:w="598" w:type="dxa"/>
            <w:tcBorders>
              <w:top w:val="single" w:color="auto" w:sz="4"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4</w:t>
            </w:r>
          </w:p>
        </w:tc>
        <w:tc>
          <w:tcPr>
            <w:tcW w:w="2697" w:type="dxa"/>
            <w:tcBorders>
              <w:top w:val="single" w:color="000000" w:sz="6" w:space="0"/>
              <w:left w:val="nil"/>
              <w:bottom w:val="single" w:color="000000" w:sz="6" w:space="0"/>
              <w:right w:val="single" w:color="000000" w:sz="4" w:space="0"/>
            </w:tcBorders>
            <w:vAlign w:val="center"/>
          </w:tcPr>
          <w:p>
            <w:pPr>
              <w:rPr>
                <w:rFonts w:ascii="宋体" w:hAnsi="宋体" w:cs="宋体"/>
                <w:b/>
                <w:color w:val="auto"/>
                <w:kern w:val="0"/>
                <w:szCs w:val="21"/>
              </w:rPr>
            </w:pPr>
            <w:r>
              <w:rPr>
                <w:rFonts w:hint="eastAsia" w:ascii="宋体" w:hAnsi="宋体" w:cs="宋体"/>
                <w:b/>
                <w:color w:val="auto"/>
                <w:kern w:val="0"/>
                <w:szCs w:val="21"/>
              </w:rPr>
              <w:t>检测业绩</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(25%)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25</w:t>
            </w:r>
          </w:p>
        </w:tc>
        <w:tc>
          <w:tcPr>
            <w:tcW w:w="4183" w:type="dxa"/>
            <w:gridSpan w:val="3"/>
            <w:tcBorders>
              <w:top w:val="single" w:color="000000" w:sz="4" w:space="0"/>
              <w:left w:val="nil"/>
              <w:bottom w:val="single" w:color="000000" w:sz="4" w:space="0"/>
              <w:right w:val="single" w:color="000000" w:sz="4" w:space="0"/>
            </w:tcBorders>
            <w:vAlign w:val="center"/>
          </w:tcPr>
          <w:p>
            <w:pPr>
              <w:rPr>
                <w:rFonts w:ascii="宋体" w:hAnsi="宋体" w:cs="宋体"/>
                <w:color w:val="auto"/>
                <w:kern w:val="0"/>
                <w:szCs w:val="21"/>
              </w:rPr>
            </w:pPr>
            <w:r>
              <w:rPr>
                <w:rFonts w:hint="eastAsia" w:ascii="宋体" w:hAnsi="宋体" w:cs="宋体"/>
                <w:color w:val="auto"/>
                <w:kern w:val="0"/>
                <w:szCs w:val="21"/>
              </w:rPr>
              <w:t>详见</w:t>
            </w:r>
            <w:r>
              <w:rPr>
                <w:rFonts w:ascii="宋体" w:hAnsi="宋体" w:cs="宋体"/>
                <w:color w:val="auto"/>
                <w:szCs w:val="21"/>
              </w:rPr>
              <w:t xml:space="preserve"> </w:t>
            </w:r>
            <w:r>
              <w:rPr>
                <w:rFonts w:ascii="宋体" w:hAnsi="宋体" w:cs="宋体"/>
                <w:b/>
                <w:bCs/>
                <w:color w:val="auto"/>
                <w:szCs w:val="21"/>
              </w:rPr>
              <w:t>3、【好、中、差】等级标准第3.4款</w:t>
            </w:r>
          </w:p>
        </w:tc>
      </w:tr>
      <w:tr>
        <w:tblPrEx>
          <w:tblLayout w:type="fixed"/>
          <w:tblCellMar>
            <w:top w:w="0" w:type="dxa"/>
            <w:left w:w="0" w:type="dxa"/>
            <w:bottom w:w="0" w:type="dxa"/>
            <w:right w:w="0" w:type="dxa"/>
          </w:tblCellMar>
        </w:tblPrEx>
        <w:trPr>
          <w:trHeight w:val="461" w:hRule="exact"/>
          <w:jc w:val="center"/>
        </w:trPr>
        <w:tc>
          <w:tcPr>
            <w:tcW w:w="598" w:type="dxa"/>
            <w:tcBorders>
              <w:top w:val="single" w:color="auto" w:sz="4"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5</w:t>
            </w:r>
          </w:p>
        </w:tc>
        <w:tc>
          <w:tcPr>
            <w:tcW w:w="2697" w:type="dxa"/>
            <w:tcBorders>
              <w:top w:val="single" w:color="000000" w:sz="6" w:space="0"/>
              <w:left w:val="nil"/>
              <w:bottom w:val="single" w:color="000000" w:sz="6" w:space="0"/>
              <w:right w:val="single" w:color="000000" w:sz="4" w:space="0"/>
            </w:tcBorders>
            <w:vAlign w:val="center"/>
          </w:tcPr>
          <w:p>
            <w:pPr>
              <w:rPr>
                <w:rFonts w:ascii="宋体" w:hAnsi="宋体" w:cs="宋体"/>
                <w:b/>
                <w:color w:val="auto"/>
                <w:kern w:val="0"/>
                <w:szCs w:val="21"/>
              </w:rPr>
            </w:pPr>
            <w:r>
              <w:rPr>
                <w:rFonts w:hint="eastAsia" w:ascii="宋体" w:hAnsi="宋体" w:cs="宋体"/>
                <w:b/>
                <w:color w:val="auto"/>
                <w:kern w:val="0"/>
                <w:szCs w:val="21"/>
              </w:rPr>
              <w:t>技术能力创新</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5</w:t>
            </w:r>
          </w:p>
        </w:tc>
        <w:tc>
          <w:tcPr>
            <w:tcW w:w="4183" w:type="dxa"/>
            <w:gridSpan w:val="3"/>
            <w:tcBorders>
              <w:top w:val="single" w:color="000000" w:sz="4" w:space="0"/>
              <w:left w:val="nil"/>
              <w:bottom w:val="single" w:color="000000" w:sz="4" w:space="0"/>
              <w:right w:val="single" w:color="000000" w:sz="4" w:space="0"/>
            </w:tcBorders>
            <w:vAlign w:val="center"/>
          </w:tcPr>
          <w:p>
            <w:pPr>
              <w:rPr>
                <w:rFonts w:ascii="宋体" w:hAnsi="宋体" w:cs="宋体"/>
                <w:color w:val="auto"/>
                <w:kern w:val="0"/>
                <w:szCs w:val="21"/>
              </w:rPr>
            </w:pPr>
            <w:r>
              <w:rPr>
                <w:rFonts w:hint="eastAsia" w:ascii="宋体" w:hAnsi="宋体" w:cs="宋体"/>
                <w:color w:val="auto"/>
                <w:kern w:val="0"/>
                <w:szCs w:val="21"/>
              </w:rPr>
              <w:t>详见</w:t>
            </w:r>
            <w:r>
              <w:rPr>
                <w:rFonts w:ascii="宋体" w:hAnsi="宋体" w:cs="宋体"/>
                <w:color w:val="auto"/>
                <w:szCs w:val="21"/>
              </w:rPr>
              <w:t xml:space="preserve"> </w:t>
            </w:r>
            <w:r>
              <w:rPr>
                <w:rFonts w:ascii="宋体" w:hAnsi="宋体" w:cs="宋体"/>
                <w:b/>
                <w:bCs/>
                <w:color w:val="auto"/>
                <w:szCs w:val="21"/>
              </w:rPr>
              <w:t>3、【好、中、差】等级标准第3.5款</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ascii="宋体" w:hAnsi="宋体" w:cs="宋体"/>
                <w:b/>
                <w:color w:val="auto"/>
                <w:kern w:val="0"/>
                <w:szCs w:val="21"/>
              </w:rPr>
              <w:t>6</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检测方案及</w:t>
            </w:r>
            <w:r>
              <w:rPr>
                <w:rFonts w:hint="eastAsia" w:ascii="宋体" w:hAnsi="宋体" w:cs="宋体"/>
                <w:b/>
                <w:color w:val="auto"/>
                <w:szCs w:val="21"/>
              </w:rPr>
              <w:t>服务保证</w:t>
            </w:r>
            <w:r>
              <w:rPr>
                <w:rFonts w:hint="eastAsia" w:ascii="宋体" w:hAnsi="宋体" w:cs="宋体"/>
                <w:b/>
                <w:color w:val="auto"/>
                <w:kern w:val="0"/>
                <w:szCs w:val="21"/>
              </w:rPr>
              <w:t>措施</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(30%)</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30</w:t>
            </w:r>
          </w:p>
        </w:tc>
        <w:tc>
          <w:tcPr>
            <w:tcW w:w="1459" w:type="dxa"/>
            <w:tcBorders>
              <w:top w:val="single" w:color="000000" w:sz="4" w:space="0"/>
              <w:left w:val="nil"/>
              <w:bottom w:val="single" w:color="000000" w:sz="6" w:space="0"/>
              <w:right w:val="single" w:color="000000" w:sz="6" w:space="0"/>
            </w:tcBorders>
            <w:vAlign w:val="center"/>
          </w:tcPr>
          <w:p>
            <w:pPr>
              <w:spacing w:line="360" w:lineRule="auto"/>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6" w:space="0"/>
            </w:tcBorders>
            <w:vAlign w:val="center"/>
          </w:tcPr>
          <w:p>
            <w:pPr>
              <w:spacing w:line="360" w:lineRule="auto"/>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4" w:space="0"/>
            </w:tcBorders>
            <w:vAlign w:val="center"/>
          </w:tcPr>
          <w:p>
            <w:pPr>
              <w:spacing w:line="360" w:lineRule="auto"/>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bCs/>
                <w:color w:val="auto"/>
                <w:kern w:val="0"/>
                <w:szCs w:val="21"/>
              </w:rPr>
            </w:pPr>
            <w:r>
              <w:rPr>
                <w:rFonts w:ascii="宋体" w:hAnsi="宋体" w:cs="宋体"/>
                <w:b/>
                <w:bCs/>
                <w:color w:val="auto"/>
                <w:kern w:val="0"/>
                <w:szCs w:val="21"/>
              </w:rPr>
              <w:t>6.1</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bCs/>
                <w:color w:val="auto"/>
                <w:kern w:val="0"/>
                <w:szCs w:val="21"/>
              </w:rPr>
            </w:pPr>
            <w:r>
              <w:rPr>
                <w:rFonts w:hint="eastAsia" w:ascii="宋体" w:hAnsi="宋体" w:cs="宋体"/>
                <w:b/>
                <w:bCs/>
                <w:color w:val="auto"/>
                <w:szCs w:val="21"/>
              </w:rPr>
              <w:t>地基基础检测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6.1.1</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szCs w:val="21"/>
              </w:rPr>
            </w:pPr>
            <w:r>
              <w:rPr>
                <w:rFonts w:hint="eastAsia" w:ascii="宋体" w:hAnsi="宋体" w:cs="宋体"/>
                <w:bCs/>
                <w:color w:val="auto"/>
                <w:szCs w:val="21"/>
              </w:rPr>
              <w:t>地基承载力检测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bCs/>
                <w:color w:val="auto"/>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6.1.2</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szCs w:val="21"/>
              </w:rPr>
            </w:pPr>
            <w:r>
              <w:rPr>
                <w:rFonts w:hint="eastAsia" w:ascii="宋体" w:hAnsi="宋体" w:cs="宋体"/>
                <w:bCs/>
                <w:color w:val="auto"/>
                <w:szCs w:val="21"/>
              </w:rPr>
              <w:t>单桩荷载检测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620"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6.1.3</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szCs w:val="21"/>
              </w:rPr>
            </w:pPr>
            <w:r>
              <w:rPr>
                <w:rFonts w:hint="eastAsia" w:ascii="宋体" w:hAnsi="宋体" w:cs="宋体"/>
                <w:bCs/>
                <w:color w:val="auto"/>
                <w:szCs w:val="21"/>
              </w:rPr>
              <w:t>完整性、槽壁垂直度及土工试验等项目检测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bCs/>
                <w:color w:val="auto"/>
                <w:kern w:val="0"/>
                <w:szCs w:val="21"/>
              </w:rPr>
            </w:pPr>
            <w:r>
              <w:rPr>
                <w:rFonts w:ascii="宋体" w:hAnsi="宋体" w:cs="宋体"/>
                <w:b/>
                <w:bCs/>
                <w:color w:val="auto"/>
                <w:kern w:val="0"/>
                <w:szCs w:val="21"/>
              </w:rPr>
              <w:t>6.2</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bCs/>
                <w:color w:val="auto"/>
                <w:kern w:val="0"/>
                <w:szCs w:val="21"/>
              </w:rPr>
            </w:pPr>
            <w:r>
              <w:rPr>
                <w:rFonts w:hint="eastAsia" w:ascii="宋体" w:hAnsi="宋体" w:cs="宋体"/>
                <w:b/>
                <w:bCs/>
                <w:color w:val="auto"/>
                <w:szCs w:val="21"/>
              </w:rPr>
              <w:t>主体结构检测</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ascii="宋体" w:hAnsi="宋体" w:cs="宋体"/>
                <w:color w:val="auto"/>
                <w:kern w:val="0"/>
                <w:szCs w:val="21"/>
              </w:rPr>
              <w:t>15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6.2.1</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kern w:val="0"/>
                <w:szCs w:val="21"/>
              </w:rPr>
            </w:pPr>
            <w:r>
              <w:rPr>
                <w:rFonts w:hint="eastAsia" w:ascii="宋体" w:hAnsi="宋体" w:cs="宋体"/>
                <w:bCs/>
                <w:color w:val="auto"/>
                <w:kern w:val="0"/>
                <w:szCs w:val="21"/>
              </w:rPr>
              <w:t>混凝土强度检测</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ascii="宋体" w:hAnsi="宋体" w:cs="宋体"/>
                <w:bCs/>
                <w:color w:val="auto"/>
                <w:szCs w:val="21"/>
              </w:rPr>
              <w:t>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6.2.2</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kern w:val="0"/>
                <w:szCs w:val="21"/>
              </w:rPr>
            </w:pPr>
            <w:r>
              <w:rPr>
                <w:rFonts w:hint="eastAsia" w:ascii="宋体" w:hAnsi="宋体" w:cs="宋体"/>
                <w:bCs/>
                <w:color w:val="auto"/>
                <w:szCs w:val="21"/>
              </w:rPr>
              <w:t>钢筋间距和保护层厚度扫描</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Cs/>
                <w:color w:val="auto"/>
                <w:kern w:val="0"/>
                <w:szCs w:val="21"/>
              </w:rPr>
            </w:pPr>
            <w:r>
              <w:rPr>
                <w:rFonts w:ascii="宋体" w:hAnsi="宋体" w:cs="宋体"/>
                <w:bCs/>
                <w:color w:val="auto"/>
                <w:kern w:val="0"/>
                <w:szCs w:val="21"/>
              </w:rPr>
              <w:t>6.2.3</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Cs/>
                <w:color w:val="auto"/>
                <w:kern w:val="0"/>
                <w:szCs w:val="21"/>
              </w:rPr>
            </w:pPr>
            <w:r>
              <w:rPr>
                <w:rFonts w:hint="eastAsia" w:ascii="宋体" w:hAnsi="宋体" w:cs="宋体"/>
                <w:bCs/>
                <w:color w:val="auto"/>
                <w:szCs w:val="21"/>
              </w:rPr>
              <w:t>抗拉拔力</w:t>
            </w:r>
            <w:r>
              <w:rPr>
                <w:rFonts w:hint="eastAsia" w:ascii="宋体" w:hAnsi="宋体" w:cs="宋体"/>
                <w:bCs/>
                <w:color w:val="auto"/>
                <w:kern w:val="0"/>
                <w:szCs w:val="21"/>
              </w:rPr>
              <w:t>检测</w:t>
            </w:r>
          </w:p>
        </w:tc>
        <w:tc>
          <w:tcPr>
            <w:tcW w:w="681"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4"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4"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r>
        <w:tblPrEx>
          <w:tblLayout w:type="fixed"/>
          <w:tblCellMar>
            <w:top w:w="0" w:type="dxa"/>
            <w:left w:w="0" w:type="dxa"/>
            <w:bottom w:w="0" w:type="dxa"/>
            <w:right w:w="0" w:type="dxa"/>
          </w:tblCellMar>
        </w:tblPrEx>
        <w:trPr>
          <w:trHeight w:val="418" w:hRule="exact"/>
          <w:jc w:val="center"/>
        </w:trPr>
        <w:tc>
          <w:tcPr>
            <w:tcW w:w="598" w:type="dxa"/>
            <w:tcBorders>
              <w:top w:val="single" w:color="000000" w:sz="6" w:space="0"/>
              <w:left w:val="single" w:color="000000" w:sz="4" w:space="0"/>
              <w:bottom w:val="single" w:color="000000" w:sz="6" w:space="0"/>
              <w:right w:val="single" w:color="000000" w:sz="6" w:space="0"/>
            </w:tcBorders>
            <w:vAlign w:val="center"/>
          </w:tcPr>
          <w:p>
            <w:pPr>
              <w:jc w:val="center"/>
              <w:rPr>
                <w:rFonts w:ascii="宋体" w:hAnsi="宋体" w:cs="宋体"/>
                <w:b/>
                <w:color w:val="auto"/>
                <w:kern w:val="0"/>
                <w:szCs w:val="21"/>
              </w:rPr>
            </w:pPr>
            <w:r>
              <w:rPr>
                <w:rFonts w:hint="eastAsia" w:ascii="宋体" w:hAnsi="宋体" w:cs="宋体"/>
                <w:b/>
                <w:color w:val="auto"/>
                <w:kern w:val="0"/>
                <w:szCs w:val="21"/>
              </w:rPr>
              <w:t>7</w:t>
            </w:r>
          </w:p>
        </w:tc>
        <w:tc>
          <w:tcPr>
            <w:tcW w:w="2697" w:type="dxa"/>
            <w:tcBorders>
              <w:top w:val="single" w:color="000000" w:sz="6" w:space="0"/>
              <w:left w:val="nil"/>
              <w:bottom w:val="single" w:color="000000" w:sz="6" w:space="0"/>
              <w:right w:val="single" w:color="000000" w:sz="6" w:space="0"/>
            </w:tcBorders>
            <w:vAlign w:val="center"/>
          </w:tcPr>
          <w:p>
            <w:pPr>
              <w:rPr>
                <w:rFonts w:ascii="宋体" w:hAnsi="宋体" w:cs="宋体"/>
                <w:b/>
                <w:color w:val="auto"/>
                <w:kern w:val="0"/>
                <w:szCs w:val="21"/>
              </w:rPr>
            </w:pPr>
            <w:r>
              <w:rPr>
                <w:rFonts w:hint="eastAsia" w:ascii="宋体" w:hAnsi="宋体" w:cs="宋体"/>
                <w:b/>
                <w:color w:val="auto"/>
                <w:kern w:val="0"/>
                <w:szCs w:val="21"/>
              </w:rPr>
              <w:t>质量保证措施</w:t>
            </w:r>
          </w:p>
        </w:tc>
        <w:tc>
          <w:tcPr>
            <w:tcW w:w="681"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486"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w:t>
            </w:r>
          </w:p>
        </w:tc>
        <w:tc>
          <w:tcPr>
            <w:tcW w:w="1459"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[5，4]</w:t>
            </w:r>
          </w:p>
        </w:tc>
        <w:tc>
          <w:tcPr>
            <w:tcW w:w="1362" w:type="dxa"/>
            <w:tcBorders>
              <w:top w:val="single" w:color="000000" w:sz="4" w:space="0"/>
              <w:left w:val="nil"/>
              <w:bottom w:val="single" w:color="000000" w:sz="6" w:space="0"/>
              <w:right w:val="single" w:color="000000" w:sz="6"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（4，3）</w:t>
            </w:r>
          </w:p>
        </w:tc>
        <w:tc>
          <w:tcPr>
            <w:tcW w:w="1362" w:type="dxa"/>
            <w:tcBorders>
              <w:top w:val="single" w:color="000000" w:sz="4" w:space="0"/>
              <w:left w:val="nil"/>
              <w:bottom w:val="single" w:color="000000" w:sz="6" w:space="0"/>
              <w:right w:val="single" w:color="000000" w:sz="4" w:space="0"/>
            </w:tcBorders>
            <w:vAlign w:val="center"/>
          </w:tcPr>
          <w:p>
            <w:pPr>
              <w:jc w:val="center"/>
              <w:rPr>
                <w:rFonts w:ascii="宋体" w:hAnsi="宋体" w:cs="宋体"/>
                <w:color w:val="auto"/>
                <w:kern w:val="0"/>
                <w:szCs w:val="21"/>
              </w:rPr>
            </w:pPr>
            <w:r>
              <w:rPr>
                <w:rFonts w:hint="eastAsia" w:ascii="宋体" w:hAnsi="宋体" w:cs="宋体"/>
                <w:color w:val="auto"/>
                <w:kern w:val="0"/>
                <w:szCs w:val="21"/>
              </w:rPr>
              <w:t>[3，1]</w:t>
            </w:r>
          </w:p>
        </w:tc>
      </w:tr>
    </w:tbl>
    <w:p>
      <w:pPr>
        <w:rPr>
          <w:rFonts w:ascii="宋体" w:hAnsi="宋体" w:cs="宋体"/>
          <w:color w:val="auto"/>
        </w:rPr>
      </w:pPr>
    </w:p>
    <w:p>
      <w:pPr>
        <w:snapToGrid w:val="0"/>
        <w:spacing w:line="360" w:lineRule="auto"/>
        <w:rPr>
          <w:rFonts w:ascii="宋体" w:hAnsi="宋体" w:cs="宋体"/>
          <w:b/>
          <w:bCs/>
          <w:color w:val="auto"/>
          <w:szCs w:val="21"/>
        </w:rPr>
      </w:pPr>
      <w:r>
        <w:rPr>
          <w:rFonts w:ascii="宋体" w:hAnsi="宋体" w:cs="宋体"/>
          <w:b/>
          <w:bCs/>
          <w:color w:val="auto"/>
          <w:szCs w:val="21"/>
        </w:rPr>
        <w:t>2、评分要求</w:t>
      </w:r>
    </w:p>
    <w:p>
      <w:pPr>
        <w:snapToGrid w:val="0"/>
        <w:spacing w:line="360" w:lineRule="auto"/>
        <w:ind w:firstLine="480"/>
        <w:rPr>
          <w:rFonts w:ascii="宋体" w:hAnsi="宋体" w:cs="宋体"/>
          <w:color w:val="auto"/>
          <w:szCs w:val="21"/>
        </w:rPr>
      </w:pPr>
      <w:r>
        <w:rPr>
          <w:rFonts w:hint="eastAsia" w:ascii="宋体" w:hAnsi="宋体" w:cs="宋体"/>
          <w:color w:val="auto"/>
          <w:szCs w:val="21"/>
        </w:rPr>
        <w:t>技术评分依据“先定档、后评分”的原则，具体要求如下：</w:t>
      </w:r>
    </w:p>
    <w:p>
      <w:pPr>
        <w:snapToGrid w:val="0"/>
        <w:spacing w:line="360" w:lineRule="auto"/>
        <w:ind w:firstLine="480"/>
        <w:rPr>
          <w:rFonts w:ascii="宋体" w:hAnsi="宋体" w:cs="宋体"/>
          <w:color w:val="auto"/>
          <w:szCs w:val="21"/>
        </w:rPr>
      </w:pPr>
      <w:r>
        <w:rPr>
          <w:rFonts w:ascii="宋体" w:hAnsi="宋体" w:cs="宋体"/>
          <w:color w:val="auto"/>
          <w:szCs w:val="21"/>
        </w:rPr>
        <w:t>1）每位评标专家应严格按照本章第3条规定的【好、中、差】等级标准对有效投标文件进行定档评议。</w:t>
      </w:r>
    </w:p>
    <w:p>
      <w:pPr>
        <w:snapToGrid w:val="0"/>
        <w:spacing w:line="360" w:lineRule="auto"/>
        <w:ind w:firstLine="480"/>
        <w:rPr>
          <w:rFonts w:ascii="宋体" w:hAnsi="宋体" w:cs="宋体"/>
          <w:color w:val="auto"/>
          <w:szCs w:val="21"/>
        </w:rPr>
      </w:pPr>
      <w:r>
        <w:rPr>
          <w:rFonts w:ascii="宋体" w:hAnsi="宋体" w:cs="宋体"/>
          <w:color w:val="auto"/>
          <w:szCs w:val="21"/>
        </w:rPr>
        <w:t>2）每位评标专家先递交各自的定档评议，定档分好、中、差三档，好为3分、中为2分、差为1分；经汇总并计算其算术平均分，最终按下表得出各投标人的最终档次。</w:t>
      </w:r>
    </w:p>
    <w:tbl>
      <w:tblPr>
        <w:tblStyle w:val="28"/>
        <w:tblW w:w="6090" w:type="dxa"/>
        <w:tblInd w:w="1393" w:type="dxa"/>
        <w:tblLayout w:type="fixed"/>
        <w:tblCellMar>
          <w:top w:w="0" w:type="dxa"/>
          <w:left w:w="28" w:type="dxa"/>
          <w:bottom w:w="0" w:type="dxa"/>
          <w:right w:w="28" w:type="dxa"/>
        </w:tblCellMar>
      </w:tblPr>
      <w:tblGrid>
        <w:gridCol w:w="2205"/>
        <w:gridCol w:w="2310"/>
        <w:gridCol w:w="1575"/>
      </w:tblGrid>
      <w:tr>
        <w:tblPrEx>
          <w:tblLayout w:type="fixed"/>
          <w:tblCellMar>
            <w:top w:w="0" w:type="dxa"/>
            <w:left w:w="28" w:type="dxa"/>
            <w:bottom w:w="0" w:type="dxa"/>
            <w:right w:w="28" w:type="dxa"/>
          </w:tblCellMar>
        </w:tblPrEx>
        <w:trPr>
          <w:cantSplit/>
          <w:trHeight w:val="263" w:hRule="atLeast"/>
          <w:tblHeader/>
        </w:trPr>
        <w:tc>
          <w:tcPr>
            <w:tcW w:w="2205" w:type="dxa"/>
            <w:tcBorders>
              <w:top w:val="single" w:color="auto" w:sz="6" w:space="0"/>
              <w:left w:val="single" w:color="auto" w:sz="6" w:space="0"/>
              <w:right w:val="single" w:color="auto" w:sz="6"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好</w:t>
            </w:r>
          </w:p>
        </w:tc>
        <w:tc>
          <w:tcPr>
            <w:tcW w:w="2310" w:type="dxa"/>
            <w:tcBorders>
              <w:top w:val="single" w:color="auto" w:sz="6" w:space="0"/>
              <w:left w:val="single" w:color="auto" w:sz="6" w:space="0"/>
              <w:right w:val="single" w:color="auto" w:sz="6"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中</w:t>
            </w:r>
          </w:p>
        </w:tc>
        <w:tc>
          <w:tcPr>
            <w:tcW w:w="1575" w:type="dxa"/>
            <w:tcBorders>
              <w:top w:val="single" w:color="auto" w:sz="6" w:space="0"/>
              <w:left w:val="single" w:color="auto" w:sz="6"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差</w:t>
            </w:r>
          </w:p>
        </w:tc>
      </w:tr>
      <w:tr>
        <w:tblPrEx>
          <w:tblLayout w:type="fixed"/>
          <w:tblCellMar>
            <w:top w:w="0" w:type="dxa"/>
            <w:left w:w="28" w:type="dxa"/>
            <w:bottom w:w="0" w:type="dxa"/>
            <w:right w:w="28" w:type="dxa"/>
          </w:tblCellMar>
        </w:tblPrEx>
        <w:trPr>
          <w:cantSplit/>
          <w:trHeight w:val="244" w:hRule="atLeast"/>
          <w:tblHeader/>
        </w:trPr>
        <w:tc>
          <w:tcPr>
            <w:tcW w:w="22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ascii="宋体" w:hAnsi="宋体" w:cs="宋体"/>
                <w:color w:val="auto"/>
                <w:szCs w:val="21"/>
              </w:rPr>
              <w:t>[3，2.5]</w:t>
            </w:r>
          </w:p>
        </w:tc>
        <w:tc>
          <w:tcPr>
            <w:tcW w:w="23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hint="eastAsia" w:ascii="宋体" w:hAnsi="宋体" w:cs="宋体"/>
                <w:color w:val="auto"/>
                <w:szCs w:val="21"/>
              </w:rPr>
              <w:t>（</w:t>
            </w:r>
            <w:r>
              <w:rPr>
                <w:rFonts w:ascii="宋体" w:hAnsi="宋体" w:cs="宋体"/>
                <w:color w:val="auto"/>
                <w:szCs w:val="21"/>
              </w:rPr>
              <w:t>2.5，1.5）</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Cs w:val="21"/>
              </w:rPr>
            </w:pPr>
            <w:r>
              <w:rPr>
                <w:rFonts w:ascii="宋体" w:hAnsi="宋体" w:cs="宋体"/>
                <w:color w:val="auto"/>
                <w:szCs w:val="21"/>
              </w:rPr>
              <w:t>[1.5，0]</w:t>
            </w:r>
          </w:p>
        </w:tc>
      </w:tr>
    </w:tbl>
    <w:p>
      <w:pPr>
        <w:snapToGrid w:val="0"/>
        <w:spacing w:line="360" w:lineRule="auto"/>
        <w:ind w:firstLine="420" w:firstLineChars="200"/>
        <w:rPr>
          <w:rFonts w:ascii="宋体" w:hAnsi="宋体" w:cs="宋体"/>
          <w:color w:val="auto"/>
          <w:szCs w:val="21"/>
        </w:rPr>
      </w:pPr>
      <w:r>
        <w:rPr>
          <w:rFonts w:ascii="宋体" w:hAnsi="宋体" w:cs="宋体"/>
          <w:color w:val="auto"/>
          <w:szCs w:val="21"/>
        </w:rPr>
        <w:t>3）各评标专家根据评定的最终档次和评分权重标准表进行各自打分，评分不符合最终档次的无效。</w:t>
      </w:r>
    </w:p>
    <w:p>
      <w:pPr>
        <w:snapToGrid w:val="0"/>
        <w:spacing w:line="360" w:lineRule="auto"/>
        <w:ind w:firstLine="480"/>
        <w:rPr>
          <w:rFonts w:ascii="宋体" w:hAnsi="宋体" w:cs="宋体"/>
          <w:color w:val="auto"/>
          <w:szCs w:val="21"/>
        </w:rPr>
      </w:pPr>
      <w:r>
        <w:rPr>
          <w:rFonts w:ascii="宋体" w:hAnsi="宋体" w:cs="宋体"/>
          <w:color w:val="auto"/>
          <w:szCs w:val="21"/>
        </w:rPr>
        <w:t>4）最后，对每一项去掉一个最高分和一个最低分后计取算术平均分，分数出现小数点，保留小数点后两位，第三位小数四舍五入。</w:t>
      </w:r>
    </w:p>
    <w:p>
      <w:pPr>
        <w:snapToGrid w:val="0"/>
        <w:spacing w:line="360" w:lineRule="auto"/>
        <w:rPr>
          <w:rFonts w:ascii="宋体" w:hAnsi="宋体" w:cs="宋体"/>
          <w:b/>
          <w:bCs/>
          <w:color w:val="auto"/>
          <w:szCs w:val="21"/>
        </w:rPr>
      </w:pPr>
      <w:r>
        <w:rPr>
          <w:rFonts w:ascii="宋体" w:hAnsi="宋体" w:cs="宋体"/>
          <w:color w:val="auto"/>
          <w:szCs w:val="21"/>
        </w:rPr>
        <w:t xml:space="preserve"> </w:t>
      </w:r>
      <w:r>
        <w:rPr>
          <w:rFonts w:ascii="宋体" w:hAnsi="宋体" w:cs="宋体"/>
          <w:b/>
          <w:bCs/>
          <w:color w:val="auto"/>
          <w:szCs w:val="21"/>
        </w:rPr>
        <w:t xml:space="preserve">3、 </w:t>
      </w:r>
      <w:r>
        <w:rPr>
          <w:rFonts w:hint="eastAsia" w:ascii="宋体" w:hAnsi="宋体" w:cs="宋体"/>
          <w:b/>
          <w:bCs/>
          <w:color w:val="auto"/>
          <w:szCs w:val="21"/>
        </w:rPr>
        <w:t>【好、中、差】等级标准</w:t>
      </w:r>
    </w:p>
    <w:p>
      <w:pPr>
        <w:spacing w:line="360" w:lineRule="auto"/>
        <w:rPr>
          <w:rFonts w:ascii="宋体" w:hAnsi="宋体" w:cs="宋体"/>
          <w:b/>
          <w:bCs/>
          <w:color w:val="auto"/>
          <w:kern w:val="0"/>
          <w:szCs w:val="21"/>
        </w:rPr>
      </w:pPr>
      <w:r>
        <w:rPr>
          <w:rFonts w:ascii="宋体" w:hAnsi="宋体" w:cs="宋体"/>
          <w:b/>
          <w:color w:val="auto"/>
          <w:kern w:val="0"/>
          <w:szCs w:val="21"/>
        </w:rPr>
        <w:t>3.1自有实验室</w:t>
      </w:r>
      <w:r>
        <w:rPr>
          <w:rFonts w:hint="eastAsia"/>
          <w:b/>
          <w:bCs/>
          <w:color w:val="auto"/>
        </w:rPr>
        <w:t>（5分）</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具有自有实验室，</w:t>
      </w:r>
      <w:r>
        <w:rPr>
          <w:rFonts w:hint="eastAsia" w:ascii="宋体" w:hAnsi="宋体" w:cs="宋体"/>
          <w:color w:val="auto"/>
          <w:szCs w:val="21"/>
        </w:rPr>
        <w:t>自有实验室地址以</w:t>
      </w:r>
      <w:r>
        <w:rPr>
          <w:rFonts w:ascii="宋体" w:hAnsi="宋体" w:cs="宋体"/>
          <w:color w:val="auto"/>
          <w:szCs w:val="21"/>
        </w:rPr>
        <w:t>CMA计量认证证书中载明的地址为准</w:t>
      </w:r>
      <w:r>
        <w:rPr>
          <w:rFonts w:hint="eastAsia" w:ascii="宋体" w:hAnsi="宋体" w:cs="宋体"/>
          <w:color w:val="auto"/>
          <w:szCs w:val="21"/>
        </w:rPr>
        <w:t>，自有设备应提供有效证明材料。</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桩基静载试验的5000KN及以上千斤顶（3分）：8套及以上（3分），5套及以上（2分），3套及以上（1分）。</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钢筋扫描仪（1分）：5套及以上（1分），3套及以上（0.5分），2套（0.2分）。</w:t>
      </w:r>
    </w:p>
    <w:p>
      <w:pPr>
        <w:snapToGrid w:val="0"/>
        <w:spacing w:line="360" w:lineRule="auto"/>
        <w:ind w:firstLine="480"/>
        <w:rPr>
          <w:rFonts w:ascii="宋体" w:hAnsi="宋体" w:cs="宋体"/>
          <w:color w:val="auto"/>
          <w:kern w:val="0"/>
          <w:szCs w:val="21"/>
        </w:rPr>
      </w:pPr>
      <w:r>
        <w:rPr>
          <w:rFonts w:hint="eastAsia" w:ascii="宋体" w:hAnsi="宋体" w:cs="宋体"/>
          <w:color w:val="auto"/>
          <w:kern w:val="0"/>
          <w:szCs w:val="21"/>
        </w:rPr>
        <w:t>超声波检测仪（1分）：5套及以上（1分），3套及以上（0.5分），2套（0.2分）。</w:t>
      </w:r>
    </w:p>
    <w:p>
      <w:pPr>
        <w:tabs>
          <w:tab w:val="left" w:pos="720"/>
        </w:tabs>
        <w:spacing w:line="360" w:lineRule="auto"/>
        <w:rPr>
          <w:rFonts w:ascii="宋体" w:hAnsi="宋体" w:cs="宋体"/>
          <w:b/>
          <w:color w:val="auto"/>
          <w:szCs w:val="21"/>
        </w:rPr>
      </w:pPr>
      <w:r>
        <w:rPr>
          <w:rFonts w:ascii="宋体" w:hAnsi="宋体" w:cs="宋体"/>
          <w:b/>
          <w:color w:val="auto"/>
          <w:szCs w:val="21"/>
        </w:rPr>
        <w:t>3.2人员配置（15分）</w:t>
      </w:r>
    </w:p>
    <w:p>
      <w:pPr>
        <w:tabs>
          <w:tab w:val="left" w:pos="720"/>
        </w:tabs>
        <w:spacing w:line="360" w:lineRule="auto"/>
        <w:rPr>
          <w:rFonts w:ascii="宋体" w:hAnsi="宋体" w:cs="宋体"/>
          <w:color w:val="auto"/>
          <w:szCs w:val="21"/>
        </w:rPr>
      </w:pPr>
      <w:r>
        <w:rPr>
          <w:rFonts w:hint="eastAsia" w:ascii="宋体" w:hAnsi="宋体" w:cs="宋体"/>
          <w:b/>
          <w:bCs/>
          <w:color w:val="auto"/>
          <w:szCs w:val="21"/>
        </w:rPr>
        <w:t>（</w:t>
      </w:r>
      <w:r>
        <w:rPr>
          <w:rFonts w:ascii="宋体" w:hAnsi="宋体" w:cs="宋体"/>
          <w:b/>
          <w:bCs/>
          <w:color w:val="auto"/>
          <w:szCs w:val="21"/>
        </w:rPr>
        <w:t>1）项目负责人等级标准（5分）</w:t>
      </w:r>
    </w:p>
    <w:p>
      <w:pPr>
        <w:spacing w:line="400" w:lineRule="exact"/>
        <w:jc w:val="left"/>
        <w:rPr>
          <w:rFonts w:ascii="宋体" w:hAnsi="宋体" w:cs="宋体"/>
          <w:color w:val="auto"/>
          <w:szCs w:val="21"/>
        </w:rPr>
      </w:pPr>
      <w:r>
        <w:rPr>
          <w:rFonts w:hint="eastAsia" w:ascii="宋体" w:hAnsi="宋体" w:cs="宋体"/>
          <w:color w:val="auto"/>
          <w:szCs w:val="21"/>
        </w:rPr>
        <w:t>【好】项目负责人</w:t>
      </w:r>
      <w:r>
        <w:rPr>
          <w:rFonts w:hint="eastAsia" w:ascii="宋体" w:hAnsi="宋体"/>
          <w:color w:val="auto"/>
          <w:szCs w:val="21"/>
        </w:rPr>
        <w:t>具有相关专业高级或以上职称，</w:t>
      </w:r>
      <w:r>
        <w:rPr>
          <w:rFonts w:hint="eastAsia" w:ascii="宋体" w:hAnsi="宋体" w:cs="宋体"/>
          <w:color w:val="auto"/>
          <w:szCs w:val="21"/>
        </w:rPr>
        <w:t>具有</w:t>
      </w:r>
      <w:r>
        <w:rPr>
          <w:rFonts w:ascii="宋体" w:hAnsi="宋体" w:cs="宋体"/>
          <w:color w:val="auto"/>
          <w:szCs w:val="21"/>
        </w:rPr>
        <w:t>10年（含）或以上本专业技术管理经验。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【中】项目负责人</w:t>
      </w:r>
      <w:r>
        <w:rPr>
          <w:rFonts w:hint="eastAsia" w:ascii="宋体" w:hAnsi="宋体"/>
          <w:color w:val="auto"/>
          <w:szCs w:val="21"/>
        </w:rPr>
        <w:t>具有相关专业高级或以上职称，</w:t>
      </w:r>
      <w:r>
        <w:rPr>
          <w:rFonts w:hint="eastAsia" w:ascii="宋体" w:hAnsi="宋体" w:cs="宋体"/>
          <w:color w:val="auto"/>
          <w:szCs w:val="21"/>
        </w:rPr>
        <w:t>具有</w:t>
      </w:r>
      <w:r>
        <w:rPr>
          <w:rFonts w:ascii="宋体" w:hAnsi="宋体" w:cs="宋体"/>
          <w:color w:val="auto"/>
          <w:szCs w:val="21"/>
        </w:rPr>
        <w:t>8年（不含）～10年（不含）本专业技术管理经验。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【差】不属于上述【好】、【中】档情况的，为差。</w:t>
      </w:r>
    </w:p>
    <w:p>
      <w:pPr>
        <w:tabs>
          <w:tab w:val="left" w:pos="720"/>
        </w:tabs>
        <w:spacing w:line="360" w:lineRule="auto"/>
        <w:rPr>
          <w:rFonts w:ascii="宋体" w:hAnsi="宋体" w:cs="宋体"/>
          <w:b/>
          <w:bCs/>
          <w:color w:val="auto"/>
          <w:szCs w:val="21"/>
        </w:rPr>
      </w:pPr>
      <w:r>
        <w:rPr>
          <w:rFonts w:hint="eastAsia" w:ascii="宋体" w:hAnsi="宋体" w:cs="宋体"/>
          <w:b/>
          <w:bCs/>
          <w:color w:val="auto"/>
          <w:szCs w:val="21"/>
        </w:rPr>
        <w:t>（</w:t>
      </w:r>
      <w:r>
        <w:rPr>
          <w:rFonts w:ascii="宋体" w:hAnsi="宋体" w:cs="宋体"/>
          <w:b/>
          <w:bCs/>
          <w:color w:val="auto"/>
          <w:szCs w:val="21"/>
        </w:rPr>
        <w:t>2）2个专项检测负责人等级标准（5分）</w:t>
      </w:r>
    </w:p>
    <w:p>
      <w:pPr>
        <w:tabs>
          <w:tab w:val="left" w:pos="720"/>
        </w:tabs>
        <w:spacing w:line="360" w:lineRule="auto"/>
        <w:rPr>
          <w:rFonts w:ascii="宋体" w:hAnsi="宋体" w:cs="宋体"/>
          <w:color w:val="auto"/>
          <w:szCs w:val="21"/>
        </w:rPr>
      </w:pPr>
      <w:r>
        <w:rPr>
          <w:rFonts w:hint="eastAsia" w:ascii="宋体" w:hAnsi="宋体" w:cs="宋体"/>
          <w:color w:val="auto"/>
          <w:szCs w:val="21"/>
        </w:rPr>
        <w:t>【好】均</w:t>
      </w:r>
      <w:r>
        <w:rPr>
          <w:rFonts w:hint="eastAsia" w:ascii="宋体" w:hAnsi="宋体"/>
          <w:color w:val="auto"/>
          <w:szCs w:val="21"/>
        </w:rPr>
        <w:t>具有相关专业高级或以上职称、</w:t>
      </w:r>
      <w:r>
        <w:rPr>
          <w:rFonts w:ascii="宋体" w:hAnsi="宋体" w:cs="宋体"/>
          <w:color w:val="auto"/>
          <w:szCs w:val="21"/>
        </w:rPr>
        <w:t>8年（含）或以上本专业技术管理经验。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【中】有</w:t>
      </w:r>
      <w:r>
        <w:rPr>
          <w:rFonts w:ascii="宋体" w:hAnsi="宋体" w:cs="宋体"/>
          <w:color w:val="auto"/>
          <w:szCs w:val="21"/>
        </w:rPr>
        <w:t>1人</w:t>
      </w:r>
      <w:r>
        <w:rPr>
          <w:rFonts w:hint="eastAsia" w:ascii="宋体" w:hAnsi="宋体"/>
          <w:color w:val="auto"/>
          <w:szCs w:val="21"/>
        </w:rPr>
        <w:t>具有相关专业中级或以上职称，</w:t>
      </w:r>
      <w:r>
        <w:rPr>
          <w:rFonts w:ascii="宋体" w:hAnsi="宋体"/>
          <w:color w:val="auto"/>
          <w:szCs w:val="21"/>
        </w:rPr>
        <w:t>2人均</w:t>
      </w:r>
      <w:r>
        <w:rPr>
          <w:rFonts w:hint="eastAsia" w:ascii="宋体" w:hAnsi="宋体" w:cs="宋体"/>
          <w:color w:val="auto"/>
          <w:szCs w:val="21"/>
        </w:rPr>
        <w:t>具有</w:t>
      </w:r>
      <w:r>
        <w:rPr>
          <w:rFonts w:ascii="宋体" w:hAnsi="宋体" w:cs="宋体"/>
          <w:color w:val="auto"/>
          <w:szCs w:val="21"/>
        </w:rPr>
        <w:t>5年（含）以上专业技术管理经验。</w:t>
      </w:r>
    </w:p>
    <w:p>
      <w:pPr>
        <w:tabs>
          <w:tab w:val="left" w:pos="720"/>
        </w:tabs>
        <w:spacing w:line="360" w:lineRule="auto"/>
        <w:rPr>
          <w:rFonts w:ascii="宋体" w:hAnsi="宋体" w:cs="宋体"/>
          <w:color w:val="auto"/>
          <w:szCs w:val="21"/>
        </w:rPr>
      </w:pPr>
      <w:r>
        <w:rPr>
          <w:rFonts w:hint="eastAsia" w:ascii="宋体" w:hAnsi="宋体" w:cs="宋体"/>
          <w:color w:val="auto"/>
          <w:szCs w:val="21"/>
        </w:rPr>
        <w:t>【差】不属于上述【好】、【中】档情况的，为差。</w:t>
      </w:r>
    </w:p>
    <w:p>
      <w:pPr>
        <w:tabs>
          <w:tab w:val="left" w:pos="720"/>
        </w:tabs>
        <w:spacing w:line="360" w:lineRule="auto"/>
        <w:rPr>
          <w:rFonts w:ascii="宋体" w:hAnsi="宋体" w:cs="宋体"/>
          <w:b/>
          <w:bCs/>
          <w:color w:val="auto"/>
          <w:szCs w:val="21"/>
        </w:rPr>
      </w:pPr>
      <w:r>
        <w:rPr>
          <w:rFonts w:hint="eastAsia" w:ascii="宋体" w:hAnsi="宋体" w:cs="宋体"/>
          <w:b/>
          <w:bCs/>
          <w:color w:val="auto"/>
          <w:szCs w:val="21"/>
        </w:rPr>
        <w:t>（</w:t>
      </w:r>
      <w:r>
        <w:rPr>
          <w:rFonts w:ascii="宋体" w:hAnsi="宋体" w:cs="宋体"/>
          <w:b/>
          <w:bCs/>
          <w:color w:val="auto"/>
          <w:szCs w:val="21"/>
        </w:rPr>
        <w:t>3）</w:t>
      </w:r>
      <w:r>
        <w:rPr>
          <w:rFonts w:hint="eastAsia" w:ascii="宋体" w:hAnsi="宋体" w:cs="宋体"/>
          <w:b/>
          <w:bCs/>
          <w:color w:val="auto"/>
          <w:kern w:val="0"/>
          <w:szCs w:val="21"/>
        </w:rPr>
        <w:t>其他主要技术成员（不含项目负责人和</w:t>
      </w:r>
      <w:r>
        <w:rPr>
          <w:rFonts w:ascii="宋体" w:hAnsi="宋体" w:cs="宋体"/>
          <w:b/>
          <w:bCs/>
          <w:color w:val="auto"/>
          <w:kern w:val="0"/>
          <w:szCs w:val="21"/>
        </w:rPr>
        <w:t>2个专项检测负责人）</w:t>
      </w:r>
      <w:r>
        <w:rPr>
          <w:rFonts w:hint="eastAsia" w:ascii="宋体" w:hAnsi="宋体" w:cs="宋体"/>
          <w:b/>
          <w:bCs/>
          <w:color w:val="auto"/>
          <w:szCs w:val="21"/>
        </w:rPr>
        <w:t>等级标准（</w:t>
      </w:r>
      <w:r>
        <w:rPr>
          <w:rFonts w:ascii="宋体" w:hAnsi="宋体" w:cs="宋体"/>
          <w:b/>
          <w:bCs/>
          <w:color w:val="auto"/>
          <w:szCs w:val="21"/>
        </w:rPr>
        <w:t>5分）</w:t>
      </w:r>
    </w:p>
    <w:p>
      <w:pPr>
        <w:tabs>
          <w:tab w:val="left" w:pos="720"/>
        </w:tabs>
        <w:spacing w:line="360" w:lineRule="auto"/>
        <w:rPr>
          <w:rFonts w:ascii="宋体" w:hAnsi="宋体" w:cs="宋体"/>
          <w:color w:val="auto"/>
          <w:szCs w:val="21"/>
        </w:rPr>
      </w:pPr>
      <w:r>
        <w:rPr>
          <w:rFonts w:hint="eastAsia" w:ascii="宋体" w:hAnsi="宋体" w:cs="宋体"/>
          <w:color w:val="auto"/>
          <w:szCs w:val="21"/>
        </w:rPr>
        <w:t>【好】</w:t>
      </w:r>
      <w:r>
        <w:rPr>
          <w:rFonts w:hint="eastAsia" w:ascii="宋体" w:hAnsi="宋体" w:cs="宋体"/>
          <w:color w:val="auto"/>
          <w:kern w:val="0"/>
          <w:szCs w:val="21"/>
        </w:rPr>
        <w:t>其他主要技术成员</w:t>
      </w:r>
      <w:r>
        <w:rPr>
          <w:rFonts w:hint="eastAsia" w:ascii="宋体" w:hAnsi="宋体" w:cs="宋体"/>
          <w:color w:val="auto"/>
          <w:szCs w:val="21"/>
        </w:rPr>
        <w:t>（</w:t>
      </w:r>
      <w:r>
        <w:rPr>
          <w:rFonts w:hint="eastAsia" w:ascii="宋体" w:hAnsi="宋体" w:cs="宋体"/>
          <w:color w:val="auto"/>
          <w:kern w:val="0"/>
          <w:szCs w:val="21"/>
        </w:rPr>
        <w:t>不含项目负责人和</w:t>
      </w:r>
      <w:r>
        <w:rPr>
          <w:rFonts w:ascii="宋体" w:hAnsi="宋体" w:cs="宋体"/>
          <w:color w:val="auto"/>
          <w:kern w:val="0"/>
          <w:szCs w:val="21"/>
        </w:rPr>
        <w:t>2个专项检测负责人</w:t>
      </w:r>
      <w:r>
        <w:rPr>
          <w:rFonts w:hint="eastAsia" w:ascii="宋体" w:hAnsi="宋体" w:cs="宋体"/>
          <w:color w:val="auto"/>
          <w:szCs w:val="21"/>
        </w:rPr>
        <w:t>）具有相关专业中级以上职称人数不低于</w:t>
      </w:r>
      <w:r>
        <w:rPr>
          <w:rFonts w:ascii="宋体" w:hAnsi="宋体" w:cs="宋体"/>
          <w:color w:val="auto"/>
          <w:szCs w:val="21"/>
        </w:rPr>
        <w:t>10名，高级或以上职称不低于2名，持有省级（或以上）</w:t>
      </w:r>
      <w:r>
        <w:rPr>
          <w:rFonts w:hint="eastAsia" w:ascii="宋体" w:hAnsi="宋体" w:cs="宋体"/>
          <w:color w:val="auto"/>
          <w:szCs w:val="21"/>
        </w:rPr>
        <w:t>建设工程质量监督部门、协会颁发的检测员证的人员不少于</w:t>
      </w:r>
      <w:r>
        <w:rPr>
          <w:rFonts w:ascii="宋体" w:hAnsi="宋体" w:cs="宋体"/>
          <w:color w:val="auto"/>
          <w:szCs w:val="21"/>
        </w:rPr>
        <w:t>15人。</w:t>
      </w:r>
    </w:p>
    <w:p>
      <w:pPr>
        <w:tabs>
          <w:tab w:val="left" w:pos="720"/>
        </w:tabs>
        <w:spacing w:line="360" w:lineRule="auto"/>
        <w:rPr>
          <w:rFonts w:ascii="宋体" w:hAnsi="宋体" w:cs="宋体"/>
          <w:color w:val="auto"/>
          <w:szCs w:val="21"/>
        </w:rPr>
      </w:pPr>
      <w:r>
        <w:rPr>
          <w:rFonts w:hint="eastAsia" w:ascii="宋体" w:hAnsi="宋体" w:cs="宋体"/>
          <w:color w:val="auto"/>
          <w:szCs w:val="21"/>
        </w:rPr>
        <w:t>【中】</w:t>
      </w:r>
      <w:r>
        <w:rPr>
          <w:rFonts w:hint="eastAsia" w:ascii="宋体" w:hAnsi="宋体" w:cs="宋体"/>
          <w:color w:val="auto"/>
          <w:kern w:val="0"/>
          <w:szCs w:val="21"/>
        </w:rPr>
        <w:t>其他主要技术成员</w:t>
      </w:r>
      <w:r>
        <w:rPr>
          <w:rFonts w:hint="eastAsia" w:ascii="宋体" w:hAnsi="宋体" w:cs="宋体"/>
          <w:color w:val="auto"/>
          <w:szCs w:val="21"/>
        </w:rPr>
        <w:t>（</w:t>
      </w:r>
      <w:r>
        <w:rPr>
          <w:rFonts w:hint="eastAsia" w:ascii="宋体" w:hAnsi="宋体" w:cs="宋体"/>
          <w:color w:val="auto"/>
          <w:kern w:val="0"/>
          <w:szCs w:val="21"/>
        </w:rPr>
        <w:t>不含项目负责人和</w:t>
      </w:r>
      <w:r>
        <w:rPr>
          <w:rFonts w:ascii="宋体" w:hAnsi="宋体" w:cs="宋体"/>
          <w:color w:val="auto"/>
          <w:kern w:val="0"/>
          <w:szCs w:val="21"/>
        </w:rPr>
        <w:t>2个专项检测负责人</w:t>
      </w:r>
      <w:r>
        <w:rPr>
          <w:rFonts w:hint="eastAsia" w:ascii="宋体" w:hAnsi="宋体" w:cs="宋体"/>
          <w:color w:val="auto"/>
          <w:szCs w:val="21"/>
        </w:rPr>
        <w:t>）具有相关专业中级以上职称人数不低于</w:t>
      </w:r>
      <w:r>
        <w:rPr>
          <w:rFonts w:ascii="宋体" w:hAnsi="宋体" w:cs="宋体"/>
          <w:color w:val="auto"/>
          <w:szCs w:val="21"/>
        </w:rPr>
        <w:t>8名，高级或以上职称不低于1名，持有省级（或以上）建设工程质量监督部门</w:t>
      </w:r>
      <w:r>
        <w:rPr>
          <w:rFonts w:hint="eastAsia" w:ascii="宋体" w:hAnsi="宋体" w:cs="宋体"/>
          <w:color w:val="auto"/>
          <w:szCs w:val="21"/>
        </w:rPr>
        <w:t>、协会颁发的检测员证的人员不少于</w:t>
      </w:r>
      <w:r>
        <w:rPr>
          <w:rFonts w:ascii="宋体" w:hAnsi="宋体" w:cs="宋体"/>
          <w:color w:val="auto"/>
          <w:szCs w:val="21"/>
        </w:rPr>
        <w:t>10人。</w:t>
      </w:r>
    </w:p>
    <w:p>
      <w:pPr>
        <w:tabs>
          <w:tab w:val="left" w:pos="720"/>
        </w:tabs>
        <w:spacing w:line="360" w:lineRule="auto"/>
        <w:rPr>
          <w:rFonts w:ascii="宋体" w:hAnsi="宋体" w:cs="宋体"/>
          <w:color w:val="auto"/>
          <w:szCs w:val="21"/>
        </w:rPr>
      </w:pPr>
      <w:r>
        <w:rPr>
          <w:rFonts w:hint="eastAsia" w:ascii="宋体" w:hAnsi="宋体" w:cs="宋体"/>
          <w:color w:val="auto"/>
          <w:szCs w:val="21"/>
        </w:rPr>
        <w:t>【差】</w:t>
      </w:r>
      <w:r>
        <w:rPr>
          <w:rFonts w:hint="eastAsia" w:ascii="宋体" w:hAnsi="宋体" w:cs="宋体"/>
          <w:color w:val="auto"/>
          <w:kern w:val="0"/>
          <w:szCs w:val="21"/>
        </w:rPr>
        <w:t>其他主要技术成员</w:t>
      </w:r>
      <w:r>
        <w:rPr>
          <w:rFonts w:hint="eastAsia" w:ascii="宋体" w:hAnsi="宋体" w:cs="宋体"/>
          <w:color w:val="auto"/>
          <w:szCs w:val="21"/>
        </w:rPr>
        <w:t>（</w:t>
      </w:r>
      <w:r>
        <w:rPr>
          <w:rFonts w:hint="eastAsia" w:ascii="宋体" w:hAnsi="宋体" w:cs="宋体"/>
          <w:color w:val="auto"/>
          <w:kern w:val="0"/>
          <w:szCs w:val="21"/>
        </w:rPr>
        <w:t>不含项目负责人和</w:t>
      </w:r>
      <w:r>
        <w:rPr>
          <w:rFonts w:ascii="宋体" w:hAnsi="宋体" w:cs="宋体"/>
          <w:color w:val="auto"/>
          <w:kern w:val="0"/>
          <w:szCs w:val="21"/>
        </w:rPr>
        <w:t>2个专项检测负责人</w:t>
      </w:r>
      <w:r>
        <w:rPr>
          <w:rFonts w:hint="eastAsia" w:ascii="宋体" w:hAnsi="宋体" w:cs="宋体"/>
          <w:color w:val="auto"/>
          <w:szCs w:val="21"/>
        </w:rPr>
        <w:t>）具有相关专业中级以上职称人数不低于</w:t>
      </w:r>
      <w:r>
        <w:rPr>
          <w:rFonts w:ascii="宋体" w:hAnsi="宋体" w:cs="宋体"/>
          <w:color w:val="auto"/>
          <w:szCs w:val="21"/>
        </w:rPr>
        <w:t>6名，持有省级（或以上）建设工程质量监督部门</w:t>
      </w:r>
      <w:r>
        <w:rPr>
          <w:rFonts w:hint="eastAsia" w:ascii="宋体" w:hAnsi="宋体" w:cs="宋体"/>
          <w:color w:val="auto"/>
          <w:szCs w:val="21"/>
        </w:rPr>
        <w:t>、协会颁发的检测员证的人员不少于</w:t>
      </w:r>
      <w:r>
        <w:rPr>
          <w:rFonts w:ascii="宋体" w:hAnsi="宋体" w:cs="宋体"/>
          <w:color w:val="auto"/>
          <w:szCs w:val="21"/>
        </w:rPr>
        <w:t>8人。</w:t>
      </w:r>
    </w:p>
    <w:p>
      <w:pPr>
        <w:tabs>
          <w:tab w:val="left" w:pos="720"/>
        </w:tabs>
        <w:spacing w:line="360" w:lineRule="auto"/>
        <w:ind w:firstLine="432"/>
        <w:rPr>
          <w:rFonts w:ascii="宋体" w:hAnsi="宋体" w:cs="宋体"/>
          <w:color w:val="auto"/>
          <w:szCs w:val="21"/>
        </w:rPr>
      </w:pPr>
      <w:r>
        <w:rPr>
          <w:rFonts w:hint="eastAsia" w:ascii="宋体" w:hAnsi="宋体" w:cs="宋体"/>
          <w:color w:val="auto"/>
          <w:kern w:val="0"/>
          <w:szCs w:val="21"/>
        </w:rPr>
        <w:t>注：</w:t>
      </w:r>
      <w:r>
        <w:rPr>
          <w:rFonts w:ascii="宋体" w:hAnsi="宋体" w:cs="宋体"/>
          <w:color w:val="auto"/>
          <w:kern w:val="0"/>
          <w:szCs w:val="21"/>
        </w:rPr>
        <w:t>1</w:t>
      </w:r>
      <w:r>
        <w:rPr>
          <w:rFonts w:hint="eastAsia" w:ascii="宋体" w:hAnsi="宋体" w:cs="宋体"/>
          <w:color w:val="auto"/>
          <w:szCs w:val="21"/>
        </w:rPr>
        <w:t>、投标表中表中人员岗位不能兼任，项目负责人、地基基础专项检测负责人、主体结构专项检测负责人不得为外聘或返聘人员，外聘或返聘人员的数量之和不得超过</w:t>
      </w:r>
      <w:r>
        <w:rPr>
          <w:rFonts w:ascii="宋体" w:hAnsi="宋体" w:cs="宋体"/>
          <w:color w:val="auto"/>
          <w:szCs w:val="21"/>
        </w:rPr>
        <w:t>20%。</w:t>
      </w:r>
      <w:r>
        <w:rPr>
          <w:rFonts w:hint="eastAsia" w:ascii="宋体" w:hAnsi="宋体" w:cs="宋体"/>
          <w:color w:val="auto"/>
          <w:szCs w:val="21"/>
        </w:rPr>
        <w:t>人员的职称专业均以“技术职称证书”所示专业为准，若“技术职称证书”未反映专业，则以“毕业证”所示专业为准；其他条件以相应证书为准，相关专业包括路桥工程专业、道桥工程专业、道路工程专业、桥梁工程专业、公路工程专业、市政工程专业、城建专业、建筑工程专业、铁路工程专业等。</w:t>
      </w:r>
    </w:p>
    <w:p>
      <w:pPr>
        <w:numPr>
          <w:ilvl w:val="0"/>
          <w:numId w:val="8"/>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专业认定以毕业证书专业或职称证书专业为准，投标人可以选择同时提供毕业证书和职称证书或仅提供职称证书或仅提供毕业证书。技术管理经验以毕业年限为准，工作年限以简历表填写为准。</w:t>
      </w:r>
    </w:p>
    <w:p>
      <w:pPr>
        <w:numPr>
          <w:ilvl w:val="0"/>
          <w:numId w:val="8"/>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项目负责人、地基基础专项检测负责人、主体结构专项检测负责人及其他非外聘或非返聘的人员：以提供的社保证明为准，需提供投标人近</w:t>
      </w:r>
      <w:r>
        <w:rPr>
          <w:rFonts w:ascii="宋体" w:hAnsi="宋体" w:cs="宋体"/>
          <w:color w:val="auto"/>
          <w:szCs w:val="21"/>
        </w:rPr>
        <w:t>6个月（扣除发布招标公告当月往前顺推6个月，2019年2月-8月）为上述拟派人员缴纳社保资金的有效的社保证明材料。有效的社保证明材料是指投标人（或其分支机构）所属当地社保管理部门出具的证明文件，或经投标人（或其分支机构）所属当地社保管理部门盖章确认的社保清单(含社保管理部门终端设备打印的社保证明文件)等。（投标人因所在地区社保查询的不同规定，如只能查询至查询日的上上月，不能提供规定期限内社保区间的社保证明的，投标人如提供了政府部门的社保管理相应文件，其所提供的社保可以按当地的文件要求相应顺推，否则，不予认可。</w:t>
      </w:r>
    </w:p>
    <w:p>
      <w:pPr>
        <w:numPr>
          <w:ilvl w:val="0"/>
          <w:numId w:val="8"/>
        </w:numPr>
        <w:tabs>
          <w:tab w:val="left" w:pos="720"/>
        </w:tabs>
        <w:spacing w:line="360" w:lineRule="auto"/>
        <w:ind w:firstLine="420" w:firstLineChars="200"/>
        <w:rPr>
          <w:rFonts w:ascii="宋体" w:hAnsi="宋体" w:cs="宋体"/>
          <w:color w:val="auto"/>
          <w:szCs w:val="21"/>
        </w:rPr>
      </w:pPr>
      <w:r>
        <w:rPr>
          <w:rFonts w:hint="eastAsia" w:ascii="宋体" w:hAnsi="宋体" w:cs="宋体"/>
          <w:color w:val="auto"/>
          <w:szCs w:val="21"/>
        </w:rPr>
        <w:t>其他外聘或返聘人员：提供有效的聘用合同（协议）。</w:t>
      </w:r>
    </w:p>
    <w:p>
      <w:pPr>
        <w:tabs>
          <w:tab w:val="left" w:pos="720"/>
        </w:tabs>
        <w:spacing w:line="360" w:lineRule="auto"/>
        <w:rPr>
          <w:rFonts w:ascii="宋体" w:hAnsi="宋体" w:cs="宋体"/>
          <w:color w:val="auto"/>
          <w:szCs w:val="21"/>
        </w:rPr>
      </w:pPr>
    </w:p>
    <w:p>
      <w:pPr>
        <w:tabs>
          <w:tab w:val="left" w:pos="720"/>
        </w:tabs>
        <w:spacing w:line="360" w:lineRule="auto"/>
        <w:rPr>
          <w:rFonts w:ascii="宋体" w:hAnsi="宋体" w:cs="宋体"/>
          <w:b/>
          <w:color w:val="auto"/>
          <w:szCs w:val="21"/>
        </w:rPr>
      </w:pPr>
      <w:r>
        <w:rPr>
          <w:rFonts w:ascii="宋体" w:hAnsi="宋体" w:cs="宋体"/>
          <w:b/>
          <w:color w:val="auto"/>
          <w:szCs w:val="21"/>
        </w:rPr>
        <w:t>3.3、设备配置（15</w:t>
      </w:r>
      <w:r>
        <w:rPr>
          <w:rFonts w:hint="eastAsia" w:ascii="宋体" w:hAnsi="宋体" w:cs="宋体"/>
          <w:b/>
          <w:color w:val="auto"/>
          <w:szCs w:val="21"/>
        </w:rPr>
        <w:t>分）</w:t>
      </w:r>
    </w:p>
    <w:p>
      <w:pPr>
        <w:tabs>
          <w:tab w:val="left" w:pos="720"/>
        </w:tabs>
        <w:spacing w:line="360" w:lineRule="auto"/>
        <w:rPr>
          <w:rFonts w:ascii="宋体" w:hAnsi="宋体" w:cs="宋体"/>
          <w:color w:val="auto"/>
          <w:szCs w:val="21"/>
        </w:rPr>
      </w:pPr>
      <w:r>
        <w:rPr>
          <w:rFonts w:hint="eastAsia" w:ascii="宋体" w:hAnsi="宋体" w:cs="宋体"/>
          <w:color w:val="auto"/>
          <w:szCs w:val="21"/>
        </w:rPr>
        <w:t>【好】设备数量足、配置种类充分、合适</w:t>
      </w:r>
      <w:r>
        <w:rPr>
          <w:rFonts w:ascii="宋体" w:hAnsi="宋体" w:cs="宋体"/>
          <w:color w:val="auto"/>
          <w:szCs w:val="21"/>
        </w:rPr>
        <w:t xml:space="preserve"> </w:t>
      </w:r>
      <w:r>
        <w:rPr>
          <w:rFonts w:hint="eastAsia" w:ascii="宋体" w:hAnsi="宋体" w:cs="宋体"/>
          <w:color w:val="auto"/>
          <w:szCs w:val="21"/>
        </w:rPr>
        <w:t>，主要设备落实，自有检测设备资产达到</w:t>
      </w:r>
      <w:r>
        <w:rPr>
          <w:rFonts w:ascii="宋体" w:hAnsi="宋体" w:cs="宋体"/>
          <w:color w:val="auto"/>
          <w:szCs w:val="21"/>
        </w:rPr>
        <w:t>800万元（含）以上。</w:t>
      </w:r>
    </w:p>
    <w:p>
      <w:pPr>
        <w:tabs>
          <w:tab w:val="left" w:pos="720"/>
        </w:tabs>
        <w:spacing w:line="360" w:lineRule="auto"/>
        <w:rPr>
          <w:rFonts w:ascii="宋体" w:hAnsi="宋体" w:cs="宋体"/>
          <w:color w:val="auto"/>
          <w:szCs w:val="21"/>
        </w:rPr>
      </w:pPr>
      <w:r>
        <w:rPr>
          <w:rFonts w:hint="eastAsia" w:ascii="宋体" w:hAnsi="宋体" w:cs="宋体"/>
          <w:color w:val="auto"/>
          <w:szCs w:val="21"/>
        </w:rPr>
        <w:t>【中】设备数量较足、配置种类较充分、合适，主要设备落实，自有检测设备资产达到</w:t>
      </w:r>
      <w:r>
        <w:rPr>
          <w:rFonts w:ascii="宋体" w:hAnsi="宋体" w:cs="宋体"/>
          <w:color w:val="auto"/>
          <w:szCs w:val="21"/>
        </w:rPr>
        <w:t>500万元（含）-800万元（不含）。</w:t>
      </w:r>
    </w:p>
    <w:p>
      <w:pPr>
        <w:tabs>
          <w:tab w:val="left" w:pos="720"/>
        </w:tabs>
        <w:spacing w:line="360" w:lineRule="auto"/>
        <w:rPr>
          <w:rFonts w:ascii="宋体" w:hAnsi="宋体" w:cs="宋体"/>
          <w:color w:val="auto"/>
          <w:szCs w:val="21"/>
        </w:rPr>
      </w:pPr>
      <w:r>
        <w:rPr>
          <w:rFonts w:hint="eastAsia" w:ascii="宋体" w:hAnsi="宋体" w:cs="宋体"/>
          <w:color w:val="auto"/>
          <w:szCs w:val="21"/>
        </w:rPr>
        <w:t>【差】设备数量基本够、配置种类基本充分、合适，主要设备基本落实，自有检测设备资产达到</w:t>
      </w:r>
      <w:r>
        <w:rPr>
          <w:rFonts w:ascii="宋体" w:hAnsi="宋体" w:cs="宋体"/>
          <w:color w:val="auto"/>
          <w:szCs w:val="21"/>
        </w:rPr>
        <w:t>500万元（不含）以下。</w:t>
      </w:r>
    </w:p>
    <w:p>
      <w:pPr>
        <w:tabs>
          <w:tab w:val="left" w:pos="720"/>
        </w:tabs>
        <w:spacing w:line="360" w:lineRule="auto"/>
        <w:rPr>
          <w:rFonts w:ascii="宋体" w:hAnsi="宋体" w:cs="宋体"/>
          <w:color w:val="auto"/>
          <w:szCs w:val="21"/>
        </w:rPr>
      </w:pPr>
      <w:r>
        <w:rPr>
          <w:rFonts w:hint="eastAsia" w:ascii="宋体" w:hAnsi="宋体" w:cs="宋体"/>
          <w:color w:val="auto"/>
          <w:szCs w:val="21"/>
        </w:rPr>
        <w:t>注：提供自有检测设备购置发票复印件或其他相关证明材料。</w:t>
      </w:r>
    </w:p>
    <w:p>
      <w:pPr>
        <w:tabs>
          <w:tab w:val="left" w:pos="720"/>
        </w:tabs>
        <w:spacing w:line="360" w:lineRule="auto"/>
        <w:rPr>
          <w:rFonts w:ascii="宋体" w:hAnsi="宋体" w:cs="宋体"/>
          <w:color w:val="auto"/>
          <w:szCs w:val="21"/>
        </w:rPr>
      </w:pPr>
      <w:r>
        <w:rPr>
          <w:rFonts w:hint="eastAsia" w:ascii="宋体" w:hAnsi="宋体" w:cs="宋体"/>
          <w:color w:val="auto"/>
          <w:szCs w:val="21"/>
        </w:rPr>
        <w:t> </w:t>
      </w:r>
    </w:p>
    <w:p>
      <w:pPr>
        <w:tabs>
          <w:tab w:val="left" w:pos="720"/>
        </w:tabs>
        <w:spacing w:line="360" w:lineRule="auto"/>
        <w:rPr>
          <w:rFonts w:ascii="宋体" w:hAnsi="宋体" w:cs="宋体"/>
          <w:b/>
          <w:color w:val="auto"/>
          <w:szCs w:val="21"/>
        </w:rPr>
      </w:pPr>
      <w:r>
        <w:rPr>
          <w:rFonts w:ascii="宋体" w:hAnsi="宋体" w:cs="宋体"/>
          <w:b/>
          <w:color w:val="auto"/>
          <w:szCs w:val="21"/>
        </w:rPr>
        <w:t>3.4检测业绩（25分）</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（1）2011年1月1日至今，具有合同金额100万元（含）以上的轨道交通工程检测业绩1个得4分，最多得8分；</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（2）2011年1月1日至今，具有合同金额100万元（含）以上的检测业绩1个得2分，最多得12分；</w:t>
      </w:r>
    </w:p>
    <w:p>
      <w:pPr>
        <w:tabs>
          <w:tab w:val="left" w:pos="720"/>
        </w:tabs>
        <w:spacing w:line="360" w:lineRule="auto"/>
        <w:rPr>
          <w:rFonts w:hint="eastAsia" w:ascii="宋体" w:hAnsi="宋体" w:cs="宋体"/>
          <w:color w:val="auto"/>
          <w:szCs w:val="21"/>
        </w:rPr>
      </w:pPr>
      <w:r>
        <w:rPr>
          <w:rFonts w:hint="eastAsia" w:ascii="宋体" w:hAnsi="宋体" w:cs="宋体"/>
          <w:color w:val="auto"/>
          <w:szCs w:val="21"/>
        </w:rPr>
        <w:t>（3）2011年1月1日至今，具有合同金额50万元（含）—100万元（不含）的检测业绩1个得1分，最多得5分；</w:t>
      </w:r>
    </w:p>
    <w:p>
      <w:pPr>
        <w:tabs>
          <w:tab w:val="left" w:pos="720"/>
        </w:tabs>
        <w:spacing w:line="360" w:lineRule="auto"/>
        <w:rPr>
          <w:rFonts w:ascii="宋体" w:hAnsi="宋体" w:cs="宋体"/>
          <w:color w:val="auto"/>
          <w:szCs w:val="21"/>
        </w:rPr>
      </w:pPr>
      <w:r>
        <w:rPr>
          <w:rFonts w:hint="eastAsia" w:ascii="宋体" w:hAnsi="宋体" w:cs="宋体"/>
          <w:color w:val="auto"/>
          <w:szCs w:val="21"/>
        </w:rPr>
        <w:t>上述各项累计，满分</w:t>
      </w:r>
      <w:r>
        <w:rPr>
          <w:rFonts w:ascii="宋体" w:hAnsi="宋体" w:cs="宋体"/>
          <w:color w:val="auto"/>
          <w:szCs w:val="21"/>
        </w:rPr>
        <w:t>25分。</w:t>
      </w:r>
    </w:p>
    <w:p>
      <w:pPr>
        <w:tabs>
          <w:tab w:val="left" w:pos="720"/>
        </w:tabs>
        <w:spacing w:line="360" w:lineRule="auto"/>
        <w:rPr>
          <w:rFonts w:ascii="宋体" w:hAnsi="宋体" w:cs="宋体"/>
          <w:color w:val="auto"/>
          <w:szCs w:val="21"/>
        </w:rPr>
      </w:pPr>
      <w:r>
        <w:rPr>
          <w:rFonts w:hint="eastAsia" w:ascii="宋体" w:hAnsi="宋体"/>
          <w:color w:val="auto"/>
          <w:szCs w:val="21"/>
        </w:rPr>
        <w:t>注：检测业绩须包含地基基础工程检测、主体结构工程现场检测中的一项或多项检测内容，需同时提供中标通知书（如有）、技术服务合同、其他相关完工证明材料（如有）。</w:t>
      </w:r>
      <w:r>
        <w:rPr>
          <w:rFonts w:hint="eastAsia" w:ascii="宋体" w:hAnsi="宋体" w:cs="宋体"/>
          <w:color w:val="auto"/>
          <w:szCs w:val="21"/>
        </w:rPr>
        <w:t>金额以合同为准，时间以合同签订时间为准，同一个检测业绩按最高级别仅计算一次。</w:t>
      </w:r>
    </w:p>
    <w:p>
      <w:pPr>
        <w:tabs>
          <w:tab w:val="left" w:pos="720"/>
        </w:tabs>
        <w:spacing w:line="360" w:lineRule="auto"/>
        <w:rPr>
          <w:rFonts w:ascii="宋体" w:hAnsi="宋体" w:cs="宋体"/>
          <w:color w:val="auto"/>
          <w:kern w:val="0"/>
          <w:szCs w:val="21"/>
        </w:rPr>
      </w:pPr>
    </w:p>
    <w:p>
      <w:pPr>
        <w:spacing w:line="360" w:lineRule="auto"/>
        <w:rPr>
          <w:rFonts w:ascii="宋体" w:hAnsi="宋体" w:cs="宋体"/>
          <w:b/>
          <w:color w:val="auto"/>
          <w:kern w:val="0"/>
          <w:szCs w:val="21"/>
        </w:rPr>
      </w:pPr>
      <w:r>
        <w:rPr>
          <w:rFonts w:ascii="宋体" w:hAnsi="宋体" w:cs="宋体"/>
          <w:b/>
          <w:color w:val="auto"/>
          <w:kern w:val="0"/>
          <w:szCs w:val="21"/>
        </w:rPr>
        <w:t>3.5</w:t>
      </w:r>
      <w:r>
        <w:rPr>
          <w:rFonts w:hint="eastAsia" w:ascii="宋体" w:hAnsi="宋体" w:cs="宋体"/>
          <w:b/>
          <w:color w:val="auto"/>
          <w:szCs w:val="21"/>
        </w:rPr>
        <w:t>技术能力创新（</w:t>
      </w:r>
      <w:r>
        <w:rPr>
          <w:rFonts w:ascii="宋体" w:hAnsi="宋体" w:cs="宋体"/>
          <w:b/>
          <w:color w:val="auto"/>
          <w:szCs w:val="21"/>
        </w:rPr>
        <w:t>5分）</w:t>
      </w:r>
    </w:p>
    <w:p>
      <w:pPr>
        <w:tabs>
          <w:tab w:val="left" w:pos="720"/>
        </w:tabs>
        <w:spacing w:line="360" w:lineRule="auto"/>
        <w:rPr>
          <w:rFonts w:ascii="宋体" w:hAnsi="宋体" w:cs="宋体"/>
          <w:color w:val="auto"/>
          <w:szCs w:val="21"/>
        </w:rPr>
      </w:pPr>
      <w:r>
        <w:rPr>
          <w:rFonts w:ascii="宋体" w:hAnsi="宋体" w:cs="宋体"/>
          <w:color w:val="auto"/>
          <w:szCs w:val="21"/>
        </w:rPr>
        <w:t xml:space="preserve">2015年1 </w:t>
      </w:r>
      <w:r>
        <w:rPr>
          <w:rFonts w:hint="eastAsia" w:ascii="宋体" w:hAnsi="宋体" w:cs="宋体"/>
          <w:color w:val="auto"/>
          <w:szCs w:val="21"/>
        </w:rPr>
        <w:t>月</w:t>
      </w:r>
      <w:r>
        <w:rPr>
          <w:rFonts w:ascii="宋体" w:hAnsi="宋体" w:cs="宋体"/>
          <w:color w:val="auto"/>
          <w:szCs w:val="21"/>
        </w:rPr>
        <w:t xml:space="preserve">1 </w:t>
      </w:r>
      <w:r>
        <w:rPr>
          <w:rFonts w:hint="eastAsia" w:ascii="宋体" w:hAnsi="宋体" w:cs="宋体"/>
          <w:color w:val="auto"/>
          <w:szCs w:val="21"/>
        </w:rPr>
        <w:t>日以来获得检测类发明专利、实用新型专利证书或检测类计算机软件著作权登记证书，每</w:t>
      </w:r>
      <w:r>
        <w:rPr>
          <w:rFonts w:ascii="宋体" w:hAnsi="宋体" w:cs="宋体"/>
          <w:color w:val="auto"/>
          <w:szCs w:val="21"/>
        </w:rPr>
        <w:t>1项得1分，最多得5分。</w:t>
      </w:r>
    </w:p>
    <w:p>
      <w:pPr>
        <w:tabs>
          <w:tab w:val="left" w:pos="720"/>
        </w:tabs>
        <w:spacing w:line="360" w:lineRule="auto"/>
        <w:rPr>
          <w:rFonts w:ascii="宋体" w:hAnsi="宋体"/>
          <w:color w:val="auto"/>
          <w:szCs w:val="21"/>
        </w:rPr>
      </w:pPr>
      <w:r>
        <w:rPr>
          <w:rFonts w:hint="eastAsia" w:ascii="宋体" w:hAnsi="宋体"/>
          <w:color w:val="auto"/>
          <w:szCs w:val="21"/>
        </w:rPr>
        <w:t>注：发明专利、实用新型专利证书或计算机软件著作权登记证书须提供相应的扫描件。</w:t>
      </w:r>
    </w:p>
    <w:p>
      <w:pPr>
        <w:tabs>
          <w:tab w:val="left" w:pos="720"/>
        </w:tabs>
        <w:spacing w:line="360" w:lineRule="auto"/>
        <w:rPr>
          <w:rFonts w:ascii="宋体" w:hAnsi="宋体" w:cs="宋体"/>
          <w:b/>
          <w:color w:val="auto"/>
          <w:szCs w:val="21"/>
        </w:rPr>
      </w:pPr>
    </w:p>
    <w:p>
      <w:pPr>
        <w:tabs>
          <w:tab w:val="left" w:pos="720"/>
        </w:tabs>
        <w:spacing w:line="360" w:lineRule="auto"/>
        <w:rPr>
          <w:rFonts w:ascii="宋体" w:hAnsi="宋体" w:cs="宋体"/>
          <w:b/>
          <w:color w:val="auto"/>
          <w:szCs w:val="21"/>
        </w:rPr>
      </w:pPr>
      <w:r>
        <w:rPr>
          <w:rFonts w:ascii="宋体" w:hAnsi="宋体" w:cs="宋体"/>
          <w:b/>
          <w:color w:val="auto"/>
          <w:szCs w:val="21"/>
        </w:rPr>
        <w:t>3.6检测方案及服务保证措施（30分）</w:t>
      </w:r>
    </w:p>
    <w:p>
      <w:pPr>
        <w:numPr>
          <w:ilvl w:val="0"/>
          <w:numId w:val="9"/>
        </w:numPr>
        <w:tabs>
          <w:tab w:val="left" w:pos="720"/>
        </w:tabs>
        <w:spacing w:line="360" w:lineRule="auto"/>
        <w:ind w:left="420"/>
        <w:rPr>
          <w:rFonts w:ascii="宋体" w:hAnsi="宋体" w:cs="宋体"/>
          <w:b/>
          <w:color w:val="auto"/>
          <w:szCs w:val="21"/>
        </w:rPr>
      </w:pPr>
      <w:r>
        <w:rPr>
          <w:rFonts w:hint="eastAsia" w:ascii="宋体" w:hAnsi="宋体" w:cs="宋体"/>
          <w:b/>
          <w:color w:val="auto"/>
          <w:szCs w:val="21"/>
        </w:rPr>
        <w:t>地基基础检测（</w:t>
      </w:r>
      <w:r>
        <w:rPr>
          <w:rFonts w:ascii="宋体" w:hAnsi="宋体" w:cs="宋体"/>
          <w:b/>
          <w:color w:val="auto"/>
          <w:szCs w:val="21"/>
        </w:rPr>
        <w:t>15分）</w:t>
      </w:r>
    </w:p>
    <w:p>
      <w:pPr>
        <w:numPr>
          <w:ilvl w:val="0"/>
          <w:numId w:val="10"/>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地基承载力检测（5分）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包括了天然岩石地基钻芯、平板荷载、轻型动力触探项目的检测方案，检测方法可行，规范标准引用准确，且有重难点分析，有可行的质量、进度保证措施；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其中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2个或以上检测项目的检测方法，规范标准引用不准确、重难点分析、质量、进度保证措施不全或不可行。不能提供到场检测（3天内）或提交报告时限（检测完成第二天提交快报，20个工作日内提供正式报告）服务保障承诺书（无格式要求）。</w:t>
      </w:r>
    </w:p>
    <w:p>
      <w:pPr>
        <w:numPr>
          <w:ilvl w:val="0"/>
          <w:numId w:val="10"/>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单桩荷载检测（5分）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包括了竖向静载、抗拔、高应变检测项目，检测方法可行，规范标准引用准确，且有重难点分析，有可行的质量、进度保证措施；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缺其中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缺2个或以上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10"/>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完整性、槽壁垂直度及土工试验等项目检测（5分）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包括了钻芯（包含水泥搅拌桩、旋喷桩及土钉墙厚度）、超声波、低应变、槽壁垂直度及土工试验项目的检测方案，检测方法可行，规范标准引用准确，且有重难点分析，有可行的质量、进度保证措施；能提供到场检测（</w:t>
      </w:r>
      <w:r>
        <w:rPr>
          <w:rFonts w:ascii="宋体" w:hAnsi="宋体" w:cs="宋体"/>
          <w:bCs/>
          <w:color w:val="auto"/>
          <w:szCs w:val="21"/>
        </w:rPr>
        <w:t>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【中】检测方案中缺</w:t>
      </w:r>
      <w:r>
        <w:rPr>
          <w:rFonts w:ascii="宋体" w:hAnsi="宋体" w:cs="宋体"/>
          <w:bCs/>
          <w:color w:val="auto"/>
          <w:szCs w:val="21"/>
        </w:rPr>
        <w:t>1～2</w:t>
      </w:r>
      <w:r>
        <w:rPr>
          <w:rFonts w:hint="eastAsia" w:ascii="宋体" w:hAnsi="宋体" w:cs="宋体"/>
          <w:bCs/>
          <w:color w:val="auto"/>
          <w:szCs w:val="21"/>
        </w:rPr>
        <w:t>个检测项目的检测方法，规范标准引用、重难点分析、质量、进度保证措施不全；能提供到场检测（</w:t>
      </w:r>
      <w:r>
        <w:rPr>
          <w:rFonts w:ascii="宋体" w:hAnsi="宋体" w:cs="宋体"/>
          <w:bCs/>
          <w:color w:val="auto"/>
          <w:szCs w:val="21"/>
        </w:rPr>
        <w:t>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【差】检测方案中缺</w:t>
      </w:r>
      <w:r>
        <w:rPr>
          <w:rFonts w:ascii="宋体" w:hAnsi="宋体" w:cs="宋体"/>
          <w:bCs/>
          <w:color w:val="auto"/>
          <w:szCs w:val="21"/>
        </w:rPr>
        <w:t>3</w:t>
      </w:r>
      <w:r>
        <w:rPr>
          <w:rFonts w:hint="eastAsia" w:ascii="宋体" w:hAnsi="宋体" w:cs="宋体"/>
          <w:bCs/>
          <w:color w:val="auto"/>
          <w:szCs w:val="21"/>
        </w:rPr>
        <w:t>个或以上检测项目的检测方法，规范标准引用、重难点分析、质量、进度保证措施不全或不可行。不能提供到场检测（</w:t>
      </w:r>
      <w:r>
        <w:rPr>
          <w:rFonts w:ascii="宋体" w:hAnsi="宋体" w:cs="宋体"/>
          <w:bCs/>
          <w:color w:val="auto"/>
          <w:szCs w:val="21"/>
        </w:rPr>
        <w:t>3天内）</w:t>
      </w:r>
      <w:r>
        <w:rPr>
          <w:rFonts w:hint="eastAsia" w:ascii="宋体" w:hAnsi="宋体" w:cs="宋体"/>
          <w:bCs/>
          <w:color w:val="auto"/>
          <w:szCs w:val="21"/>
        </w:rPr>
        <w:t>或提交报告时限（检测完成第二天提交快报，</w:t>
      </w:r>
      <w:r>
        <w:rPr>
          <w:rFonts w:ascii="宋体" w:hAnsi="宋体" w:cs="宋体"/>
          <w:bCs/>
          <w:color w:val="auto"/>
          <w:szCs w:val="21"/>
        </w:rPr>
        <w:t>20个工作日内提供正式报告）服务保障承诺书（无格式要求）。</w:t>
      </w:r>
    </w:p>
    <w:p>
      <w:pPr>
        <w:numPr>
          <w:ilvl w:val="0"/>
          <w:numId w:val="9"/>
        </w:numPr>
        <w:tabs>
          <w:tab w:val="left" w:pos="720"/>
        </w:tabs>
        <w:spacing w:line="360" w:lineRule="auto"/>
        <w:ind w:left="420"/>
        <w:rPr>
          <w:rFonts w:ascii="宋体" w:hAnsi="宋体" w:cs="宋体"/>
          <w:b/>
          <w:color w:val="auto"/>
          <w:szCs w:val="21"/>
        </w:rPr>
      </w:pPr>
      <w:r>
        <w:rPr>
          <w:rFonts w:hint="eastAsia" w:ascii="宋体" w:hAnsi="宋体" w:cs="宋体"/>
          <w:b/>
          <w:color w:val="auto"/>
          <w:szCs w:val="21"/>
        </w:rPr>
        <w:t>主体结构检测（</w:t>
      </w:r>
      <w:r>
        <w:rPr>
          <w:rFonts w:ascii="宋体" w:hAnsi="宋体" w:cs="宋体"/>
          <w:b/>
          <w:color w:val="auto"/>
          <w:szCs w:val="21"/>
        </w:rPr>
        <w:t>15分）</w:t>
      </w:r>
    </w:p>
    <w:p>
      <w:pPr>
        <w:numPr>
          <w:ilvl w:val="0"/>
          <w:numId w:val="11"/>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混凝土强度检测（5分）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详细、具体，内容齐全，包含回弹法、抽芯法检测方案，检测方法可行，规范标准引用明确，能满足本工程提出的所有检测项目，针对本项目重难点分析全面、准确，有具体可行的质量、进度保证措施。提供到场检测（3天内）和提交报告时限（检测完成第二天提交快报，20个工作日内提供正式报告）服务保障承诺书（投标人自行提供，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2个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11"/>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钢筋间距和保护层厚度扫描（5分）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详细、具体，内容齐全，包含混凝土结构钢筋间距和保护层厚度扫描检测方案，检测方法可行，规范标准引用明确，能满足本工程提出的所有检测项目，针对本项目重难点分析全面、准确，有具体可行的质量、进度保证措施。提供到场检测（3天内）和提交报告时限（检测完成第二天提交快报，20个工作日内提供正式报告）服务保障承诺书（投标人自行提供，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1个检测项目的检测方法，规范标准引用、重难点分析、质量、进度保证措施不全；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2个检测项目的检测方法，规范标准引用、重难点分析、质量、进度保证措施不全或不可行。不能提供到场检测（3天内）或提交报告时限（检测完成第二天提交快报，20个工作日内提供正式报告）服务保障承诺书（无格式要求）。</w:t>
      </w:r>
    </w:p>
    <w:p>
      <w:pPr>
        <w:numPr>
          <w:ilvl w:val="0"/>
          <w:numId w:val="11"/>
        </w:numPr>
        <w:tabs>
          <w:tab w:val="left" w:pos="720"/>
        </w:tabs>
        <w:spacing w:line="360" w:lineRule="auto"/>
        <w:ind w:firstLine="422" w:firstLineChars="200"/>
        <w:rPr>
          <w:rFonts w:ascii="宋体" w:hAnsi="宋体" w:cs="宋体"/>
          <w:b/>
          <w:color w:val="auto"/>
          <w:szCs w:val="21"/>
        </w:rPr>
      </w:pPr>
      <w:r>
        <w:rPr>
          <w:rFonts w:hint="eastAsia" w:ascii="宋体" w:hAnsi="宋体" w:cs="宋体"/>
          <w:b/>
          <w:color w:val="auto"/>
          <w:szCs w:val="21"/>
        </w:rPr>
        <w:t>抗拉拔力检测（5分）</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好】检测方案详细、具体，内容齐全，包含吊钩、植筋、膨胀螺栓等预埋件检测方案，检测方法可行，规范标准引用明确，能满足本工程提出的所有检测项目，针对本项目重难点分析全面、准确，有具体可行的质量、进度保证措施。提供到场检测（</w:t>
      </w:r>
      <w:r>
        <w:rPr>
          <w:rFonts w:ascii="宋体" w:hAnsi="宋体" w:cs="宋体"/>
          <w:bCs/>
          <w:color w:val="auto"/>
          <w:szCs w:val="21"/>
        </w:rPr>
        <w:t>3天内）和提交报告时限（检测完成第二天提交快报，20个工作日内提供正式报告）服务保障承诺书（投标人自行提供，无格式要求）。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【中】检测方案中检测项目缺</w:t>
      </w:r>
      <w:r>
        <w:rPr>
          <w:rFonts w:ascii="宋体" w:hAnsi="宋体" w:cs="宋体"/>
          <w:bCs/>
          <w:color w:val="auto"/>
          <w:szCs w:val="21"/>
        </w:rPr>
        <w:t>1～2项检测项目的检测方法，规范标准引用、重难点分析、质量、进度保证措施不全</w:t>
      </w:r>
      <w:r>
        <w:rPr>
          <w:rFonts w:hint="eastAsia" w:ascii="宋体" w:hAnsi="宋体" w:cs="宋体"/>
          <w:bCs/>
          <w:color w:val="auto"/>
          <w:szCs w:val="21"/>
        </w:rPr>
        <w:t>；能提供到场检测（</w:t>
      </w:r>
      <w:r>
        <w:rPr>
          <w:rFonts w:ascii="宋体" w:hAnsi="宋体" w:cs="宋体"/>
          <w:bCs/>
          <w:color w:val="auto"/>
          <w:szCs w:val="21"/>
        </w:rPr>
        <w:t>3天内）和提交报告时限（检测完成第二天提交快报，20个工作日内提供正式报告）服务保障承诺书（无格式要求）。</w:t>
      </w:r>
    </w:p>
    <w:p>
      <w:pPr>
        <w:tabs>
          <w:tab w:val="left" w:pos="720"/>
        </w:tabs>
        <w:spacing w:line="360" w:lineRule="auto"/>
        <w:rPr>
          <w:rFonts w:ascii="宋体" w:hAnsi="宋体" w:cs="宋体"/>
          <w:bCs/>
          <w:color w:val="auto"/>
          <w:szCs w:val="21"/>
        </w:rPr>
      </w:pPr>
      <w:r>
        <w:rPr>
          <w:rFonts w:hint="eastAsia" w:ascii="宋体" w:hAnsi="宋体" w:cs="宋体"/>
          <w:bCs/>
          <w:color w:val="auto"/>
          <w:szCs w:val="21"/>
        </w:rPr>
        <w:t>【差】检测方案中检测项目缺</w:t>
      </w:r>
      <w:r>
        <w:rPr>
          <w:rFonts w:ascii="宋体" w:hAnsi="宋体" w:cs="宋体"/>
          <w:bCs/>
          <w:color w:val="auto"/>
          <w:szCs w:val="21"/>
        </w:rPr>
        <w:t>3项或以上检测项目的检测方法，规范标准引用、重难点分析、质量、进度保证措施不全或不可行。不能提供到场检测（3天内）和提交报告时限（检测完成第二天提交快报，20个工作日内提供正式报告）服务保障承诺书（无格式要求）。</w:t>
      </w:r>
    </w:p>
    <w:p>
      <w:pPr>
        <w:tabs>
          <w:tab w:val="left" w:pos="720"/>
        </w:tabs>
        <w:spacing w:line="360" w:lineRule="auto"/>
        <w:rPr>
          <w:rFonts w:ascii="宋体" w:hAnsi="宋体" w:cs="宋体"/>
          <w:b/>
          <w:color w:val="auto"/>
          <w:szCs w:val="21"/>
        </w:rPr>
      </w:pPr>
    </w:p>
    <w:p>
      <w:pPr>
        <w:tabs>
          <w:tab w:val="left" w:pos="720"/>
        </w:tabs>
        <w:spacing w:line="360" w:lineRule="auto"/>
        <w:rPr>
          <w:rFonts w:ascii="宋体" w:hAnsi="宋体" w:cs="宋体"/>
          <w:b/>
          <w:color w:val="auto"/>
          <w:szCs w:val="21"/>
        </w:rPr>
      </w:pPr>
      <w:r>
        <w:rPr>
          <w:rFonts w:ascii="宋体" w:hAnsi="宋体" w:cs="宋体"/>
          <w:b/>
          <w:color w:val="auto"/>
          <w:szCs w:val="21"/>
        </w:rPr>
        <w:t>3.7质量保证措施（5分）</w:t>
      </w:r>
    </w:p>
    <w:p>
      <w:pPr>
        <w:tabs>
          <w:tab w:val="left" w:pos="720"/>
        </w:tabs>
        <w:spacing w:line="360" w:lineRule="auto"/>
        <w:rPr>
          <w:rFonts w:ascii="宋体" w:hAnsi="宋体" w:cs="宋体"/>
          <w:color w:val="auto"/>
          <w:szCs w:val="21"/>
        </w:rPr>
      </w:pPr>
      <w:r>
        <w:rPr>
          <w:rFonts w:hint="eastAsia" w:ascii="宋体" w:hAnsi="宋体" w:cs="宋体"/>
          <w:color w:val="auto"/>
          <w:szCs w:val="21"/>
        </w:rPr>
        <w:t>【好】质量保证有健全的项目质量管理体系、人员质量教育培训制度、检测全过程质量控制方案、明确的项目质量管理目标、项目重难点质量保证及应对措施等且可行。</w:t>
      </w:r>
    </w:p>
    <w:p>
      <w:pPr>
        <w:tabs>
          <w:tab w:val="left" w:pos="720"/>
        </w:tabs>
        <w:spacing w:line="360" w:lineRule="auto"/>
        <w:rPr>
          <w:rFonts w:ascii="宋体" w:hAnsi="宋体" w:cs="宋体"/>
          <w:color w:val="auto"/>
          <w:szCs w:val="21"/>
        </w:rPr>
      </w:pPr>
      <w:r>
        <w:rPr>
          <w:rFonts w:hint="eastAsia" w:ascii="宋体" w:hAnsi="宋体" w:cs="宋体"/>
          <w:color w:val="auto"/>
          <w:szCs w:val="21"/>
        </w:rPr>
        <w:t>【中】质量保证中项目质量管理体系、人员质量教育培训制度、检测全过程质量控制方案、明确的项目质量管理目标、项目重难点质量保证及应对措施等缺失一项。</w:t>
      </w:r>
    </w:p>
    <w:p>
      <w:pPr>
        <w:tabs>
          <w:tab w:val="left" w:pos="720"/>
        </w:tabs>
        <w:spacing w:line="360" w:lineRule="auto"/>
        <w:rPr>
          <w:rFonts w:ascii="宋体" w:hAnsi="宋体" w:cs="宋体"/>
          <w:color w:val="auto"/>
          <w:szCs w:val="21"/>
        </w:rPr>
      </w:pPr>
      <w:r>
        <w:rPr>
          <w:rFonts w:hint="eastAsia" w:ascii="宋体" w:hAnsi="宋体" w:cs="宋体"/>
          <w:color w:val="auto"/>
          <w:szCs w:val="21"/>
        </w:rPr>
        <w:t>【差】质量保证中项目质量管理体系、人员质量教育培训制度、检测全过程质量控制方案、明确的项目质量管理目标、项目重难点质量保证及应对措施等缺失两项及以上或不可行。</w:t>
      </w:r>
    </w:p>
    <w:p>
      <w:pPr>
        <w:tabs>
          <w:tab w:val="left" w:pos="720"/>
        </w:tabs>
        <w:spacing w:line="360" w:lineRule="auto"/>
        <w:rPr>
          <w:rFonts w:ascii="宋体" w:hAnsi="宋体" w:cs="宋体"/>
          <w:color w:val="auto"/>
          <w:szCs w:val="21"/>
        </w:rPr>
      </w:pPr>
    </w:p>
    <w:p>
      <w:pPr>
        <w:tabs>
          <w:tab w:val="left" w:pos="720"/>
        </w:tabs>
        <w:spacing w:line="360" w:lineRule="auto"/>
        <w:rPr>
          <w:rFonts w:ascii="宋体" w:hAnsi="宋体" w:cs="宋体"/>
          <w:color w:val="auto"/>
          <w:szCs w:val="21"/>
        </w:rPr>
      </w:pPr>
    </w:p>
    <w:p>
      <w:pPr>
        <w:tabs>
          <w:tab w:val="left" w:pos="720"/>
        </w:tabs>
        <w:spacing w:line="360" w:lineRule="auto"/>
        <w:ind w:firstLine="432"/>
        <w:rPr>
          <w:rFonts w:ascii="宋体" w:hAnsi="宋体" w:cs="宋体"/>
          <w:color w:val="auto"/>
          <w:szCs w:val="21"/>
        </w:rPr>
      </w:pPr>
    </w:p>
    <w:p>
      <w:pPr>
        <w:tabs>
          <w:tab w:val="left" w:pos="720"/>
        </w:tabs>
        <w:spacing w:line="360" w:lineRule="auto"/>
        <w:ind w:firstLine="432"/>
        <w:rPr>
          <w:rFonts w:ascii="宋体" w:hAnsi="宋体" w:cs="宋体"/>
          <w:color w:val="auto"/>
          <w:szCs w:val="21"/>
        </w:rPr>
      </w:pPr>
    </w:p>
    <w:p>
      <w:pPr>
        <w:spacing w:line="360" w:lineRule="auto"/>
        <w:rPr>
          <w:rFonts w:ascii="宋体" w:hAnsi="宋体" w:cs="宋体"/>
          <w:b/>
          <w:color w:val="auto"/>
          <w:szCs w:val="21"/>
        </w:rPr>
        <w:sectPr>
          <w:pgSz w:w="11906" w:h="16838"/>
          <w:pgMar w:top="1418" w:right="1701" w:bottom="1418" w:left="1701" w:header="851" w:footer="794" w:gutter="0"/>
          <w:cols w:space="720" w:num="1"/>
          <w:docGrid w:type="lines" w:linePitch="312" w:charSpace="0"/>
        </w:sectPr>
      </w:pPr>
    </w:p>
    <w:p>
      <w:pPr>
        <w:spacing w:line="360" w:lineRule="auto"/>
        <w:outlineLvl w:val="2"/>
        <w:rPr>
          <w:rFonts w:ascii="宋体" w:hAnsi="宋体" w:cs="宋体"/>
          <w:b/>
          <w:bCs/>
          <w:color w:val="auto"/>
          <w:kern w:val="0"/>
          <w:szCs w:val="21"/>
        </w:rPr>
      </w:pPr>
      <w:r>
        <w:rPr>
          <w:rFonts w:hint="eastAsia" w:ascii="宋体" w:hAnsi="宋体" w:cs="宋体"/>
          <w:b/>
          <w:color w:val="auto"/>
          <w:szCs w:val="21"/>
        </w:rPr>
        <w:t>附件四：经济标有效性审查表</w:t>
      </w:r>
    </w:p>
    <w:p>
      <w:pPr>
        <w:spacing w:line="360" w:lineRule="auto"/>
        <w:jc w:val="center"/>
        <w:rPr>
          <w:rFonts w:ascii="宋体" w:hAnsi="宋体" w:cs="宋体"/>
          <w:bCs/>
          <w:color w:val="auto"/>
          <w:kern w:val="0"/>
          <w:szCs w:val="21"/>
          <w:u w:val="single"/>
        </w:rPr>
      </w:pPr>
    </w:p>
    <w:p>
      <w:pPr>
        <w:spacing w:line="360" w:lineRule="auto"/>
        <w:jc w:val="center"/>
        <w:rPr>
          <w:rFonts w:ascii="宋体" w:hAnsi="宋体" w:cs="宋体"/>
          <w:b/>
          <w:bCs/>
          <w:color w:val="auto"/>
          <w:kern w:val="0"/>
          <w:szCs w:val="21"/>
        </w:rPr>
      </w:pPr>
      <w:r>
        <w:rPr>
          <w:rFonts w:hint="eastAsia" w:ascii="宋体" w:hAnsi="宋体" w:cs="宋体"/>
          <w:bCs/>
          <w:color w:val="auto"/>
          <w:kern w:val="0"/>
          <w:szCs w:val="21"/>
        </w:rPr>
        <w:t>经济标有效性审查表</w:t>
      </w:r>
    </w:p>
    <w:tbl>
      <w:tblPr>
        <w:tblStyle w:val="28"/>
        <w:tblW w:w="7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817"/>
        <w:gridCol w:w="1036"/>
        <w:gridCol w:w="12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681"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序号</w:t>
            </w:r>
          </w:p>
        </w:tc>
        <w:tc>
          <w:tcPr>
            <w:tcW w:w="3817" w:type="dxa"/>
            <w:tcBorders>
              <w:tl2br w:val="single" w:color="auto" w:sz="4" w:space="0"/>
            </w:tcBorders>
            <w:vAlign w:val="center"/>
          </w:tcPr>
          <w:p>
            <w:pPr>
              <w:widowControl/>
              <w:ind w:firstLine="1785" w:firstLineChars="850"/>
              <w:rPr>
                <w:rFonts w:ascii="宋体" w:hAnsi="宋体" w:cs="宋体"/>
                <w:color w:val="auto"/>
                <w:kern w:val="0"/>
                <w:szCs w:val="21"/>
              </w:rPr>
            </w:pPr>
            <w:r>
              <w:rPr>
                <w:rFonts w:hint="eastAsia" w:ascii="宋体" w:hAnsi="宋体" w:cs="宋体"/>
                <w:color w:val="auto"/>
                <w:kern w:val="0"/>
                <w:szCs w:val="21"/>
              </w:rPr>
              <w:t>投标人</w:t>
            </w:r>
          </w:p>
          <w:p>
            <w:pPr>
              <w:widowControl/>
              <w:ind w:left="840" w:hanging="840" w:hangingChars="400"/>
              <w:rPr>
                <w:rFonts w:ascii="宋体" w:hAnsi="宋体" w:cs="宋体"/>
                <w:color w:val="auto"/>
                <w:kern w:val="0"/>
                <w:szCs w:val="21"/>
              </w:rPr>
            </w:pPr>
            <w:r>
              <w:rPr>
                <w:rFonts w:hint="eastAsia" w:ascii="宋体" w:hAnsi="宋体" w:cs="宋体"/>
                <w:color w:val="auto"/>
                <w:kern w:val="0"/>
                <w:szCs w:val="21"/>
              </w:rPr>
              <w:t>评审项目</w:t>
            </w:r>
          </w:p>
        </w:tc>
        <w:tc>
          <w:tcPr>
            <w:tcW w:w="1036"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1</w:t>
            </w:r>
          </w:p>
        </w:tc>
        <w:tc>
          <w:tcPr>
            <w:tcW w:w="1275" w:type="dxa"/>
            <w:vAlign w:val="center"/>
          </w:tcPr>
          <w:p>
            <w:pPr>
              <w:widowControl/>
              <w:ind w:firstLine="210" w:firstLineChars="100"/>
              <w:jc w:val="center"/>
              <w:rPr>
                <w:rFonts w:ascii="宋体" w:hAnsi="宋体" w:cs="宋体"/>
                <w:color w:val="auto"/>
                <w:kern w:val="0"/>
                <w:szCs w:val="21"/>
              </w:rPr>
            </w:pPr>
            <w:r>
              <w:rPr>
                <w:rFonts w:hint="eastAsia" w:ascii="宋体" w:hAnsi="宋体" w:cs="宋体"/>
                <w:color w:val="auto"/>
                <w:kern w:val="0"/>
                <w:szCs w:val="21"/>
              </w:rPr>
              <w:t>投标人</w:t>
            </w:r>
            <w:r>
              <w:rPr>
                <w:rFonts w:ascii="宋体" w:hAnsi="宋体" w:cs="宋体"/>
                <w:color w:val="auto"/>
                <w:kern w:val="0"/>
                <w:szCs w:val="21"/>
              </w:rPr>
              <w:t>2</w:t>
            </w:r>
          </w:p>
        </w:tc>
        <w:tc>
          <w:tcPr>
            <w:tcW w:w="1155" w:type="dxa"/>
            <w:vAlign w:val="center"/>
          </w:tcPr>
          <w:p>
            <w:pPr>
              <w:widowControl/>
              <w:rPr>
                <w:rFonts w:ascii="宋体" w:hAnsi="宋体" w:cs="宋体"/>
                <w:color w:val="auto"/>
                <w:kern w:val="0"/>
                <w:szCs w:val="21"/>
              </w:rPr>
            </w:pPr>
            <w:r>
              <w:rPr>
                <w:rFonts w:hint="eastAsia" w:ascii="宋体" w:hAnsi="宋体" w:cs="宋体"/>
                <w:color w:val="auto"/>
                <w:kern w:val="0"/>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1</w:t>
            </w:r>
          </w:p>
        </w:tc>
        <w:tc>
          <w:tcPr>
            <w:tcW w:w="3817" w:type="dxa"/>
            <w:vAlign w:val="center"/>
          </w:tcPr>
          <w:p>
            <w:pPr>
              <w:widowControl/>
              <w:jc w:val="left"/>
              <w:rPr>
                <w:rFonts w:ascii="宋体" w:hAnsi="宋体" w:cs="宋体"/>
                <w:color w:val="auto"/>
                <w:kern w:val="0"/>
                <w:szCs w:val="21"/>
                <w:u w:val="single"/>
              </w:rPr>
            </w:pPr>
            <w:r>
              <w:rPr>
                <w:rFonts w:hint="eastAsia" w:ascii="宋体" w:hAnsi="宋体" w:cs="宋体"/>
                <w:color w:val="auto"/>
                <w:kern w:val="0"/>
                <w:szCs w:val="21"/>
                <w:u w:val="single"/>
              </w:rPr>
              <w:t>投标文件封面由法定代表人或授权代表签字</w:t>
            </w:r>
            <w:r>
              <w:rPr>
                <w:rFonts w:hint="eastAsia" w:ascii="宋体" w:hAnsi="宋体" w:cs="宋体"/>
                <w:color w:val="auto"/>
                <w:kern w:val="0"/>
                <w:szCs w:val="21"/>
              </w:rPr>
              <w:t>（或签章）</w:t>
            </w:r>
            <w:r>
              <w:rPr>
                <w:rFonts w:hint="eastAsia" w:ascii="宋体" w:hAnsi="宋体" w:cs="宋体"/>
                <w:color w:val="auto"/>
                <w:kern w:val="0"/>
                <w:szCs w:val="21"/>
                <w:u w:val="single"/>
              </w:rPr>
              <w:t>且盖公章</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2</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rPr>
              <w:t>投标函（经济标）由法定代表人或授权代表签字（或签章）且盖公章</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3</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u w:val="single"/>
              </w:rPr>
              <w:t>对同一招标项目未出现两个或以上的投标报价；</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4</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u w:val="single"/>
              </w:rPr>
              <w:t>不存在串通投标情形（串通投标情形以《中华人民共和国招标投标法实施条例》为准）；</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681" w:type="dxa"/>
            <w:noWrap/>
            <w:vAlign w:val="center"/>
          </w:tcPr>
          <w:p>
            <w:pPr>
              <w:widowControl/>
              <w:jc w:val="center"/>
              <w:rPr>
                <w:rFonts w:ascii="宋体" w:hAnsi="宋体" w:cs="宋体"/>
                <w:color w:val="auto"/>
                <w:kern w:val="0"/>
                <w:szCs w:val="21"/>
              </w:rPr>
            </w:pPr>
            <w:r>
              <w:rPr>
                <w:rFonts w:ascii="宋体" w:hAnsi="宋体" w:cs="宋体"/>
                <w:color w:val="auto"/>
                <w:kern w:val="0"/>
                <w:szCs w:val="21"/>
              </w:rPr>
              <w:t>5</w:t>
            </w:r>
          </w:p>
        </w:tc>
        <w:tc>
          <w:tcPr>
            <w:tcW w:w="3817" w:type="dxa"/>
            <w:vAlign w:val="center"/>
          </w:tcPr>
          <w:p>
            <w:pPr>
              <w:widowControl/>
              <w:rPr>
                <w:rFonts w:ascii="宋体" w:hAnsi="宋体" w:cs="宋体"/>
                <w:color w:val="auto"/>
                <w:kern w:val="0"/>
                <w:szCs w:val="21"/>
                <w:u w:val="single"/>
              </w:rPr>
            </w:pPr>
            <w:r>
              <w:rPr>
                <w:rFonts w:hint="eastAsia" w:ascii="宋体" w:hAnsi="宋体" w:cs="宋体"/>
                <w:color w:val="auto"/>
                <w:kern w:val="0"/>
                <w:szCs w:val="21"/>
                <w:u w:val="single"/>
              </w:rPr>
              <w:t>投标报价不高于本项目的</w:t>
            </w:r>
            <w:r>
              <w:rPr>
                <w:rFonts w:hint="eastAsia" w:ascii="宋体" w:hAnsi="宋体" w:cs="宋体"/>
                <w:color w:val="auto"/>
                <w:szCs w:val="21"/>
                <w:u w:val="single"/>
              </w:rPr>
              <w:t>招标控制价。</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4498" w:type="dxa"/>
            <w:gridSpan w:val="2"/>
            <w:noWrap/>
            <w:vAlign w:val="center"/>
          </w:tcPr>
          <w:p>
            <w:pPr>
              <w:widowControl/>
              <w:ind w:firstLine="315" w:firstLineChars="150"/>
              <w:rPr>
                <w:rFonts w:ascii="宋体" w:hAnsi="宋体" w:cs="宋体"/>
                <w:color w:val="auto"/>
                <w:kern w:val="0"/>
                <w:szCs w:val="21"/>
              </w:rPr>
            </w:pPr>
            <w:r>
              <w:rPr>
                <w:rFonts w:hint="eastAsia" w:ascii="宋体" w:hAnsi="宋体" w:cs="宋体"/>
                <w:bCs/>
                <w:color w:val="auto"/>
                <w:kern w:val="0"/>
                <w:szCs w:val="21"/>
              </w:rPr>
              <w:t>结论</w:t>
            </w:r>
          </w:p>
        </w:tc>
        <w:tc>
          <w:tcPr>
            <w:tcW w:w="1036" w:type="dxa"/>
          </w:tcPr>
          <w:p>
            <w:pPr>
              <w:widowControl/>
              <w:jc w:val="center"/>
              <w:rPr>
                <w:rFonts w:ascii="宋体" w:hAnsi="宋体" w:cs="宋体"/>
                <w:b/>
                <w:bCs/>
                <w:color w:val="auto"/>
                <w:kern w:val="0"/>
                <w:szCs w:val="21"/>
              </w:rPr>
            </w:pPr>
          </w:p>
        </w:tc>
        <w:tc>
          <w:tcPr>
            <w:tcW w:w="1275" w:type="dxa"/>
            <w:noWrap/>
            <w:vAlign w:val="center"/>
          </w:tcPr>
          <w:p>
            <w:pPr>
              <w:widowControl/>
              <w:jc w:val="center"/>
              <w:rPr>
                <w:rFonts w:ascii="宋体" w:hAnsi="宋体" w:cs="宋体"/>
                <w:b/>
                <w:bCs/>
                <w:color w:val="auto"/>
                <w:kern w:val="0"/>
                <w:szCs w:val="21"/>
              </w:rPr>
            </w:pPr>
          </w:p>
        </w:tc>
        <w:tc>
          <w:tcPr>
            <w:tcW w:w="1155" w:type="dxa"/>
          </w:tcPr>
          <w:p>
            <w:pPr>
              <w:widowControl/>
              <w:jc w:val="center"/>
              <w:rPr>
                <w:rFonts w:ascii="宋体" w:hAnsi="宋体" w:cs="宋体"/>
                <w:b/>
                <w:bCs/>
                <w:color w:val="auto"/>
                <w:kern w:val="0"/>
                <w:szCs w:val="21"/>
              </w:rPr>
            </w:pPr>
          </w:p>
        </w:tc>
      </w:tr>
    </w:tbl>
    <w:p>
      <w:pPr>
        <w:spacing w:line="360" w:lineRule="auto"/>
        <w:rPr>
          <w:rFonts w:ascii="宋体" w:hAnsi="宋体" w:cs="宋体"/>
          <w:color w:val="auto"/>
          <w:kern w:val="0"/>
          <w:szCs w:val="21"/>
        </w:rPr>
      </w:pPr>
    </w:p>
    <w:p>
      <w:pPr>
        <w:spacing w:line="360" w:lineRule="auto"/>
        <w:rPr>
          <w:rFonts w:ascii="宋体" w:hAnsi="宋体" w:cs="宋体"/>
          <w:color w:val="auto"/>
          <w:szCs w:val="21"/>
        </w:rPr>
      </w:pPr>
      <w:r>
        <w:rPr>
          <w:rFonts w:hint="eastAsia" w:ascii="宋体" w:hAnsi="宋体" w:cs="宋体"/>
          <w:color w:val="auto"/>
          <w:kern w:val="0"/>
          <w:szCs w:val="21"/>
        </w:rPr>
        <w:t>备注：</w:t>
      </w:r>
      <w:r>
        <w:rPr>
          <w:rFonts w:ascii="宋体" w:hAnsi="宋体" w:cs="宋体"/>
          <w:color w:val="auto"/>
          <w:kern w:val="0"/>
          <w:szCs w:val="21"/>
        </w:rPr>
        <w:t>1、每一项目符合的打“○”，不符合的打“X”，出现一个“X”的结论为“不通过”。</w:t>
      </w:r>
    </w:p>
    <w:p>
      <w:pPr>
        <w:spacing w:line="360" w:lineRule="auto"/>
        <w:rPr>
          <w:rFonts w:ascii="宋体" w:hAnsi="宋体" w:cs="宋体"/>
          <w:color w:val="auto"/>
          <w:kern w:val="0"/>
          <w:szCs w:val="21"/>
        </w:rPr>
      </w:pPr>
      <w:r>
        <w:rPr>
          <w:rFonts w:ascii="宋体" w:hAnsi="宋体" w:cs="宋体"/>
          <w:color w:val="auto"/>
          <w:kern w:val="0"/>
          <w:szCs w:val="21"/>
        </w:rPr>
        <w:t>2、“结论”一栏应写“通过”或“不通过”，表中全部条件满足为“通过”，可进入下一阶段评审。</w:t>
      </w:r>
    </w:p>
    <w:p>
      <w:pPr>
        <w:spacing w:line="360" w:lineRule="auto"/>
        <w:rPr>
          <w:rFonts w:ascii="宋体" w:hAnsi="宋体" w:cs="宋体"/>
          <w:color w:val="auto"/>
          <w:szCs w:val="21"/>
        </w:rPr>
      </w:pPr>
    </w:p>
    <w:p>
      <w:pPr>
        <w:spacing w:line="360" w:lineRule="auto"/>
        <w:outlineLvl w:val="2"/>
        <w:rPr>
          <w:rFonts w:ascii="宋体" w:hAnsi="宋体" w:cs="宋体"/>
          <w:b/>
          <w:bCs/>
          <w:color w:val="auto"/>
          <w:szCs w:val="21"/>
        </w:rPr>
      </w:pPr>
      <w:r>
        <w:rPr>
          <w:rFonts w:ascii="宋体" w:hAnsi="宋体" w:cs="宋体"/>
          <w:color w:val="auto"/>
          <w:szCs w:val="21"/>
        </w:rPr>
        <w:br w:type="page"/>
      </w:r>
      <w:r>
        <w:rPr>
          <w:rFonts w:hint="eastAsia" w:ascii="宋体" w:hAnsi="宋体" w:cs="宋体"/>
          <w:b/>
          <w:bCs/>
          <w:color w:val="auto"/>
          <w:szCs w:val="21"/>
        </w:rPr>
        <w:t>附件五：经济标评分表</w:t>
      </w:r>
    </w:p>
    <w:p>
      <w:pPr>
        <w:spacing w:line="360" w:lineRule="auto"/>
        <w:jc w:val="center"/>
        <w:rPr>
          <w:rFonts w:ascii="宋体" w:hAnsi="宋体" w:cs="宋体"/>
          <w:b/>
          <w:color w:val="auto"/>
          <w:szCs w:val="21"/>
        </w:rPr>
      </w:pPr>
      <w:r>
        <w:rPr>
          <w:rFonts w:hint="eastAsia" w:ascii="宋体" w:hAnsi="宋体" w:cs="宋体"/>
          <w:b/>
          <w:color w:val="auto"/>
          <w:szCs w:val="21"/>
        </w:rPr>
        <w:t>经济标评分表</w:t>
      </w:r>
    </w:p>
    <w:p>
      <w:pPr>
        <w:spacing w:line="360" w:lineRule="auto"/>
        <w:ind w:firstLine="210" w:firstLineChars="100"/>
        <w:rPr>
          <w:rFonts w:ascii="宋体" w:hAnsi="宋体" w:cs="宋体"/>
          <w:color w:val="auto"/>
          <w:szCs w:val="21"/>
          <w:u w:val="single"/>
        </w:rPr>
      </w:pPr>
    </w:p>
    <w:tbl>
      <w:tblPr>
        <w:tblStyle w:val="2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417"/>
        <w:gridCol w:w="1418"/>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投标人名称</w:t>
            </w:r>
          </w:p>
        </w:tc>
        <w:tc>
          <w:tcPr>
            <w:tcW w:w="1417" w:type="dxa"/>
            <w:vAlign w:val="center"/>
          </w:tcPr>
          <w:p>
            <w:pPr>
              <w:spacing w:line="360" w:lineRule="auto"/>
              <w:rPr>
                <w:rFonts w:ascii="宋体" w:hAnsi="宋体" w:cs="宋体"/>
                <w:color w:val="auto"/>
                <w:szCs w:val="21"/>
              </w:rPr>
            </w:pPr>
            <w:r>
              <w:rPr>
                <w:rFonts w:ascii="宋体" w:hAnsi="宋体" w:cs="宋体"/>
                <w:color w:val="auto"/>
                <w:szCs w:val="21"/>
              </w:rPr>
              <w:t xml:space="preserve">  </w:t>
            </w: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投标报价（元）</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评标价</w:t>
            </w:r>
            <w:r>
              <w:rPr>
                <w:rFonts w:ascii="宋体" w:hAnsi="宋体" w:cs="宋体"/>
                <w:color w:val="auto"/>
                <w:szCs w:val="21"/>
              </w:rPr>
              <w:t>PT（元）</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93" w:type="dxa"/>
            <w:vAlign w:val="center"/>
          </w:tcPr>
          <w:p>
            <w:pPr>
              <w:spacing w:line="360" w:lineRule="auto"/>
              <w:rPr>
                <w:rFonts w:ascii="宋体" w:hAnsi="宋体" w:cs="宋体"/>
                <w:color w:val="auto"/>
                <w:spacing w:val="-10"/>
                <w:szCs w:val="21"/>
              </w:rPr>
            </w:pPr>
            <w:r>
              <w:rPr>
                <w:rFonts w:hint="eastAsia" w:ascii="宋体" w:hAnsi="宋体" w:cs="宋体"/>
                <w:color w:val="auto"/>
                <w:spacing w:val="-10"/>
                <w:szCs w:val="21"/>
              </w:rPr>
              <w:t>计算参考数据</w:t>
            </w:r>
          </w:p>
        </w:tc>
        <w:tc>
          <w:tcPr>
            <w:tcW w:w="6095" w:type="dxa"/>
            <w:gridSpan w:val="4"/>
            <w:vAlign w:val="center"/>
          </w:tcPr>
          <w:p>
            <w:pPr>
              <w:spacing w:line="360" w:lineRule="auto"/>
              <w:rPr>
                <w:rFonts w:ascii="宋体" w:hAnsi="宋体" w:cs="宋体"/>
                <w:color w:val="auto"/>
                <w:szCs w:val="21"/>
              </w:rPr>
            </w:pPr>
            <w:r>
              <w:rPr>
                <w:rFonts w:hint="eastAsia" w:ascii="宋体" w:hAnsi="宋体" w:cs="宋体"/>
                <w:color w:val="auto"/>
                <w:szCs w:val="21"/>
              </w:rPr>
              <w:t>评标参考价（</w:t>
            </w:r>
            <w:r>
              <w:rPr>
                <w:rFonts w:ascii="宋体" w:hAnsi="宋体" w:cs="宋体"/>
                <w:color w:val="auto"/>
                <w:szCs w:val="21"/>
              </w:rPr>
              <w:t xml:space="preserve">PC）：        </w:t>
            </w:r>
            <w:r>
              <w:rPr>
                <w:rFonts w:hint="eastAsia" w:ascii="宋体" w:hAnsi="宋体" w:cs="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93" w:type="dxa"/>
            <w:vAlign w:val="center"/>
          </w:tcPr>
          <w:p>
            <w:pPr>
              <w:spacing w:line="360" w:lineRule="auto"/>
              <w:rPr>
                <w:rFonts w:ascii="宋体" w:hAnsi="宋体" w:cs="宋体"/>
                <w:color w:val="auto"/>
                <w:spacing w:val="-10"/>
                <w:szCs w:val="21"/>
              </w:rPr>
            </w:pPr>
            <w:r>
              <w:rPr>
                <w:rFonts w:hint="eastAsia" w:ascii="宋体" w:hAnsi="宋体" w:cs="宋体"/>
                <w:color w:val="auto"/>
                <w:spacing w:val="-10"/>
                <w:szCs w:val="21"/>
              </w:rPr>
              <w:t>偏差（（</w:t>
            </w:r>
            <w:r>
              <w:rPr>
                <w:rFonts w:ascii="宋体" w:hAnsi="宋体" w:cs="宋体"/>
                <w:color w:val="auto"/>
                <w:spacing w:val="-10"/>
                <w:szCs w:val="21"/>
              </w:rPr>
              <w:t>PT-PC）/PC）（%）</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减分（</w:t>
            </w:r>
            <w:r>
              <w:rPr>
                <w:rFonts w:ascii="宋体" w:hAnsi="宋体" w:cs="宋体"/>
                <w:color w:val="auto"/>
                <w:szCs w:val="21"/>
              </w:rPr>
              <w:t>A）</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2093" w:type="dxa"/>
            <w:vAlign w:val="center"/>
          </w:tcPr>
          <w:p>
            <w:pPr>
              <w:spacing w:line="360" w:lineRule="auto"/>
              <w:rPr>
                <w:rFonts w:ascii="宋体" w:hAnsi="宋体" w:cs="宋体"/>
                <w:color w:val="auto"/>
                <w:szCs w:val="21"/>
              </w:rPr>
            </w:pPr>
            <w:r>
              <w:rPr>
                <w:rFonts w:hint="eastAsia" w:ascii="宋体" w:hAnsi="宋体" w:cs="宋体"/>
                <w:color w:val="auto"/>
                <w:szCs w:val="21"/>
              </w:rPr>
              <w:t>得分</w:t>
            </w:r>
            <w:r>
              <w:rPr>
                <w:rFonts w:ascii="宋体" w:hAnsi="宋体" w:cs="宋体"/>
                <w:color w:val="auto"/>
                <w:szCs w:val="21"/>
              </w:rPr>
              <w:t>(I=100-A)</w:t>
            </w:r>
          </w:p>
        </w:tc>
        <w:tc>
          <w:tcPr>
            <w:tcW w:w="1417" w:type="dxa"/>
            <w:vAlign w:val="center"/>
          </w:tcPr>
          <w:p>
            <w:pPr>
              <w:spacing w:line="360" w:lineRule="auto"/>
              <w:rPr>
                <w:rFonts w:ascii="宋体" w:hAnsi="宋体" w:cs="宋体"/>
                <w:color w:val="auto"/>
                <w:szCs w:val="21"/>
              </w:rPr>
            </w:pPr>
          </w:p>
        </w:tc>
        <w:tc>
          <w:tcPr>
            <w:tcW w:w="1418" w:type="dxa"/>
            <w:vAlign w:val="center"/>
          </w:tcPr>
          <w:p>
            <w:pPr>
              <w:spacing w:line="360" w:lineRule="auto"/>
              <w:rPr>
                <w:rFonts w:ascii="宋体" w:hAnsi="宋体" w:cs="宋体"/>
                <w:color w:val="auto"/>
                <w:szCs w:val="21"/>
              </w:rPr>
            </w:pPr>
          </w:p>
        </w:tc>
        <w:tc>
          <w:tcPr>
            <w:tcW w:w="1701" w:type="dxa"/>
            <w:vAlign w:val="center"/>
          </w:tcPr>
          <w:p>
            <w:pPr>
              <w:spacing w:line="360" w:lineRule="auto"/>
              <w:rPr>
                <w:rFonts w:ascii="宋体" w:hAnsi="宋体" w:cs="宋体"/>
                <w:color w:val="auto"/>
                <w:szCs w:val="21"/>
              </w:rPr>
            </w:pPr>
          </w:p>
        </w:tc>
        <w:tc>
          <w:tcPr>
            <w:tcW w:w="1559" w:type="dxa"/>
            <w:vAlign w:val="center"/>
          </w:tcPr>
          <w:p>
            <w:pPr>
              <w:spacing w:line="360" w:lineRule="auto"/>
              <w:rPr>
                <w:rFonts w:ascii="宋体" w:hAnsi="宋体" w:cs="宋体"/>
                <w:color w:val="auto"/>
                <w:szCs w:val="21"/>
              </w:rPr>
            </w:pPr>
          </w:p>
        </w:tc>
      </w:tr>
    </w:tbl>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outlineLvl w:val="2"/>
        <w:rPr>
          <w:rFonts w:ascii="宋体" w:hAnsi="宋体" w:cs="宋体"/>
          <w:b/>
          <w:color w:val="auto"/>
          <w:szCs w:val="21"/>
        </w:rPr>
      </w:pPr>
      <w:r>
        <w:rPr>
          <w:rFonts w:ascii="宋体" w:hAnsi="宋体" w:cs="宋体"/>
          <w:color w:val="auto"/>
          <w:szCs w:val="21"/>
        </w:rPr>
        <w:br w:type="page"/>
      </w:r>
      <w:r>
        <w:rPr>
          <w:rFonts w:hint="eastAsia" w:ascii="宋体" w:hAnsi="宋体" w:cs="宋体"/>
          <w:b/>
          <w:color w:val="auto"/>
          <w:szCs w:val="21"/>
        </w:rPr>
        <w:t>附件六：投标人综合评分表</w:t>
      </w:r>
    </w:p>
    <w:p>
      <w:pPr>
        <w:spacing w:line="360" w:lineRule="auto"/>
        <w:jc w:val="center"/>
        <w:rPr>
          <w:rFonts w:ascii="宋体" w:hAnsi="宋体" w:cs="宋体"/>
          <w:b/>
          <w:bCs/>
          <w:color w:val="auto"/>
          <w:szCs w:val="21"/>
        </w:rPr>
      </w:pPr>
      <w:bookmarkStart w:id="88" w:name="_Toc347256165"/>
      <w:r>
        <w:rPr>
          <w:rFonts w:hint="eastAsia" w:ascii="宋体" w:hAnsi="宋体" w:cs="宋体"/>
          <w:b/>
          <w:bCs/>
          <w:color w:val="auto"/>
          <w:szCs w:val="21"/>
        </w:rPr>
        <w:t>投标人</w:t>
      </w:r>
      <w:bookmarkEnd w:id="88"/>
      <w:r>
        <w:rPr>
          <w:rFonts w:hint="eastAsia" w:ascii="宋体" w:hAnsi="宋体" w:cs="宋体"/>
          <w:b/>
          <w:bCs/>
          <w:color w:val="auto"/>
          <w:szCs w:val="21"/>
        </w:rPr>
        <w:t>综合评分表</w:t>
      </w:r>
    </w:p>
    <w:p>
      <w:pPr>
        <w:spacing w:line="360" w:lineRule="auto"/>
        <w:rPr>
          <w:rFonts w:ascii="宋体" w:hAnsi="宋体" w:cs="宋体"/>
          <w:color w:val="auto"/>
          <w:szCs w:val="21"/>
        </w:rPr>
      </w:pPr>
    </w:p>
    <w:tbl>
      <w:tblPr>
        <w:tblStyle w:val="28"/>
        <w:tblW w:w="8100" w:type="dxa"/>
        <w:tblInd w:w="288" w:type="dxa"/>
        <w:tblLayout w:type="fixed"/>
        <w:tblCellMar>
          <w:top w:w="0" w:type="dxa"/>
          <w:left w:w="108" w:type="dxa"/>
          <w:bottom w:w="0" w:type="dxa"/>
          <w:right w:w="108" w:type="dxa"/>
        </w:tblCellMar>
      </w:tblPr>
      <w:tblGrid>
        <w:gridCol w:w="2700"/>
        <w:gridCol w:w="1080"/>
        <w:gridCol w:w="1080"/>
        <w:gridCol w:w="1080"/>
        <w:gridCol w:w="1080"/>
        <w:gridCol w:w="1080"/>
      </w:tblGrid>
      <w:tr>
        <w:tblPrEx>
          <w:tblLayout w:type="fixed"/>
          <w:tblCellMar>
            <w:top w:w="0" w:type="dxa"/>
            <w:left w:w="108" w:type="dxa"/>
            <w:bottom w:w="0" w:type="dxa"/>
            <w:right w:w="108" w:type="dxa"/>
          </w:tblCellMar>
        </w:tblPrEx>
        <w:trPr>
          <w:trHeight w:val="765" w:hRule="atLeast"/>
        </w:trPr>
        <w:tc>
          <w:tcPr>
            <w:tcW w:w="2700" w:type="dxa"/>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项目</w:t>
            </w:r>
          </w:p>
        </w:tc>
        <w:tc>
          <w:tcPr>
            <w:tcW w:w="4320" w:type="dxa"/>
            <w:gridSpan w:val="4"/>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投标人名称</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备注</w:t>
            </w:r>
          </w:p>
        </w:tc>
      </w:tr>
      <w:tr>
        <w:tblPrEx>
          <w:tblLayout w:type="fixed"/>
          <w:tblCellMar>
            <w:top w:w="0" w:type="dxa"/>
            <w:left w:w="108" w:type="dxa"/>
            <w:bottom w:w="0" w:type="dxa"/>
            <w:right w:w="108" w:type="dxa"/>
          </w:tblCellMar>
        </w:tblPrEx>
        <w:trPr>
          <w:trHeight w:val="765" w:hRule="atLeast"/>
        </w:trPr>
        <w:tc>
          <w:tcPr>
            <w:tcW w:w="270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w:t>
            </w:r>
            <w:r>
              <w:rPr>
                <w:rFonts w:ascii="宋体" w:hAnsi="宋体" w:cs="宋体"/>
                <w:color w:val="auto"/>
                <w:szCs w:val="21"/>
              </w:rPr>
              <w:t>1</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w:t>
            </w:r>
            <w:r>
              <w:rPr>
                <w:rFonts w:ascii="宋体" w:hAnsi="宋体" w:cs="宋体"/>
                <w:color w:val="auto"/>
                <w:szCs w:val="21"/>
              </w:rPr>
              <w:t>2</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投标人</w:t>
            </w:r>
            <w:r>
              <w:rPr>
                <w:rFonts w:ascii="宋体" w:hAnsi="宋体" w:cs="宋体"/>
                <w:color w:val="auto"/>
                <w:szCs w:val="21"/>
              </w:rPr>
              <w:t>3</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技术评分</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color w:val="auto"/>
                <w:szCs w:val="21"/>
              </w:rPr>
              <w:t>经济评分</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b/>
                <w:bCs/>
                <w:color w:val="auto"/>
                <w:szCs w:val="21"/>
              </w:rPr>
            </w:pPr>
            <w:r>
              <w:rPr>
                <w:rFonts w:hint="eastAsia" w:ascii="宋体" w:hAnsi="宋体" w:cs="宋体"/>
                <w:b/>
                <w:bCs/>
                <w:color w:val="auto"/>
                <w:szCs w:val="21"/>
              </w:rPr>
              <w:t>投标人总分</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r>
        <w:tblPrEx>
          <w:tblLayout w:type="fixed"/>
          <w:tblCellMar>
            <w:top w:w="0" w:type="dxa"/>
            <w:left w:w="108" w:type="dxa"/>
            <w:bottom w:w="0" w:type="dxa"/>
            <w:right w:w="108" w:type="dxa"/>
          </w:tblCellMar>
        </w:tblPrEx>
        <w:trPr>
          <w:trHeight w:val="765"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szCs w:val="21"/>
              </w:rPr>
            </w:pPr>
            <w:r>
              <w:rPr>
                <w:rFonts w:hint="eastAsia" w:ascii="宋体" w:hAnsi="宋体" w:cs="宋体"/>
                <w:b/>
                <w:bCs/>
                <w:color w:val="auto"/>
                <w:szCs w:val="21"/>
              </w:rPr>
              <w:t>投标人总分排名</w:t>
            </w: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c>
          <w:tcPr>
            <w:tcW w:w="1080"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宋体"/>
                <w:color w:val="auto"/>
                <w:szCs w:val="21"/>
              </w:rPr>
            </w:pPr>
          </w:p>
        </w:tc>
      </w:tr>
    </w:tbl>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spacing w:line="360" w:lineRule="auto"/>
        <w:rPr>
          <w:rFonts w:ascii="宋体" w:hAnsi="宋体" w:cs="宋体"/>
          <w:color w:val="auto"/>
          <w:szCs w:val="21"/>
        </w:rPr>
      </w:pPr>
    </w:p>
    <w:p>
      <w:pPr>
        <w:rPr>
          <w:rFonts w:ascii="宋体" w:hAnsi="宋体" w:cs="宋体"/>
          <w:color w:val="auto"/>
        </w:rPr>
      </w:pPr>
    </w:p>
    <w:p>
      <w:pPr>
        <w:spacing w:line="360" w:lineRule="auto"/>
        <w:jc w:val="center"/>
        <w:rPr>
          <w:rFonts w:ascii="宋体" w:hAnsi="宋体" w:cs="宋体"/>
          <w:color w:val="auto"/>
          <w:sz w:val="30"/>
          <w:szCs w:val="30"/>
        </w:rPr>
      </w:pPr>
    </w:p>
    <w:p>
      <w:pPr>
        <w:pStyle w:val="4"/>
        <w:jc w:val="center"/>
        <w:rPr>
          <w:rFonts w:ascii="宋体" w:hAnsi="宋体" w:eastAsia="宋体" w:cs="宋体"/>
          <w:color w:val="auto"/>
        </w:rPr>
      </w:pPr>
    </w:p>
    <w:p>
      <w:pPr>
        <w:rPr>
          <w:rFonts w:ascii="宋体" w:hAnsi="宋体" w:cs="宋体"/>
          <w:color w:val="auto"/>
        </w:rPr>
      </w:pPr>
    </w:p>
    <w:p>
      <w:pPr>
        <w:rPr>
          <w:color w:val="auto"/>
        </w:rPr>
      </w:pPr>
    </w:p>
    <w:sectPr>
      <w:pgSz w:w="11906" w:h="16838"/>
      <w:pgMar w:top="1418" w:right="1701" w:bottom="1418" w:left="1701"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normal Arial">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AkC&#10;XTS2AQAAVgMAAA4AAAAAAAAAAQAgAAAAHgEAAGRycy9lMm9Eb2MueG1sUEsFBgAAAAAGAAYAWQEA&#10;AEY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Hg+semnAQAAPwMAAA4AAAAA&#10;AAAAAQAgAAAAHgEAAGRycy9lMm9Eb2MueG1sUEsFBgAAAAAGAAYAWQEAADc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rPr>
                              <w:sz w:val="21"/>
                            </w:rPr>
                            <w:fldChar w:fldCharType="begin"/>
                          </w:r>
                          <w:r>
                            <w:rPr>
                              <w:sz w:val="21"/>
                            </w:rPr>
                            <w:instrText xml:space="preserve">PAGE   \* MERGEFORMAT</w:instrText>
                          </w:r>
                          <w:r>
                            <w:rPr>
                              <w:sz w:val="21"/>
                            </w:rPr>
                            <w:fldChar w:fldCharType="separate"/>
                          </w:r>
                          <w:r>
                            <w:rPr>
                              <w:sz w:val="21"/>
                              <w:lang w:val="zh-CN"/>
                            </w:rPr>
                            <w:t>64</w:t>
                          </w:r>
                          <w:r>
                            <w:rPr>
                              <w:sz w:val="21"/>
                            </w:rPr>
                            <w:fldChar w:fldCharType="end"/>
                          </w:r>
                        </w:p>
                      </w:txbxContent>
                    </wps:txbx>
                    <wps:bodyPr vert="horz" wrap="none" lIns="0" tIns="0" rIns="0" bIns="0" anchor="t">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3yvb&#10;D7UBAABWAwAADgAAAAAAAAABACAAAAAeAQAAZHJzL2Uyb0RvYy54bWxQSwUGAAAAAAYABgBZAQAA&#10;RQUAAAAA&#10;">
              <v:fill on="f" focussize="0,0"/>
              <v:stroke on="f"/>
              <v:imagedata o:title=""/>
              <o:lock v:ext="edit" aspectratio="f"/>
              <v:textbox inset="0mm,0mm,0mm,0mm" style="mso-fit-shape-to-text:t;">
                <w:txbxContent>
                  <w:p>
                    <w:pPr>
                      <w:pStyle w:val="15"/>
                      <w:jc w:val="center"/>
                    </w:pPr>
                    <w:r>
                      <w:rPr>
                        <w:sz w:val="21"/>
                      </w:rPr>
                      <w:fldChar w:fldCharType="begin"/>
                    </w:r>
                    <w:r>
                      <w:rPr>
                        <w:sz w:val="21"/>
                      </w:rPr>
                      <w:instrText xml:space="preserve">PAGE   \* MERGEFORMAT</w:instrText>
                    </w:r>
                    <w:r>
                      <w:rPr>
                        <w:sz w:val="21"/>
                      </w:rPr>
                      <w:fldChar w:fldCharType="separate"/>
                    </w:r>
                    <w:r>
                      <w:rPr>
                        <w:sz w:val="21"/>
                        <w:lang w:val="zh-CN"/>
                      </w:rPr>
                      <w:t>64</w:t>
                    </w:r>
                    <w:r>
                      <w:rPr>
                        <w:sz w:val="21"/>
                      </w:rPr>
                      <w:fldChar w:fldCharType="end"/>
                    </w:r>
                  </w:p>
                </w:txbxContent>
              </v:textbox>
            </v:shape>
          </w:pict>
        </mc:Fallback>
      </mc:AlternateConten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AC319"/>
    <w:multiLevelType w:val="singleLevel"/>
    <w:tmpl w:val="970AC319"/>
    <w:lvl w:ilvl="0" w:tentative="0">
      <w:start w:val="2"/>
      <w:numFmt w:val="decimal"/>
      <w:suff w:val="nothing"/>
      <w:lvlText w:val="%1、"/>
      <w:lvlJc w:val="left"/>
    </w:lvl>
  </w:abstractNum>
  <w:abstractNum w:abstractNumId="1">
    <w:nsid w:val="98544E8B"/>
    <w:multiLevelType w:val="singleLevel"/>
    <w:tmpl w:val="98544E8B"/>
    <w:lvl w:ilvl="0" w:tentative="0">
      <w:start w:val="2"/>
      <w:numFmt w:val="decimal"/>
      <w:suff w:val="nothing"/>
      <w:lvlText w:val="%1、"/>
      <w:lvlJc w:val="left"/>
    </w:lvl>
  </w:abstractNum>
  <w:abstractNum w:abstractNumId="2">
    <w:nsid w:val="BDCEB3F3"/>
    <w:multiLevelType w:val="singleLevel"/>
    <w:tmpl w:val="BDCEB3F3"/>
    <w:lvl w:ilvl="0" w:tentative="0">
      <w:start w:val="1"/>
      <w:numFmt w:val="decimal"/>
      <w:lvlText w:val="%1."/>
      <w:lvlJc w:val="left"/>
      <w:pPr>
        <w:ind w:left="425" w:hanging="425"/>
      </w:pPr>
      <w:rPr>
        <w:rFonts w:hint="default"/>
      </w:rPr>
    </w:lvl>
  </w:abstractNum>
  <w:abstractNum w:abstractNumId="3">
    <w:nsid w:val="E144FF6F"/>
    <w:multiLevelType w:val="singleLevel"/>
    <w:tmpl w:val="E144FF6F"/>
    <w:lvl w:ilvl="0" w:tentative="0">
      <w:start w:val="2"/>
      <w:numFmt w:val="decimal"/>
      <w:suff w:val="nothing"/>
      <w:lvlText w:val="%1、"/>
      <w:lvlJc w:val="left"/>
    </w:lvl>
  </w:abstractNum>
  <w:abstractNum w:abstractNumId="4">
    <w:nsid w:val="F4E30DBB"/>
    <w:multiLevelType w:val="singleLevel"/>
    <w:tmpl w:val="F4E30DBB"/>
    <w:lvl w:ilvl="0" w:tentative="0">
      <w:start w:val="1"/>
      <w:numFmt w:val="decimal"/>
      <w:lvlText w:val="%1."/>
      <w:lvlJc w:val="left"/>
      <w:pPr>
        <w:ind w:left="425" w:hanging="425"/>
      </w:pPr>
      <w:rPr>
        <w:rFonts w:hint="default"/>
      </w:rPr>
    </w:lvl>
  </w:abstractNum>
  <w:abstractNum w:abstractNumId="5">
    <w:nsid w:val="00000025"/>
    <w:multiLevelType w:val="multilevel"/>
    <w:tmpl w:val="00000025"/>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1830294"/>
    <w:multiLevelType w:val="multilevel"/>
    <w:tmpl w:val="11830294"/>
    <w:lvl w:ilvl="0" w:tentative="0">
      <w:start w:val="1"/>
      <w:numFmt w:val="decimalEnclosedCircle"/>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73C4CEE"/>
    <w:multiLevelType w:val="singleLevel"/>
    <w:tmpl w:val="173C4CEE"/>
    <w:lvl w:ilvl="0" w:tentative="0">
      <w:start w:val="1"/>
      <w:numFmt w:val="decimal"/>
      <w:suff w:val="nothing"/>
      <w:lvlText w:val="（%1）"/>
      <w:lvlJc w:val="left"/>
    </w:lvl>
  </w:abstractNum>
  <w:abstractNum w:abstractNumId="8">
    <w:nsid w:val="3BFFC483"/>
    <w:multiLevelType w:val="singleLevel"/>
    <w:tmpl w:val="3BFFC483"/>
    <w:lvl w:ilvl="0" w:tentative="0">
      <w:start w:val="1"/>
      <w:numFmt w:val="chineseCounting"/>
      <w:suff w:val="nothing"/>
      <w:lvlText w:val="%1、"/>
      <w:lvlJc w:val="left"/>
      <w:rPr>
        <w:rFonts w:hint="eastAsia"/>
      </w:rPr>
    </w:lvl>
  </w:abstractNum>
  <w:abstractNum w:abstractNumId="9">
    <w:nsid w:val="4B0190F7"/>
    <w:multiLevelType w:val="singleLevel"/>
    <w:tmpl w:val="4B0190F7"/>
    <w:lvl w:ilvl="0" w:tentative="0">
      <w:start w:val="1"/>
      <w:numFmt w:val="lowerLetter"/>
      <w:suff w:val="nothing"/>
      <w:lvlText w:val="%1）"/>
      <w:lvlJc w:val="left"/>
    </w:lvl>
  </w:abstractNum>
  <w:abstractNum w:abstractNumId="10">
    <w:nsid w:val="6C9506AD"/>
    <w:multiLevelType w:val="singleLevel"/>
    <w:tmpl w:val="6C9506AD"/>
    <w:lvl w:ilvl="0" w:tentative="0">
      <w:start w:val="1"/>
      <w:numFmt w:val="lowerLetter"/>
      <w:suff w:val="nothing"/>
      <w:lvlText w:val="%1）"/>
      <w:lvlJc w:val="left"/>
    </w:lvl>
  </w:abstractNum>
  <w:num w:numId="1">
    <w:abstractNumId w:val="6"/>
  </w:num>
  <w:num w:numId="2">
    <w:abstractNumId w:val="4"/>
  </w:num>
  <w:num w:numId="3">
    <w:abstractNumId w:val="2"/>
  </w:num>
  <w:num w:numId="4">
    <w:abstractNumId w:val="5"/>
  </w:num>
  <w:num w:numId="5">
    <w:abstractNumId w:val="1"/>
  </w:num>
  <w:num w:numId="6">
    <w:abstractNumId w:val="8"/>
  </w:num>
  <w:num w:numId="7">
    <w:abstractNumId w:val="3"/>
  </w:num>
  <w:num w:numId="8">
    <w:abstractNumId w:val="0"/>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2A"/>
    <w:rsid w:val="00020FFE"/>
    <w:rsid w:val="0005008D"/>
    <w:rsid w:val="00055391"/>
    <w:rsid w:val="00074A7A"/>
    <w:rsid w:val="00082492"/>
    <w:rsid w:val="000A5FED"/>
    <w:rsid w:val="000C39B6"/>
    <w:rsid w:val="000E1567"/>
    <w:rsid w:val="0010381D"/>
    <w:rsid w:val="00105F90"/>
    <w:rsid w:val="00115D37"/>
    <w:rsid w:val="00125876"/>
    <w:rsid w:val="00141098"/>
    <w:rsid w:val="00162588"/>
    <w:rsid w:val="0017367B"/>
    <w:rsid w:val="001B6422"/>
    <w:rsid w:val="001E6615"/>
    <w:rsid w:val="001F69EA"/>
    <w:rsid w:val="001F7524"/>
    <w:rsid w:val="00212675"/>
    <w:rsid w:val="00222851"/>
    <w:rsid w:val="002938CE"/>
    <w:rsid w:val="002974B7"/>
    <w:rsid w:val="002A4505"/>
    <w:rsid w:val="002A6FF6"/>
    <w:rsid w:val="002C1096"/>
    <w:rsid w:val="002C6785"/>
    <w:rsid w:val="002F52E5"/>
    <w:rsid w:val="00363A59"/>
    <w:rsid w:val="00394FEE"/>
    <w:rsid w:val="003A135B"/>
    <w:rsid w:val="003A36A0"/>
    <w:rsid w:val="003B4F91"/>
    <w:rsid w:val="003D1C3C"/>
    <w:rsid w:val="003D3C1E"/>
    <w:rsid w:val="003E0395"/>
    <w:rsid w:val="003E6A85"/>
    <w:rsid w:val="003F3E3D"/>
    <w:rsid w:val="003F4F51"/>
    <w:rsid w:val="003F5D67"/>
    <w:rsid w:val="0040602A"/>
    <w:rsid w:val="00416FA9"/>
    <w:rsid w:val="00420DBB"/>
    <w:rsid w:val="0043360A"/>
    <w:rsid w:val="004357A9"/>
    <w:rsid w:val="004418EF"/>
    <w:rsid w:val="00446A49"/>
    <w:rsid w:val="004473BF"/>
    <w:rsid w:val="00453E42"/>
    <w:rsid w:val="004663A8"/>
    <w:rsid w:val="004800E8"/>
    <w:rsid w:val="004A4701"/>
    <w:rsid w:val="004A7D33"/>
    <w:rsid w:val="004B11C9"/>
    <w:rsid w:val="004D6C09"/>
    <w:rsid w:val="004E1174"/>
    <w:rsid w:val="004E79B2"/>
    <w:rsid w:val="004F345A"/>
    <w:rsid w:val="00504FC2"/>
    <w:rsid w:val="00541524"/>
    <w:rsid w:val="00553E00"/>
    <w:rsid w:val="00556888"/>
    <w:rsid w:val="00560A00"/>
    <w:rsid w:val="00582051"/>
    <w:rsid w:val="005863A9"/>
    <w:rsid w:val="0058736B"/>
    <w:rsid w:val="00593E29"/>
    <w:rsid w:val="005A1F8B"/>
    <w:rsid w:val="005B28D9"/>
    <w:rsid w:val="005C3CC9"/>
    <w:rsid w:val="005C7266"/>
    <w:rsid w:val="005D28ED"/>
    <w:rsid w:val="005E26E7"/>
    <w:rsid w:val="00603524"/>
    <w:rsid w:val="00616E06"/>
    <w:rsid w:val="00622FE4"/>
    <w:rsid w:val="00632F75"/>
    <w:rsid w:val="00640AE7"/>
    <w:rsid w:val="00647665"/>
    <w:rsid w:val="0065454F"/>
    <w:rsid w:val="00693397"/>
    <w:rsid w:val="006974EB"/>
    <w:rsid w:val="006C7109"/>
    <w:rsid w:val="006D4D2A"/>
    <w:rsid w:val="006E2B93"/>
    <w:rsid w:val="00707F07"/>
    <w:rsid w:val="007249C1"/>
    <w:rsid w:val="00730D86"/>
    <w:rsid w:val="00735F48"/>
    <w:rsid w:val="00747336"/>
    <w:rsid w:val="00751EDB"/>
    <w:rsid w:val="00752907"/>
    <w:rsid w:val="00752E3F"/>
    <w:rsid w:val="00764E8F"/>
    <w:rsid w:val="007A1ABD"/>
    <w:rsid w:val="007A5A5D"/>
    <w:rsid w:val="007C34E5"/>
    <w:rsid w:val="00812757"/>
    <w:rsid w:val="008209A6"/>
    <w:rsid w:val="008358A6"/>
    <w:rsid w:val="008366EC"/>
    <w:rsid w:val="008432DE"/>
    <w:rsid w:val="0085098E"/>
    <w:rsid w:val="008523DF"/>
    <w:rsid w:val="0085626C"/>
    <w:rsid w:val="008573B3"/>
    <w:rsid w:val="00887954"/>
    <w:rsid w:val="00892F3A"/>
    <w:rsid w:val="008A5518"/>
    <w:rsid w:val="008A73BE"/>
    <w:rsid w:val="008C0EF5"/>
    <w:rsid w:val="008F08A9"/>
    <w:rsid w:val="00907B2F"/>
    <w:rsid w:val="00917D1E"/>
    <w:rsid w:val="00925F36"/>
    <w:rsid w:val="0092677F"/>
    <w:rsid w:val="0093194B"/>
    <w:rsid w:val="00936D08"/>
    <w:rsid w:val="009438EB"/>
    <w:rsid w:val="00947317"/>
    <w:rsid w:val="00995000"/>
    <w:rsid w:val="009A2580"/>
    <w:rsid w:val="009A28AE"/>
    <w:rsid w:val="009A4E77"/>
    <w:rsid w:val="009B56EB"/>
    <w:rsid w:val="00A008CB"/>
    <w:rsid w:val="00A26791"/>
    <w:rsid w:val="00A3175C"/>
    <w:rsid w:val="00A3301A"/>
    <w:rsid w:val="00A511E7"/>
    <w:rsid w:val="00A70894"/>
    <w:rsid w:val="00A86441"/>
    <w:rsid w:val="00AA1523"/>
    <w:rsid w:val="00AB3BEC"/>
    <w:rsid w:val="00AE2D76"/>
    <w:rsid w:val="00AF3790"/>
    <w:rsid w:val="00B07EBF"/>
    <w:rsid w:val="00B304E8"/>
    <w:rsid w:val="00B469C5"/>
    <w:rsid w:val="00B52267"/>
    <w:rsid w:val="00B70220"/>
    <w:rsid w:val="00B81DAD"/>
    <w:rsid w:val="00B8744D"/>
    <w:rsid w:val="00B93775"/>
    <w:rsid w:val="00BA6B63"/>
    <w:rsid w:val="00BB46CE"/>
    <w:rsid w:val="00BB5CC5"/>
    <w:rsid w:val="00BC23D3"/>
    <w:rsid w:val="00BD11A4"/>
    <w:rsid w:val="00BD2C85"/>
    <w:rsid w:val="00BE4E15"/>
    <w:rsid w:val="00BE6E12"/>
    <w:rsid w:val="00C139B0"/>
    <w:rsid w:val="00C31A6B"/>
    <w:rsid w:val="00C36561"/>
    <w:rsid w:val="00C37397"/>
    <w:rsid w:val="00C47070"/>
    <w:rsid w:val="00C477B1"/>
    <w:rsid w:val="00C66944"/>
    <w:rsid w:val="00C92536"/>
    <w:rsid w:val="00C95A0D"/>
    <w:rsid w:val="00CB7758"/>
    <w:rsid w:val="00CC19D6"/>
    <w:rsid w:val="00CC6674"/>
    <w:rsid w:val="00CD0749"/>
    <w:rsid w:val="00CD0ACD"/>
    <w:rsid w:val="00D0098A"/>
    <w:rsid w:val="00D01472"/>
    <w:rsid w:val="00D0536A"/>
    <w:rsid w:val="00D078F7"/>
    <w:rsid w:val="00D10FDC"/>
    <w:rsid w:val="00D114EC"/>
    <w:rsid w:val="00D1539C"/>
    <w:rsid w:val="00D160DF"/>
    <w:rsid w:val="00D226DA"/>
    <w:rsid w:val="00D22FD0"/>
    <w:rsid w:val="00D26FA1"/>
    <w:rsid w:val="00D66EE5"/>
    <w:rsid w:val="00DB0E05"/>
    <w:rsid w:val="00DC6FD7"/>
    <w:rsid w:val="00DF4AA2"/>
    <w:rsid w:val="00E02204"/>
    <w:rsid w:val="00E04650"/>
    <w:rsid w:val="00E16DC7"/>
    <w:rsid w:val="00E24E48"/>
    <w:rsid w:val="00E42811"/>
    <w:rsid w:val="00E61554"/>
    <w:rsid w:val="00E95596"/>
    <w:rsid w:val="00EC4CAA"/>
    <w:rsid w:val="00EC5129"/>
    <w:rsid w:val="00ED6C41"/>
    <w:rsid w:val="00EE7F5A"/>
    <w:rsid w:val="00F115B0"/>
    <w:rsid w:val="00F175F5"/>
    <w:rsid w:val="00F263E8"/>
    <w:rsid w:val="00F364D7"/>
    <w:rsid w:val="00F464B5"/>
    <w:rsid w:val="00F5553D"/>
    <w:rsid w:val="00F5646C"/>
    <w:rsid w:val="00F65E61"/>
    <w:rsid w:val="00F71C84"/>
    <w:rsid w:val="00F72CCE"/>
    <w:rsid w:val="00F848B9"/>
    <w:rsid w:val="00F85E5C"/>
    <w:rsid w:val="00F86452"/>
    <w:rsid w:val="00F8655B"/>
    <w:rsid w:val="00FA4807"/>
    <w:rsid w:val="00FC7DA0"/>
    <w:rsid w:val="00FD43BE"/>
    <w:rsid w:val="00FE37C5"/>
    <w:rsid w:val="00FE5404"/>
    <w:rsid w:val="00FF18A4"/>
    <w:rsid w:val="01C162CE"/>
    <w:rsid w:val="01D55BF8"/>
    <w:rsid w:val="01EE0F57"/>
    <w:rsid w:val="0262181B"/>
    <w:rsid w:val="02C76E44"/>
    <w:rsid w:val="0334274B"/>
    <w:rsid w:val="035B5466"/>
    <w:rsid w:val="03766C3B"/>
    <w:rsid w:val="039F4F2A"/>
    <w:rsid w:val="03B74DCD"/>
    <w:rsid w:val="03CF40F9"/>
    <w:rsid w:val="03EC3825"/>
    <w:rsid w:val="040232C4"/>
    <w:rsid w:val="04244AFD"/>
    <w:rsid w:val="044B15F5"/>
    <w:rsid w:val="04595C86"/>
    <w:rsid w:val="04836DB2"/>
    <w:rsid w:val="048C7396"/>
    <w:rsid w:val="04A9786C"/>
    <w:rsid w:val="04AA1F9C"/>
    <w:rsid w:val="04FE49DD"/>
    <w:rsid w:val="05102127"/>
    <w:rsid w:val="05145544"/>
    <w:rsid w:val="052D673E"/>
    <w:rsid w:val="05383E59"/>
    <w:rsid w:val="05592BA5"/>
    <w:rsid w:val="055D2A1C"/>
    <w:rsid w:val="059A7A5C"/>
    <w:rsid w:val="05A22D48"/>
    <w:rsid w:val="05AA33DD"/>
    <w:rsid w:val="05C050DA"/>
    <w:rsid w:val="05D0533A"/>
    <w:rsid w:val="05E602DE"/>
    <w:rsid w:val="061B1FE5"/>
    <w:rsid w:val="06771036"/>
    <w:rsid w:val="06830831"/>
    <w:rsid w:val="069B16E7"/>
    <w:rsid w:val="06B375D2"/>
    <w:rsid w:val="06C85251"/>
    <w:rsid w:val="073B2108"/>
    <w:rsid w:val="07702C20"/>
    <w:rsid w:val="079A5879"/>
    <w:rsid w:val="07CE0AE4"/>
    <w:rsid w:val="07DE5744"/>
    <w:rsid w:val="08035E6B"/>
    <w:rsid w:val="08036E6B"/>
    <w:rsid w:val="081A4E0B"/>
    <w:rsid w:val="08242F90"/>
    <w:rsid w:val="083673BF"/>
    <w:rsid w:val="088A2B6A"/>
    <w:rsid w:val="08926EB8"/>
    <w:rsid w:val="089B7E81"/>
    <w:rsid w:val="08B76CAD"/>
    <w:rsid w:val="08EB3166"/>
    <w:rsid w:val="08F124BA"/>
    <w:rsid w:val="091F56FB"/>
    <w:rsid w:val="09D9301F"/>
    <w:rsid w:val="09EC2ECE"/>
    <w:rsid w:val="09ED5260"/>
    <w:rsid w:val="0A06512D"/>
    <w:rsid w:val="0A663CCC"/>
    <w:rsid w:val="0A887B1F"/>
    <w:rsid w:val="0AAF2C51"/>
    <w:rsid w:val="0AF869E0"/>
    <w:rsid w:val="0B5237E1"/>
    <w:rsid w:val="0B882A82"/>
    <w:rsid w:val="0BBB5622"/>
    <w:rsid w:val="0BBD4BEA"/>
    <w:rsid w:val="0BEA00E5"/>
    <w:rsid w:val="0C21309C"/>
    <w:rsid w:val="0C4627D6"/>
    <w:rsid w:val="0C780236"/>
    <w:rsid w:val="0C814046"/>
    <w:rsid w:val="0D140192"/>
    <w:rsid w:val="0D1A1226"/>
    <w:rsid w:val="0D6420DA"/>
    <w:rsid w:val="0DF62D47"/>
    <w:rsid w:val="0E137A56"/>
    <w:rsid w:val="0E21172D"/>
    <w:rsid w:val="0E295E51"/>
    <w:rsid w:val="0E6175AF"/>
    <w:rsid w:val="0E721B10"/>
    <w:rsid w:val="0E830A5B"/>
    <w:rsid w:val="0E975BC2"/>
    <w:rsid w:val="0EED5F14"/>
    <w:rsid w:val="0F276997"/>
    <w:rsid w:val="0F2E3581"/>
    <w:rsid w:val="0F6865AD"/>
    <w:rsid w:val="0F8F17D3"/>
    <w:rsid w:val="0FC15CFC"/>
    <w:rsid w:val="0FE42A75"/>
    <w:rsid w:val="100F2103"/>
    <w:rsid w:val="101113BD"/>
    <w:rsid w:val="10185E0E"/>
    <w:rsid w:val="102C382E"/>
    <w:rsid w:val="10395BD7"/>
    <w:rsid w:val="10635001"/>
    <w:rsid w:val="107A0B7E"/>
    <w:rsid w:val="12480F37"/>
    <w:rsid w:val="125D745D"/>
    <w:rsid w:val="12A02878"/>
    <w:rsid w:val="12EB3A3C"/>
    <w:rsid w:val="13084359"/>
    <w:rsid w:val="13311139"/>
    <w:rsid w:val="133836D8"/>
    <w:rsid w:val="1349746D"/>
    <w:rsid w:val="139129E2"/>
    <w:rsid w:val="13BC27E9"/>
    <w:rsid w:val="143D4BE6"/>
    <w:rsid w:val="14563B4F"/>
    <w:rsid w:val="146F7DC8"/>
    <w:rsid w:val="14797A36"/>
    <w:rsid w:val="1498006C"/>
    <w:rsid w:val="149F100F"/>
    <w:rsid w:val="14A445C3"/>
    <w:rsid w:val="14C4468B"/>
    <w:rsid w:val="14DC123B"/>
    <w:rsid w:val="14FC248D"/>
    <w:rsid w:val="153D2511"/>
    <w:rsid w:val="154B3042"/>
    <w:rsid w:val="15530E40"/>
    <w:rsid w:val="15694CBC"/>
    <w:rsid w:val="15E630D8"/>
    <w:rsid w:val="160E0CF2"/>
    <w:rsid w:val="161B0E1B"/>
    <w:rsid w:val="161F4B3C"/>
    <w:rsid w:val="16EB58C6"/>
    <w:rsid w:val="17260D28"/>
    <w:rsid w:val="177A2140"/>
    <w:rsid w:val="177A5EDB"/>
    <w:rsid w:val="179164C8"/>
    <w:rsid w:val="17F91450"/>
    <w:rsid w:val="17FB49AE"/>
    <w:rsid w:val="181C33D6"/>
    <w:rsid w:val="185F4990"/>
    <w:rsid w:val="18AB6DA0"/>
    <w:rsid w:val="18EB0583"/>
    <w:rsid w:val="19122758"/>
    <w:rsid w:val="193B4040"/>
    <w:rsid w:val="19C7196D"/>
    <w:rsid w:val="19E93A65"/>
    <w:rsid w:val="19EF67A7"/>
    <w:rsid w:val="19F40568"/>
    <w:rsid w:val="1A720E2D"/>
    <w:rsid w:val="1A782BB6"/>
    <w:rsid w:val="1A8D6DF9"/>
    <w:rsid w:val="1A8F536A"/>
    <w:rsid w:val="1ABA371F"/>
    <w:rsid w:val="1AD56511"/>
    <w:rsid w:val="1ADC30EF"/>
    <w:rsid w:val="1AF03EC2"/>
    <w:rsid w:val="1BC93830"/>
    <w:rsid w:val="1C061EB3"/>
    <w:rsid w:val="1C354FED"/>
    <w:rsid w:val="1C783311"/>
    <w:rsid w:val="1CBD1840"/>
    <w:rsid w:val="1D224FAE"/>
    <w:rsid w:val="1D2372BB"/>
    <w:rsid w:val="1D302F33"/>
    <w:rsid w:val="1D561921"/>
    <w:rsid w:val="1D74566A"/>
    <w:rsid w:val="1D971698"/>
    <w:rsid w:val="1E0B72B0"/>
    <w:rsid w:val="1E5D0E27"/>
    <w:rsid w:val="1E66742A"/>
    <w:rsid w:val="1E77486F"/>
    <w:rsid w:val="1E830468"/>
    <w:rsid w:val="1E86434F"/>
    <w:rsid w:val="1E883E7E"/>
    <w:rsid w:val="1E8B3DF1"/>
    <w:rsid w:val="1EDB2EF1"/>
    <w:rsid w:val="1EF21D2B"/>
    <w:rsid w:val="1F2104DF"/>
    <w:rsid w:val="1F3E786F"/>
    <w:rsid w:val="1F4F366B"/>
    <w:rsid w:val="1F814E8A"/>
    <w:rsid w:val="1F88305D"/>
    <w:rsid w:val="1FA7482E"/>
    <w:rsid w:val="1FD45E1F"/>
    <w:rsid w:val="1FD95950"/>
    <w:rsid w:val="20007E24"/>
    <w:rsid w:val="20034E67"/>
    <w:rsid w:val="202308DD"/>
    <w:rsid w:val="20904DD7"/>
    <w:rsid w:val="20F72CD2"/>
    <w:rsid w:val="21405F7C"/>
    <w:rsid w:val="219B1E20"/>
    <w:rsid w:val="21AE1598"/>
    <w:rsid w:val="21B96846"/>
    <w:rsid w:val="21DA1F03"/>
    <w:rsid w:val="21F764C1"/>
    <w:rsid w:val="21FE4775"/>
    <w:rsid w:val="220C38F8"/>
    <w:rsid w:val="225A52F0"/>
    <w:rsid w:val="22D73816"/>
    <w:rsid w:val="23752306"/>
    <w:rsid w:val="23BC3590"/>
    <w:rsid w:val="23DB10C6"/>
    <w:rsid w:val="24884C2C"/>
    <w:rsid w:val="24991E81"/>
    <w:rsid w:val="249D613D"/>
    <w:rsid w:val="24A23B2E"/>
    <w:rsid w:val="24C50BF9"/>
    <w:rsid w:val="24DA5BFE"/>
    <w:rsid w:val="250E4CF9"/>
    <w:rsid w:val="25100EC5"/>
    <w:rsid w:val="2518411E"/>
    <w:rsid w:val="25424967"/>
    <w:rsid w:val="25443B86"/>
    <w:rsid w:val="2546357A"/>
    <w:rsid w:val="25814E7C"/>
    <w:rsid w:val="25960030"/>
    <w:rsid w:val="259707DC"/>
    <w:rsid w:val="25BB0CC6"/>
    <w:rsid w:val="25C31C30"/>
    <w:rsid w:val="26025825"/>
    <w:rsid w:val="262B1D27"/>
    <w:rsid w:val="26536306"/>
    <w:rsid w:val="26BD0B85"/>
    <w:rsid w:val="26DB72EB"/>
    <w:rsid w:val="26E117FC"/>
    <w:rsid w:val="2743245B"/>
    <w:rsid w:val="275D0989"/>
    <w:rsid w:val="27693F2F"/>
    <w:rsid w:val="276F440C"/>
    <w:rsid w:val="27721B75"/>
    <w:rsid w:val="27E04094"/>
    <w:rsid w:val="28623A66"/>
    <w:rsid w:val="288F7777"/>
    <w:rsid w:val="28C5133B"/>
    <w:rsid w:val="290D0664"/>
    <w:rsid w:val="290E6824"/>
    <w:rsid w:val="29425149"/>
    <w:rsid w:val="294410E1"/>
    <w:rsid w:val="29591C7C"/>
    <w:rsid w:val="29594E11"/>
    <w:rsid w:val="299A2BA1"/>
    <w:rsid w:val="29A218C1"/>
    <w:rsid w:val="29A8457F"/>
    <w:rsid w:val="29BB7C39"/>
    <w:rsid w:val="29E2088D"/>
    <w:rsid w:val="2A380830"/>
    <w:rsid w:val="2A4647F4"/>
    <w:rsid w:val="2A631A45"/>
    <w:rsid w:val="2A8A4ECB"/>
    <w:rsid w:val="2ADB7185"/>
    <w:rsid w:val="2B6F066C"/>
    <w:rsid w:val="2B8436A3"/>
    <w:rsid w:val="2B8B6CB7"/>
    <w:rsid w:val="2BB1727B"/>
    <w:rsid w:val="2BC31E83"/>
    <w:rsid w:val="2BCE52EB"/>
    <w:rsid w:val="2BCF3263"/>
    <w:rsid w:val="2C696B32"/>
    <w:rsid w:val="2CDA497E"/>
    <w:rsid w:val="2D0A5C64"/>
    <w:rsid w:val="2D3846EE"/>
    <w:rsid w:val="2D3857AA"/>
    <w:rsid w:val="2D7923C7"/>
    <w:rsid w:val="2D921137"/>
    <w:rsid w:val="2D9507B9"/>
    <w:rsid w:val="2DD05DB5"/>
    <w:rsid w:val="2DF84765"/>
    <w:rsid w:val="2E121A89"/>
    <w:rsid w:val="2E77230B"/>
    <w:rsid w:val="2E953DFF"/>
    <w:rsid w:val="2E9D109A"/>
    <w:rsid w:val="2EC9110D"/>
    <w:rsid w:val="2F113F23"/>
    <w:rsid w:val="2F1C30F0"/>
    <w:rsid w:val="2F39241D"/>
    <w:rsid w:val="2F496762"/>
    <w:rsid w:val="2F53438F"/>
    <w:rsid w:val="2F7D1253"/>
    <w:rsid w:val="2F822BCF"/>
    <w:rsid w:val="2F8E6F85"/>
    <w:rsid w:val="2F934704"/>
    <w:rsid w:val="2FC31B3E"/>
    <w:rsid w:val="2FE72F1A"/>
    <w:rsid w:val="2FEC206F"/>
    <w:rsid w:val="305A0D62"/>
    <w:rsid w:val="308B19B7"/>
    <w:rsid w:val="30A10752"/>
    <w:rsid w:val="30AB2FBE"/>
    <w:rsid w:val="30F66A9D"/>
    <w:rsid w:val="30FB5916"/>
    <w:rsid w:val="317C25A0"/>
    <w:rsid w:val="31BF71F1"/>
    <w:rsid w:val="32083896"/>
    <w:rsid w:val="323B25AB"/>
    <w:rsid w:val="32A0026C"/>
    <w:rsid w:val="32D23C9B"/>
    <w:rsid w:val="32F9432A"/>
    <w:rsid w:val="33270DF6"/>
    <w:rsid w:val="3342202E"/>
    <w:rsid w:val="33772A0F"/>
    <w:rsid w:val="337873BD"/>
    <w:rsid w:val="33814879"/>
    <w:rsid w:val="33A51FE8"/>
    <w:rsid w:val="33B65F3C"/>
    <w:rsid w:val="33E82910"/>
    <w:rsid w:val="34090888"/>
    <w:rsid w:val="341B5F6B"/>
    <w:rsid w:val="34264D13"/>
    <w:rsid w:val="342F4D6F"/>
    <w:rsid w:val="351C4AF9"/>
    <w:rsid w:val="3554471D"/>
    <w:rsid w:val="35A5732A"/>
    <w:rsid w:val="35B660F6"/>
    <w:rsid w:val="363C7B97"/>
    <w:rsid w:val="36616A68"/>
    <w:rsid w:val="371475F5"/>
    <w:rsid w:val="3735545B"/>
    <w:rsid w:val="378E2CFD"/>
    <w:rsid w:val="37927D6F"/>
    <w:rsid w:val="37B350C5"/>
    <w:rsid w:val="37B733A0"/>
    <w:rsid w:val="38354EE0"/>
    <w:rsid w:val="3836560B"/>
    <w:rsid w:val="384F36BA"/>
    <w:rsid w:val="38753F47"/>
    <w:rsid w:val="38A451AA"/>
    <w:rsid w:val="38C83462"/>
    <w:rsid w:val="396D58E1"/>
    <w:rsid w:val="398A0AEF"/>
    <w:rsid w:val="398F1CB2"/>
    <w:rsid w:val="39E903D1"/>
    <w:rsid w:val="3A1D6D11"/>
    <w:rsid w:val="3A2849ED"/>
    <w:rsid w:val="3A343EE7"/>
    <w:rsid w:val="3A3805AD"/>
    <w:rsid w:val="3A544AC0"/>
    <w:rsid w:val="3A946C32"/>
    <w:rsid w:val="3AB37A68"/>
    <w:rsid w:val="3AC06512"/>
    <w:rsid w:val="3AC71F81"/>
    <w:rsid w:val="3AD4373D"/>
    <w:rsid w:val="3AEF4093"/>
    <w:rsid w:val="3B1257DA"/>
    <w:rsid w:val="3B442502"/>
    <w:rsid w:val="3B7028F7"/>
    <w:rsid w:val="3B8E0044"/>
    <w:rsid w:val="3BA47299"/>
    <w:rsid w:val="3BA81A07"/>
    <w:rsid w:val="3BA920ED"/>
    <w:rsid w:val="3BDE5E50"/>
    <w:rsid w:val="3C136C7C"/>
    <w:rsid w:val="3C387D13"/>
    <w:rsid w:val="3C7E6F12"/>
    <w:rsid w:val="3C920A9F"/>
    <w:rsid w:val="3CC2793B"/>
    <w:rsid w:val="3CD27C09"/>
    <w:rsid w:val="3CDA299C"/>
    <w:rsid w:val="3CEC2D93"/>
    <w:rsid w:val="3CF30ECE"/>
    <w:rsid w:val="3D6D7776"/>
    <w:rsid w:val="3D8F075B"/>
    <w:rsid w:val="3DA84195"/>
    <w:rsid w:val="3DB205B1"/>
    <w:rsid w:val="3E215E85"/>
    <w:rsid w:val="3E294CB0"/>
    <w:rsid w:val="3E443C82"/>
    <w:rsid w:val="3E50795E"/>
    <w:rsid w:val="3E7858F2"/>
    <w:rsid w:val="3E933EA7"/>
    <w:rsid w:val="3EA82C88"/>
    <w:rsid w:val="3EC749DC"/>
    <w:rsid w:val="3F090918"/>
    <w:rsid w:val="3F141CA9"/>
    <w:rsid w:val="3F162E28"/>
    <w:rsid w:val="3F2C3E47"/>
    <w:rsid w:val="3F2E64E4"/>
    <w:rsid w:val="3F8C1501"/>
    <w:rsid w:val="3FAB3E6B"/>
    <w:rsid w:val="40066CBC"/>
    <w:rsid w:val="40181AE8"/>
    <w:rsid w:val="40256F15"/>
    <w:rsid w:val="402844FB"/>
    <w:rsid w:val="4041682E"/>
    <w:rsid w:val="40677A12"/>
    <w:rsid w:val="408223C2"/>
    <w:rsid w:val="40CE25F0"/>
    <w:rsid w:val="40DA7640"/>
    <w:rsid w:val="413C4819"/>
    <w:rsid w:val="416E617D"/>
    <w:rsid w:val="418069F9"/>
    <w:rsid w:val="418B7CCE"/>
    <w:rsid w:val="41B73977"/>
    <w:rsid w:val="424F590A"/>
    <w:rsid w:val="42596166"/>
    <w:rsid w:val="42642246"/>
    <w:rsid w:val="426D6095"/>
    <w:rsid w:val="42746C2F"/>
    <w:rsid w:val="42A66BE8"/>
    <w:rsid w:val="432E0469"/>
    <w:rsid w:val="43383B9E"/>
    <w:rsid w:val="43422A3E"/>
    <w:rsid w:val="439C012D"/>
    <w:rsid w:val="43A30CE6"/>
    <w:rsid w:val="43E14202"/>
    <w:rsid w:val="44221686"/>
    <w:rsid w:val="442A1608"/>
    <w:rsid w:val="44366052"/>
    <w:rsid w:val="443A3071"/>
    <w:rsid w:val="444A2092"/>
    <w:rsid w:val="44523C94"/>
    <w:rsid w:val="447771DC"/>
    <w:rsid w:val="44982179"/>
    <w:rsid w:val="44AF103D"/>
    <w:rsid w:val="44BC32C3"/>
    <w:rsid w:val="44C26E57"/>
    <w:rsid w:val="44C47A76"/>
    <w:rsid w:val="44E90D49"/>
    <w:rsid w:val="450055A5"/>
    <w:rsid w:val="45015C0D"/>
    <w:rsid w:val="450B3519"/>
    <w:rsid w:val="452218DA"/>
    <w:rsid w:val="45714DDA"/>
    <w:rsid w:val="45B237C0"/>
    <w:rsid w:val="45F55DA1"/>
    <w:rsid w:val="461701A7"/>
    <w:rsid w:val="465D0EEE"/>
    <w:rsid w:val="46915689"/>
    <w:rsid w:val="46C67B05"/>
    <w:rsid w:val="46E2133F"/>
    <w:rsid w:val="47E9169E"/>
    <w:rsid w:val="47EF6ADD"/>
    <w:rsid w:val="48104881"/>
    <w:rsid w:val="48365F61"/>
    <w:rsid w:val="48707B4E"/>
    <w:rsid w:val="489A0A60"/>
    <w:rsid w:val="48D4320A"/>
    <w:rsid w:val="49276AD8"/>
    <w:rsid w:val="49500D5B"/>
    <w:rsid w:val="49600306"/>
    <w:rsid w:val="496C05BC"/>
    <w:rsid w:val="49982279"/>
    <w:rsid w:val="499A10D5"/>
    <w:rsid w:val="49CA56FE"/>
    <w:rsid w:val="4A0C2DFB"/>
    <w:rsid w:val="4A3033FC"/>
    <w:rsid w:val="4A3B5FB8"/>
    <w:rsid w:val="4A3C0E3B"/>
    <w:rsid w:val="4A465841"/>
    <w:rsid w:val="4A5E1C3C"/>
    <w:rsid w:val="4A8F3077"/>
    <w:rsid w:val="4AD7416F"/>
    <w:rsid w:val="4AFC4ADD"/>
    <w:rsid w:val="4B550923"/>
    <w:rsid w:val="4B565DFF"/>
    <w:rsid w:val="4BE352CA"/>
    <w:rsid w:val="4C081A2F"/>
    <w:rsid w:val="4C0A4EB3"/>
    <w:rsid w:val="4C491F54"/>
    <w:rsid w:val="4C902C1D"/>
    <w:rsid w:val="4C972D3D"/>
    <w:rsid w:val="4CE03EA4"/>
    <w:rsid w:val="4CF61484"/>
    <w:rsid w:val="4D1120ED"/>
    <w:rsid w:val="4D72218F"/>
    <w:rsid w:val="4DD12A97"/>
    <w:rsid w:val="4DF76792"/>
    <w:rsid w:val="4E174BD3"/>
    <w:rsid w:val="4E3B1817"/>
    <w:rsid w:val="4E6E1F92"/>
    <w:rsid w:val="4E806B1B"/>
    <w:rsid w:val="4E8C0537"/>
    <w:rsid w:val="4E993705"/>
    <w:rsid w:val="4EB26A1B"/>
    <w:rsid w:val="4F032322"/>
    <w:rsid w:val="4F4237EA"/>
    <w:rsid w:val="4FA22007"/>
    <w:rsid w:val="4FB1038C"/>
    <w:rsid w:val="4FE32BB8"/>
    <w:rsid w:val="5045546C"/>
    <w:rsid w:val="504A75A6"/>
    <w:rsid w:val="50657EEC"/>
    <w:rsid w:val="509C1F4E"/>
    <w:rsid w:val="50D32436"/>
    <w:rsid w:val="511F3B0F"/>
    <w:rsid w:val="516803F7"/>
    <w:rsid w:val="51A542D0"/>
    <w:rsid w:val="51A710DE"/>
    <w:rsid w:val="51E623EA"/>
    <w:rsid w:val="52330323"/>
    <w:rsid w:val="523B4DF6"/>
    <w:rsid w:val="52B35FF1"/>
    <w:rsid w:val="52E16967"/>
    <w:rsid w:val="5302660F"/>
    <w:rsid w:val="534C7EA2"/>
    <w:rsid w:val="539870A4"/>
    <w:rsid w:val="53DF154D"/>
    <w:rsid w:val="53FC49B1"/>
    <w:rsid w:val="540837BC"/>
    <w:rsid w:val="541E3E78"/>
    <w:rsid w:val="544B3C2C"/>
    <w:rsid w:val="544D2D91"/>
    <w:rsid w:val="54A94FC6"/>
    <w:rsid w:val="54BF05CA"/>
    <w:rsid w:val="54D34FD8"/>
    <w:rsid w:val="550577F5"/>
    <w:rsid w:val="55372812"/>
    <w:rsid w:val="553D2848"/>
    <w:rsid w:val="55416B86"/>
    <w:rsid w:val="554D448A"/>
    <w:rsid w:val="555E059D"/>
    <w:rsid w:val="55A0612D"/>
    <w:rsid w:val="55B51A79"/>
    <w:rsid w:val="55C53182"/>
    <w:rsid w:val="55C61DC2"/>
    <w:rsid w:val="55D87E07"/>
    <w:rsid w:val="55E57923"/>
    <w:rsid w:val="55F0711E"/>
    <w:rsid w:val="560A46F8"/>
    <w:rsid w:val="561210A1"/>
    <w:rsid w:val="5621336B"/>
    <w:rsid w:val="564D50B5"/>
    <w:rsid w:val="56514FF3"/>
    <w:rsid w:val="56975BC8"/>
    <w:rsid w:val="56A65745"/>
    <w:rsid w:val="56B15763"/>
    <w:rsid w:val="578D2F54"/>
    <w:rsid w:val="57B23C7E"/>
    <w:rsid w:val="580010ED"/>
    <w:rsid w:val="58114C8C"/>
    <w:rsid w:val="58731564"/>
    <w:rsid w:val="587B37D6"/>
    <w:rsid w:val="58EE795D"/>
    <w:rsid w:val="591D6CCE"/>
    <w:rsid w:val="594F572B"/>
    <w:rsid w:val="598B1626"/>
    <w:rsid w:val="59BD66AB"/>
    <w:rsid w:val="59EC5176"/>
    <w:rsid w:val="59F4608E"/>
    <w:rsid w:val="5A26539B"/>
    <w:rsid w:val="5A430D11"/>
    <w:rsid w:val="5A483027"/>
    <w:rsid w:val="5A860114"/>
    <w:rsid w:val="5A9170C6"/>
    <w:rsid w:val="5AA0335D"/>
    <w:rsid w:val="5AE47C9E"/>
    <w:rsid w:val="5B1A122D"/>
    <w:rsid w:val="5B940070"/>
    <w:rsid w:val="5B957EA4"/>
    <w:rsid w:val="5BE86F5C"/>
    <w:rsid w:val="5C0B695A"/>
    <w:rsid w:val="5C62132B"/>
    <w:rsid w:val="5C983340"/>
    <w:rsid w:val="5C9B6974"/>
    <w:rsid w:val="5C9D57DA"/>
    <w:rsid w:val="5D62273A"/>
    <w:rsid w:val="5D643572"/>
    <w:rsid w:val="5D7E21B5"/>
    <w:rsid w:val="5DE57E8F"/>
    <w:rsid w:val="5E107EE0"/>
    <w:rsid w:val="5E6610F4"/>
    <w:rsid w:val="5E9B6EE8"/>
    <w:rsid w:val="5EBC596E"/>
    <w:rsid w:val="5F1C37DC"/>
    <w:rsid w:val="5F8255A8"/>
    <w:rsid w:val="5F9657A1"/>
    <w:rsid w:val="5FAF5456"/>
    <w:rsid w:val="601C7A15"/>
    <w:rsid w:val="60574841"/>
    <w:rsid w:val="6066053A"/>
    <w:rsid w:val="609D3FC0"/>
    <w:rsid w:val="60B040C8"/>
    <w:rsid w:val="60BD5BA0"/>
    <w:rsid w:val="60FC5284"/>
    <w:rsid w:val="612C7357"/>
    <w:rsid w:val="61361EE7"/>
    <w:rsid w:val="613C17DE"/>
    <w:rsid w:val="61637A84"/>
    <w:rsid w:val="6172041A"/>
    <w:rsid w:val="61A34BA3"/>
    <w:rsid w:val="61E551B6"/>
    <w:rsid w:val="62037C12"/>
    <w:rsid w:val="62212397"/>
    <w:rsid w:val="6252293B"/>
    <w:rsid w:val="62545986"/>
    <w:rsid w:val="62706C8E"/>
    <w:rsid w:val="628307ED"/>
    <w:rsid w:val="62833D29"/>
    <w:rsid w:val="62AC4FF4"/>
    <w:rsid w:val="62AF2616"/>
    <w:rsid w:val="63032162"/>
    <w:rsid w:val="630911AF"/>
    <w:rsid w:val="63230BF5"/>
    <w:rsid w:val="63282442"/>
    <w:rsid w:val="635760FF"/>
    <w:rsid w:val="635F4620"/>
    <w:rsid w:val="63D01EDD"/>
    <w:rsid w:val="641D12D9"/>
    <w:rsid w:val="645576A9"/>
    <w:rsid w:val="647D2064"/>
    <w:rsid w:val="649060C1"/>
    <w:rsid w:val="64993A2C"/>
    <w:rsid w:val="64B10C8A"/>
    <w:rsid w:val="64E97A6F"/>
    <w:rsid w:val="650C0466"/>
    <w:rsid w:val="65274145"/>
    <w:rsid w:val="652C32FB"/>
    <w:rsid w:val="653C0EE0"/>
    <w:rsid w:val="65521389"/>
    <w:rsid w:val="655E1A80"/>
    <w:rsid w:val="65741984"/>
    <w:rsid w:val="65741FD9"/>
    <w:rsid w:val="65CE50CF"/>
    <w:rsid w:val="65D90D7A"/>
    <w:rsid w:val="661667E2"/>
    <w:rsid w:val="6647539F"/>
    <w:rsid w:val="6693189B"/>
    <w:rsid w:val="669C553E"/>
    <w:rsid w:val="66F2749C"/>
    <w:rsid w:val="670E725D"/>
    <w:rsid w:val="67133401"/>
    <w:rsid w:val="6761397E"/>
    <w:rsid w:val="676F735F"/>
    <w:rsid w:val="67750CFA"/>
    <w:rsid w:val="6790417E"/>
    <w:rsid w:val="67DF51CA"/>
    <w:rsid w:val="67EF4E28"/>
    <w:rsid w:val="67F94A6C"/>
    <w:rsid w:val="68485988"/>
    <w:rsid w:val="685A7D32"/>
    <w:rsid w:val="69053EB2"/>
    <w:rsid w:val="692243F0"/>
    <w:rsid w:val="6944634E"/>
    <w:rsid w:val="695458F2"/>
    <w:rsid w:val="699906A2"/>
    <w:rsid w:val="69BD5102"/>
    <w:rsid w:val="69CF390A"/>
    <w:rsid w:val="6A8B2953"/>
    <w:rsid w:val="6A991727"/>
    <w:rsid w:val="6AB4596E"/>
    <w:rsid w:val="6B111B9A"/>
    <w:rsid w:val="6B5D02CE"/>
    <w:rsid w:val="6B630560"/>
    <w:rsid w:val="6BA11502"/>
    <w:rsid w:val="6BD54B80"/>
    <w:rsid w:val="6C1162C7"/>
    <w:rsid w:val="6C3F6655"/>
    <w:rsid w:val="6C4D7B52"/>
    <w:rsid w:val="6C80003C"/>
    <w:rsid w:val="6CAE0BDC"/>
    <w:rsid w:val="6CC11CFD"/>
    <w:rsid w:val="6CD9504E"/>
    <w:rsid w:val="6D0B480A"/>
    <w:rsid w:val="6D1675B5"/>
    <w:rsid w:val="6D32730E"/>
    <w:rsid w:val="6D3A6041"/>
    <w:rsid w:val="6D6B30EF"/>
    <w:rsid w:val="6D852084"/>
    <w:rsid w:val="6D873A70"/>
    <w:rsid w:val="6DE41291"/>
    <w:rsid w:val="6DF7435E"/>
    <w:rsid w:val="6E277D52"/>
    <w:rsid w:val="6E3C3048"/>
    <w:rsid w:val="6E445E07"/>
    <w:rsid w:val="6E6E1597"/>
    <w:rsid w:val="6EC240B1"/>
    <w:rsid w:val="6ECD716E"/>
    <w:rsid w:val="6EEB1B46"/>
    <w:rsid w:val="6EFE03DF"/>
    <w:rsid w:val="6F3B5D9A"/>
    <w:rsid w:val="6FBE3DCA"/>
    <w:rsid w:val="70001563"/>
    <w:rsid w:val="70076105"/>
    <w:rsid w:val="701C0920"/>
    <w:rsid w:val="702D55BF"/>
    <w:rsid w:val="707D6440"/>
    <w:rsid w:val="70993EDD"/>
    <w:rsid w:val="709E5F5C"/>
    <w:rsid w:val="70BD257C"/>
    <w:rsid w:val="70FA67E9"/>
    <w:rsid w:val="70FC4443"/>
    <w:rsid w:val="716C2DCE"/>
    <w:rsid w:val="71896A21"/>
    <w:rsid w:val="71A9659C"/>
    <w:rsid w:val="71B257EA"/>
    <w:rsid w:val="71C9775F"/>
    <w:rsid w:val="723364B2"/>
    <w:rsid w:val="724C22E2"/>
    <w:rsid w:val="72D910ED"/>
    <w:rsid w:val="730B41E4"/>
    <w:rsid w:val="735801E0"/>
    <w:rsid w:val="73784B5F"/>
    <w:rsid w:val="740E26E0"/>
    <w:rsid w:val="744D7187"/>
    <w:rsid w:val="746578DD"/>
    <w:rsid w:val="74BB2067"/>
    <w:rsid w:val="74DF6F16"/>
    <w:rsid w:val="75171788"/>
    <w:rsid w:val="755C3D40"/>
    <w:rsid w:val="760A6642"/>
    <w:rsid w:val="76182806"/>
    <w:rsid w:val="763B2222"/>
    <w:rsid w:val="766403A1"/>
    <w:rsid w:val="77477C57"/>
    <w:rsid w:val="775860E8"/>
    <w:rsid w:val="776563E8"/>
    <w:rsid w:val="776C0052"/>
    <w:rsid w:val="77943BE0"/>
    <w:rsid w:val="77A94645"/>
    <w:rsid w:val="77E1540A"/>
    <w:rsid w:val="77FC7E36"/>
    <w:rsid w:val="784E588F"/>
    <w:rsid w:val="785133F5"/>
    <w:rsid w:val="785C28F2"/>
    <w:rsid w:val="785F4441"/>
    <w:rsid w:val="78D6059B"/>
    <w:rsid w:val="78F85515"/>
    <w:rsid w:val="790C5D23"/>
    <w:rsid w:val="79522129"/>
    <w:rsid w:val="795361E4"/>
    <w:rsid w:val="7970582D"/>
    <w:rsid w:val="79A15FCB"/>
    <w:rsid w:val="79A7558B"/>
    <w:rsid w:val="7A0B17C4"/>
    <w:rsid w:val="7A0C3B6E"/>
    <w:rsid w:val="7A3427AC"/>
    <w:rsid w:val="7A777D36"/>
    <w:rsid w:val="7ABD290E"/>
    <w:rsid w:val="7AD25A91"/>
    <w:rsid w:val="7AD61182"/>
    <w:rsid w:val="7AE81A4F"/>
    <w:rsid w:val="7B00316D"/>
    <w:rsid w:val="7B277BD1"/>
    <w:rsid w:val="7B703AF3"/>
    <w:rsid w:val="7BAF6132"/>
    <w:rsid w:val="7BE63003"/>
    <w:rsid w:val="7C093969"/>
    <w:rsid w:val="7C513DE6"/>
    <w:rsid w:val="7CB95C70"/>
    <w:rsid w:val="7CC977E1"/>
    <w:rsid w:val="7CD65D6D"/>
    <w:rsid w:val="7CED236B"/>
    <w:rsid w:val="7CFC7C0F"/>
    <w:rsid w:val="7D094E31"/>
    <w:rsid w:val="7D252FF0"/>
    <w:rsid w:val="7D36719A"/>
    <w:rsid w:val="7D693B6D"/>
    <w:rsid w:val="7DA5322E"/>
    <w:rsid w:val="7DA61F7B"/>
    <w:rsid w:val="7DBF751B"/>
    <w:rsid w:val="7DCA0DC9"/>
    <w:rsid w:val="7DF07901"/>
    <w:rsid w:val="7E2B242D"/>
    <w:rsid w:val="7E8800A1"/>
    <w:rsid w:val="7EA124EE"/>
    <w:rsid w:val="7ECA3533"/>
    <w:rsid w:val="7EDF20B5"/>
    <w:rsid w:val="7F191D71"/>
    <w:rsid w:val="7FB2673A"/>
    <w:rsid w:val="7FC10E9B"/>
    <w:rsid w:val="7FCF4AAD"/>
    <w:rsid w:val="7FD7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80"/>
    <w:qFormat/>
    <w:uiPriority w:val="9"/>
    <w:pPr>
      <w:keepNext/>
      <w:keepLines/>
      <w:spacing w:line="578" w:lineRule="auto"/>
      <w:outlineLvl w:val="0"/>
    </w:pPr>
    <w:rPr>
      <w:rFonts w:eastAsia="黑体"/>
      <w:b/>
      <w:bCs/>
      <w:kern w:val="44"/>
      <w:sz w:val="44"/>
      <w:szCs w:val="44"/>
    </w:rPr>
  </w:style>
  <w:style w:type="paragraph" w:styleId="4">
    <w:name w:val="heading 2"/>
    <w:basedOn w:val="1"/>
    <w:next w:val="5"/>
    <w:link w:val="84"/>
    <w:qFormat/>
    <w:uiPriority w:val="9"/>
    <w:pPr>
      <w:keepNext/>
      <w:keepLines/>
      <w:spacing w:before="240" w:after="240" w:line="416" w:lineRule="auto"/>
      <w:outlineLvl w:val="1"/>
    </w:pPr>
    <w:rPr>
      <w:rFonts w:ascii="Cambria" w:hAnsi="Cambria" w:eastAsia="仿宋"/>
      <w:b/>
      <w:bCs/>
      <w:sz w:val="40"/>
      <w:szCs w:val="32"/>
    </w:rPr>
  </w:style>
  <w:style w:type="paragraph" w:styleId="6">
    <w:name w:val="heading 3"/>
    <w:basedOn w:val="1"/>
    <w:next w:val="5"/>
    <w:link w:val="76"/>
    <w:qFormat/>
    <w:uiPriority w:val="9"/>
    <w:pPr>
      <w:keepNext/>
      <w:keepLines/>
      <w:spacing w:before="120" w:after="120" w:line="416" w:lineRule="auto"/>
      <w:outlineLvl w:val="2"/>
    </w:pPr>
    <w:rPr>
      <w:rFonts w:eastAsia="仿宋"/>
      <w:b/>
      <w:bCs/>
      <w:sz w:val="28"/>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5">
    <w:name w:val="Body Text"/>
    <w:basedOn w:val="1"/>
    <w:qFormat/>
    <w:uiPriority w:val="0"/>
    <w:pPr>
      <w:widowControl/>
      <w:overflowPunct w:val="0"/>
      <w:autoSpaceDE w:val="0"/>
      <w:autoSpaceDN w:val="0"/>
      <w:adjustRightInd w:val="0"/>
      <w:spacing w:line="180" w:lineRule="atLeast"/>
      <w:ind w:firstLine="454"/>
      <w:textAlignment w:val="baseline"/>
    </w:pPr>
    <w:rPr>
      <w:rFonts w:ascii="Arial" w:hAnsi="Arial"/>
      <w:spacing w:val="-5"/>
      <w:kern w:val="0"/>
      <w:sz w:val="28"/>
      <w:szCs w:val="28"/>
    </w:rPr>
  </w:style>
  <w:style w:type="paragraph" w:styleId="7">
    <w:name w:val="toc 7"/>
    <w:basedOn w:val="1"/>
    <w:next w:val="1"/>
    <w:unhideWhenUsed/>
    <w:qFormat/>
    <w:uiPriority w:val="39"/>
    <w:pPr>
      <w:ind w:left="1260"/>
      <w:jc w:val="left"/>
    </w:pPr>
    <w:rPr>
      <w:sz w:val="18"/>
      <w:szCs w:val="18"/>
    </w:rPr>
  </w:style>
  <w:style w:type="paragraph" w:styleId="8">
    <w:name w:val="caption"/>
    <w:basedOn w:val="1"/>
    <w:next w:val="1"/>
    <w:qFormat/>
    <w:uiPriority w:val="0"/>
    <w:rPr>
      <w:rFonts w:ascii="Calibri Light" w:hAnsi="Calibri Light" w:eastAsia="黑体"/>
      <w:sz w:val="20"/>
      <w:szCs w:val="20"/>
    </w:rPr>
  </w:style>
  <w:style w:type="paragraph" w:styleId="9">
    <w:name w:val="annotation text"/>
    <w:basedOn w:val="1"/>
    <w:semiHidden/>
    <w:qFormat/>
    <w:uiPriority w:val="0"/>
    <w:pPr>
      <w:jc w:val="left"/>
    </w:pPr>
  </w:style>
  <w:style w:type="paragraph" w:styleId="10">
    <w:name w:val="Body Text Indent"/>
    <w:basedOn w:val="1"/>
    <w:link w:val="78"/>
    <w:unhideWhenUsed/>
    <w:qFormat/>
    <w:uiPriority w:val="99"/>
    <w:pPr>
      <w:spacing w:after="120"/>
      <w:ind w:left="420" w:leftChars="200"/>
    </w:p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Balloon Text"/>
    <w:basedOn w:val="1"/>
    <w:link w:val="79"/>
    <w:unhideWhenUsed/>
    <w:qFormat/>
    <w:uiPriority w:val="99"/>
    <w:rPr>
      <w:sz w:val="18"/>
      <w:szCs w:val="18"/>
    </w:rPr>
  </w:style>
  <w:style w:type="paragraph" w:styleId="15">
    <w:name w:val="footer"/>
    <w:basedOn w:val="1"/>
    <w:link w:val="81"/>
    <w:unhideWhenUsed/>
    <w:qFormat/>
    <w:uiPriority w:val="99"/>
    <w:pPr>
      <w:tabs>
        <w:tab w:val="center" w:pos="4153"/>
        <w:tab w:val="right" w:pos="8306"/>
      </w:tabs>
      <w:snapToGrid w:val="0"/>
      <w:jc w:val="left"/>
    </w:pPr>
    <w:rPr>
      <w:sz w:val="18"/>
      <w:szCs w:val="18"/>
    </w:rPr>
  </w:style>
  <w:style w:type="paragraph" w:styleId="16">
    <w:name w:val="header"/>
    <w:basedOn w:val="1"/>
    <w:link w:val="8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b/>
      <w:bCs/>
      <w:caps/>
      <w:sz w:val="20"/>
      <w:szCs w:val="20"/>
    </w:rPr>
  </w:style>
  <w:style w:type="paragraph" w:styleId="18">
    <w:name w:val="toc 4"/>
    <w:basedOn w:val="1"/>
    <w:next w:val="1"/>
    <w:unhideWhenUsed/>
    <w:qFormat/>
    <w:uiPriority w:val="39"/>
    <w:pPr>
      <w:ind w:left="630"/>
      <w:jc w:val="left"/>
    </w:pPr>
    <w:rPr>
      <w:sz w:val="18"/>
      <w:szCs w:val="18"/>
    </w:rPr>
  </w:style>
  <w:style w:type="paragraph" w:styleId="19">
    <w:name w:val="index heading"/>
    <w:basedOn w:val="1"/>
    <w:next w:val="20"/>
    <w:qFormat/>
    <w:uiPriority w:val="99"/>
    <w:rPr>
      <w:szCs w:val="20"/>
    </w:rPr>
  </w:style>
  <w:style w:type="paragraph" w:styleId="20">
    <w:name w:val="index 1"/>
    <w:basedOn w:val="1"/>
    <w:next w:val="1"/>
    <w:qFormat/>
    <w:uiPriority w:val="0"/>
    <w:rPr>
      <w:rFonts w:eastAsia="仿宋_GB2312"/>
      <w:sz w:val="28"/>
      <w:szCs w:val="20"/>
    </w:rPr>
  </w:style>
  <w:style w:type="paragraph" w:styleId="21">
    <w:name w:val="toc 6"/>
    <w:basedOn w:val="1"/>
    <w:next w:val="1"/>
    <w:unhideWhenUsed/>
    <w:qFormat/>
    <w:uiPriority w:val="39"/>
    <w:pPr>
      <w:ind w:left="1050"/>
      <w:jc w:val="left"/>
    </w:pPr>
    <w:rPr>
      <w:sz w:val="18"/>
      <w:szCs w:val="18"/>
    </w:rPr>
  </w:style>
  <w:style w:type="paragraph" w:styleId="22">
    <w:name w:val="Body Text Indent 3"/>
    <w:basedOn w:val="1"/>
    <w:link w:val="82"/>
    <w:unhideWhenUsed/>
    <w:qFormat/>
    <w:uiPriority w:val="99"/>
    <w:pPr>
      <w:spacing w:after="120"/>
      <w:ind w:left="420" w:leftChars="200"/>
    </w:pPr>
    <w:rPr>
      <w:sz w:val="16"/>
      <w:szCs w:val="16"/>
    </w:rPr>
  </w:style>
  <w:style w:type="paragraph" w:styleId="23">
    <w:name w:val="toc 2"/>
    <w:basedOn w:val="1"/>
    <w:next w:val="1"/>
    <w:unhideWhenUsed/>
    <w:qFormat/>
    <w:uiPriority w:val="39"/>
    <w:pPr>
      <w:ind w:left="210"/>
      <w:jc w:val="left"/>
    </w:pPr>
    <w:rPr>
      <w:smallCaps/>
      <w:sz w:val="20"/>
      <w:szCs w:val="20"/>
    </w:rPr>
  </w:style>
  <w:style w:type="paragraph" w:styleId="24">
    <w:name w:val="toc 9"/>
    <w:basedOn w:val="1"/>
    <w:next w:val="1"/>
    <w:unhideWhenUsed/>
    <w:qFormat/>
    <w:uiPriority w:val="39"/>
    <w:pPr>
      <w:ind w:left="1680"/>
      <w:jc w:val="left"/>
    </w:pPr>
    <w:rPr>
      <w:sz w:val="18"/>
      <w:szCs w:val="18"/>
    </w:rPr>
  </w:style>
  <w:style w:type="paragraph" w:styleId="25">
    <w:name w:val="Body Text 2"/>
    <w:basedOn w:val="1"/>
    <w:link w:val="77"/>
    <w:qFormat/>
    <w:uiPriority w:val="0"/>
    <w:rPr>
      <w:rFonts w:ascii="宋体" w:hAnsi="宋体"/>
      <w:szCs w:val="24"/>
      <w:u w:val="single"/>
    </w:rPr>
  </w:style>
  <w:style w:type="paragraph" w:styleId="26">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27">
    <w:name w:val="annotation subject"/>
    <w:basedOn w:val="9"/>
    <w:next w:val="9"/>
    <w:semiHidden/>
    <w:qFormat/>
    <w:uiPriority w:val="0"/>
    <w:rPr>
      <w:b/>
      <w:bCs/>
    </w:rPr>
  </w:style>
  <w:style w:type="table" w:styleId="29">
    <w:name w:val="Table Grid"/>
    <w:basedOn w:val="28"/>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page number"/>
    <w:qFormat/>
    <w:uiPriority w:val="0"/>
    <w:rPr>
      <w:rFonts w:eastAsia="楷体_GB2312"/>
      <w:kern w:val="2"/>
      <w:sz w:val="24"/>
      <w:szCs w:val="24"/>
      <w:lang w:val="en-US" w:eastAsia="zh-CN" w:bidi="ar-SA"/>
    </w:rPr>
  </w:style>
  <w:style w:type="character" w:styleId="32">
    <w:name w:val="FollowedHyperlink"/>
    <w:unhideWhenUsed/>
    <w:qFormat/>
    <w:uiPriority w:val="99"/>
    <w:rPr>
      <w:color w:val="800080"/>
      <w:u w:val="single"/>
    </w:rPr>
  </w:style>
  <w:style w:type="character" w:styleId="33">
    <w:name w:val="Hyperlink"/>
    <w:unhideWhenUsed/>
    <w:qFormat/>
    <w:uiPriority w:val="99"/>
    <w:rPr>
      <w:color w:val="0000FF"/>
      <w:u w:val="single"/>
    </w:rPr>
  </w:style>
  <w:style w:type="character" w:styleId="34">
    <w:name w:val="annotation reference"/>
    <w:semiHidden/>
    <w:qFormat/>
    <w:uiPriority w:val="0"/>
    <w:rPr>
      <w:sz w:val="21"/>
      <w:szCs w:val="21"/>
    </w:rPr>
  </w:style>
  <w:style w:type="paragraph" w:customStyle="1" w:styleId="35">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b/>
      <w:bCs/>
      <w:color w:val="FF0000"/>
      <w:kern w:val="0"/>
      <w:sz w:val="24"/>
      <w:szCs w:val="24"/>
    </w:rPr>
  </w:style>
  <w:style w:type="paragraph" w:customStyle="1" w:styleId="36">
    <w:name w:val="xl96"/>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3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styleId="38">
    <w:name w:val="List Paragraph"/>
    <w:basedOn w:val="1"/>
    <w:qFormat/>
    <w:uiPriority w:val="0"/>
    <w:pPr>
      <w:ind w:firstLine="420" w:firstLineChars="200"/>
    </w:pPr>
  </w:style>
  <w:style w:type="paragraph" w:customStyle="1" w:styleId="39">
    <w:name w:val="xl92"/>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40">
    <w:name w:val="图"/>
    <w:basedOn w:val="1"/>
    <w:qFormat/>
    <w:uiPriority w:val="0"/>
    <w:pPr>
      <w:keepNext/>
      <w:adjustRightInd w:val="0"/>
      <w:spacing w:before="60" w:after="60" w:line="300" w:lineRule="auto"/>
      <w:jc w:val="center"/>
      <w:textAlignment w:val="center"/>
    </w:pPr>
    <w:rPr>
      <w:spacing w:val="20"/>
      <w:kern w:val="0"/>
      <w:sz w:val="24"/>
      <w:szCs w:val="20"/>
    </w:rPr>
  </w:style>
  <w:style w:type="paragraph" w:customStyle="1" w:styleId="41">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仿宋_GB2312" w:hAnsi="宋体" w:eastAsia="仿宋_GB2312" w:cs="宋体"/>
      <w:color w:val="000000"/>
      <w:kern w:val="0"/>
      <w:sz w:val="24"/>
      <w:szCs w:val="24"/>
    </w:rPr>
  </w:style>
  <w:style w:type="paragraph" w:customStyle="1" w:styleId="42">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kern w:val="0"/>
      <w:sz w:val="24"/>
      <w:szCs w:val="24"/>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kern w:val="0"/>
      <w:sz w:val="18"/>
      <w:szCs w:val="18"/>
    </w:rPr>
  </w:style>
  <w:style w:type="paragraph" w:customStyle="1" w:styleId="44">
    <w:name w:val="xl97"/>
    <w:basedOn w:val="1"/>
    <w:uiPriority w:val="0"/>
    <w:pPr>
      <w:widowControl/>
      <w:spacing w:before="100" w:beforeAutospacing="1" w:after="100" w:afterAutospacing="1"/>
      <w:jc w:val="center"/>
    </w:pPr>
    <w:rPr>
      <w:rFonts w:ascii="宋体" w:hAnsi="宋体" w:cs="宋体"/>
      <w:kern w:val="0"/>
      <w:sz w:val="18"/>
      <w:szCs w:val="18"/>
    </w:rPr>
  </w:style>
  <w:style w:type="paragraph" w:customStyle="1" w:styleId="45">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7">
    <w:name w:val="Char Char2"/>
    <w:basedOn w:val="1"/>
    <w:qFormat/>
    <w:uiPriority w:val="0"/>
    <w:rPr>
      <w:rFonts w:ascii="Times New Roman" w:hAnsi="Times New Roman"/>
      <w:sz w:val="30"/>
      <w:szCs w:val="24"/>
    </w:rPr>
  </w:style>
  <w:style w:type="paragraph" w:customStyle="1" w:styleId="48">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9">
    <w:name w:val="xl9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color w:val="0070C0"/>
      <w:kern w:val="0"/>
      <w:sz w:val="24"/>
      <w:szCs w:val="24"/>
    </w:rPr>
  </w:style>
  <w:style w:type="paragraph" w:customStyle="1" w:styleId="52">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18"/>
      <w:szCs w:val="18"/>
    </w:rPr>
  </w:style>
  <w:style w:type="paragraph" w:customStyle="1" w:styleId="53">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5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6">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pPr>
    <w:rPr>
      <w:rFonts w:ascii="宋体" w:hAnsi="宋体" w:cs="宋体"/>
      <w:kern w:val="0"/>
      <w:sz w:val="24"/>
      <w:szCs w:val="24"/>
    </w:rPr>
  </w:style>
  <w:style w:type="paragraph" w:customStyle="1" w:styleId="57">
    <w:name w:val="xl116"/>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color w:val="0070C0"/>
      <w:kern w:val="0"/>
      <w:sz w:val="24"/>
      <w:szCs w:val="24"/>
    </w:rPr>
  </w:style>
  <w:style w:type="paragraph" w:customStyle="1" w:styleId="58">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5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0">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61">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62">
    <w:name w:val="xl91"/>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63">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18"/>
      <w:szCs w:val="18"/>
    </w:rPr>
  </w:style>
  <w:style w:type="paragraph" w:customStyle="1" w:styleId="64">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24"/>
      <w:szCs w:val="24"/>
    </w:rPr>
  </w:style>
  <w:style w:type="paragraph" w:customStyle="1" w:styleId="65">
    <w:name w:val="题注4"/>
    <w:basedOn w:val="1"/>
    <w:next w:val="8"/>
    <w:qFormat/>
    <w:uiPriority w:val="99"/>
    <w:pPr>
      <w:ind w:left="-132" w:leftChars="-64" w:right="-105" w:rightChars="-50" w:hanging="2"/>
      <w:jc w:val="center"/>
    </w:pPr>
    <w:rPr>
      <w:b/>
      <w:color w:val="FF0000"/>
      <w:szCs w:val="21"/>
      <w:lang w:val="en-GB"/>
    </w:rPr>
  </w:style>
  <w:style w:type="paragraph" w:customStyle="1" w:styleId="66">
    <w:name w:val="xl102"/>
    <w:basedOn w:val="1"/>
    <w:qFormat/>
    <w:uiPriority w:val="0"/>
    <w:pPr>
      <w:widowControl/>
      <w:shd w:val="clear" w:color="000000" w:fill="FDE9D9"/>
      <w:spacing w:before="100" w:beforeAutospacing="1" w:after="100" w:afterAutospacing="1"/>
      <w:jc w:val="left"/>
    </w:pPr>
    <w:rPr>
      <w:rFonts w:ascii="宋体" w:hAnsi="宋体" w:cs="宋体"/>
      <w:kern w:val="0"/>
      <w:sz w:val="18"/>
      <w:szCs w:val="18"/>
    </w:rPr>
  </w:style>
  <w:style w:type="paragraph" w:customStyle="1" w:styleId="67">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kern w:val="0"/>
      <w:sz w:val="18"/>
      <w:szCs w:val="18"/>
    </w:rPr>
  </w:style>
  <w:style w:type="paragraph" w:customStyle="1" w:styleId="68">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textAlignment w:val="top"/>
    </w:pPr>
    <w:rPr>
      <w:rFonts w:ascii="宋体" w:hAnsi="宋体" w:cs="宋体"/>
      <w:kern w:val="0"/>
      <w:sz w:val="24"/>
      <w:szCs w:val="24"/>
    </w:rPr>
  </w:style>
  <w:style w:type="paragraph" w:customStyle="1" w:styleId="6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0">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b/>
      <w:bCs/>
      <w:color w:val="000000"/>
      <w:kern w:val="0"/>
      <w:sz w:val="24"/>
      <w:szCs w:val="24"/>
    </w:rPr>
  </w:style>
  <w:style w:type="paragraph" w:customStyle="1" w:styleId="71">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2">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textAlignment w:val="top"/>
    </w:pPr>
    <w:rPr>
      <w:rFonts w:ascii="宋体" w:hAnsi="宋体" w:cs="宋体"/>
      <w:kern w:val="0"/>
      <w:sz w:val="24"/>
      <w:szCs w:val="24"/>
    </w:rPr>
  </w:style>
  <w:style w:type="paragraph" w:customStyle="1" w:styleId="73">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center"/>
    </w:pPr>
    <w:rPr>
      <w:rFonts w:ascii="宋体" w:hAnsi="宋体" w:cs="宋体"/>
      <w:b/>
      <w:bCs/>
      <w:color w:val="000000"/>
      <w:kern w:val="0"/>
      <w:sz w:val="24"/>
      <w:szCs w:val="24"/>
    </w:rPr>
  </w:style>
  <w:style w:type="paragraph" w:customStyle="1" w:styleId="74">
    <w:name w:val="xl9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5">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character" w:customStyle="1" w:styleId="76">
    <w:name w:val="标题 3 字符"/>
    <w:link w:val="6"/>
    <w:qFormat/>
    <w:uiPriority w:val="9"/>
    <w:rPr>
      <w:rFonts w:eastAsia="仿宋"/>
      <w:b/>
      <w:bCs/>
      <w:kern w:val="2"/>
      <w:sz w:val="28"/>
      <w:szCs w:val="32"/>
    </w:rPr>
  </w:style>
  <w:style w:type="character" w:customStyle="1" w:styleId="77">
    <w:name w:val="正文文本 2 字符"/>
    <w:link w:val="25"/>
    <w:qFormat/>
    <w:uiPriority w:val="0"/>
    <w:rPr>
      <w:rFonts w:ascii="宋体" w:hAnsi="宋体"/>
      <w:kern w:val="2"/>
      <w:sz w:val="21"/>
      <w:szCs w:val="24"/>
      <w:u w:val="single"/>
    </w:rPr>
  </w:style>
  <w:style w:type="character" w:customStyle="1" w:styleId="78">
    <w:name w:val="正文文本缩进 字符"/>
    <w:link w:val="10"/>
    <w:semiHidden/>
    <w:qFormat/>
    <w:uiPriority w:val="99"/>
    <w:rPr>
      <w:kern w:val="2"/>
      <w:sz w:val="21"/>
      <w:szCs w:val="22"/>
    </w:rPr>
  </w:style>
  <w:style w:type="character" w:customStyle="1" w:styleId="79">
    <w:name w:val="批注框文本 字符"/>
    <w:link w:val="14"/>
    <w:semiHidden/>
    <w:qFormat/>
    <w:uiPriority w:val="99"/>
    <w:rPr>
      <w:kern w:val="2"/>
      <w:sz w:val="18"/>
      <w:szCs w:val="18"/>
    </w:rPr>
  </w:style>
  <w:style w:type="character" w:customStyle="1" w:styleId="80">
    <w:name w:val="标题 1 字符"/>
    <w:link w:val="3"/>
    <w:qFormat/>
    <w:uiPriority w:val="9"/>
    <w:rPr>
      <w:rFonts w:eastAsia="黑体"/>
      <w:b/>
      <w:bCs/>
      <w:kern w:val="44"/>
      <w:sz w:val="44"/>
      <w:szCs w:val="44"/>
    </w:rPr>
  </w:style>
  <w:style w:type="character" w:customStyle="1" w:styleId="81">
    <w:name w:val="页脚 字符"/>
    <w:link w:val="15"/>
    <w:qFormat/>
    <w:uiPriority w:val="99"/>
    <w:rPr>
      <w:sz w:val="18"/>
      <w:szCs w:val="18"/>
    </w:rPr>
  </w:style>
  <w:style w:type="character" w:customStyle="1" w:styleId="82">
    <w:name w:val="正文文本缩进 3 字符"/>
    <w:link w:val="22"/>
    <w:semiHidden/>
    <w:qFormat/>
    <w:uiPriority w:val="99"/>
    <w:rPr>
      <w:kern w:val="2"/>
      <w:sz w:val="16"/>
      <w:szCs w:val="16"/>
    </w:rPr>
  </w:style>
  <w:style w:type="character" w:customStyle="1" w:styleId="83">
    <w:name w:val="页眉 字符"/>
    <w:link w:val="16"/>
    <w:qFormat/>
    <w:uiPriority w:val="99"/>
    <w:rPr>
      <w:sz w:val="18"/>
      <w:szCs w:val="18"/>
    </w:rPr>
  </w:style>
  <w:style w:type="character" w:customStyle="1" w:styleId="84">
    <w:name w:val="标题 2 字符"/>
    <w:link w:val="4"/>
    <w:qFormat/>
    <w:uiPriority w:val="9"/>
    <w:rPr>
      <w:rFonts w:ascii="Cambria" w:hAnsi="Cambria" w:eastAsia="仿宋"/>
      <w:b/>
      <w:bCs/>
      <w:kern w:val="2"/>
      <w:sz w:val="4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5958</Words>
  <Characters>33964</Characters>
  <Lines>283</Lines>
  <Paragraphs>79</Paragraphs>
  <TotalTime>0</TotalTime>
  <ScaleCrop>false</ScaleCrop>
  <LinksUpToDate>false</LinksUpToDate>
  <CharactersWithSpaces>39843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2019-08-03T13:32:00Z</dcterms:created>
  <dc:creator>123</dc:creator>
  <cp:lastModifiedBy>招标公司</cp:lastModifiedBy>
  <cp:lastPrinted>2019-08-27T08:09:00Z</cp:lastPrinted>
  <dcterms:modified xsi:type="dcterms:W3CDTF">2019-10-29T09:43:23Z</dcterms:modified>
  <dc:title>广州市轨道交通十三号线二期及广州南站广州市轨道交通衔接工程</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